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Perihilar cholangiocarcinoma</w:t>
      </w:r>
    </w:p>
    <w:p>
      <w:pPr>
        <w:spacing w:after="120"/>
      </w:pPr>
      <w:r>
        <w:rPr>
          <w:i/>
          <w:sz w:val="18"/>
        </w:rPr>
        <w:t xml:space="preserve">Standardized document set, 29 October 2026: this is the full-content document for the cancer roadmap. Questions for consensus: pCCA_2_Cancer_Roadmap_Questions.docx. Decision discussion for all settings: pCCA_7_Decision_Discussion.docx. Web page: https://drliuhao.github.io/mh-liver-pathways/hilar/ 5 statements corrected on 29 October 2026 against the full texts of papers previously cited from their abstracts.</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rPr>
          <w:b/>
          <w:bCs/>
          <w:color w:val="15181F"/>
          <w:sz w:val="22"/>
          <w:szCs w:val="22"/>
        </w:rPr>
        <w:t xml:space="preserve">Perihilar cholangiocarcinoma · system roadmap</w:t>
      </w:r>
    </w:p>
    <w:p>
      <w:pPr>
        <w:spacing w:after="320" w:line="276"/>
      </w:pPr>
      <w:r>
        <w:rPr>
          <w:color w:val="5A6069"/>
          <w:sz w:val="20"/>
          <w:szCs w:val="20"/>
        </w:rPr>
        <w:t xml:space="preserve">Original pathway: 7 gates · 47 cited sources · 30 stated uncertainties · 16 open decisions. Retained pathway content.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9360"/>
      </w:tblGrid>
      <w:tr>
        <w:tc>
          <w:tcPr>
            <w:tcW w:type="dxa" w:w="9360"/>
            <w:shd w:fill="FBF1E2" w:color="auto" w:val="clear"/>
            <w:tcMar>
              <w:top w:type="dxa" w:w="70"/>
              <w:left w:type="dxa" w:w="110"/>
              <w:bottom w:type="dxa" w:w="70"/>
              <w:right w:type="dxa" w:w="110"/>
            </w:tcMar>
            <w:vAlign w:val="top"/>
          </w:tcPr>
          <w:p>
            <w:pPr>
              <w:spacing w:after="120"/>
            </w:pPr>
            <w:r>
              <w:rPr>
                <w:b/>
                <w:bCs/>
                <w:color w:val="8E5008"/>
                <w:spacing w:val="20"/>
                <w:sz w:val="20"/>
                <w:szCs w:val="20"/>
              </w:rPr>
              <w:t xml:space="preserve">DRAFT — NOT RATIFIED CLINICAL POLICY</w:t>
            </w:r>
          </w:p>
          <w:p>
            <w:pPr>
              <w:spacing w:after="100" w:line="276"/>
            </w:pPr>
            <w:r>
              <w:rPr>
                <w:color w:val="15181F"/>
                <w:sz w:val="18"/>
                <w:szCs w:val="18"/>
              </w:rPr>
              <w:t xml:space="preserve">This document is a draft under active development, prepared for multidisciplinary and institutional governance review. It has not been approved by the specialties named in it, and it must not be used for patient care decisions.</w:t>
            </w:r>
          </w:p>
          <w:p>
            <w:pPr>
              <w:spacing w:after="0" w:line="276"/>
            </w:pPr>
            <w:r>
              <w:rPr>
                <w:color w:val="15181F"/>
                <w:sz w:val="18"/>
                <w:szCs w:val="18"/>
              </w:rPr>
              <w:t xml:space="preserve">The content is a decision-focused evidence synthesis, not a systematic review. Every criterion drawn from OPTN policy, drug labelling, NCCN or a device authorisation must be re-verified against the current source before any use. Clinical transplant candidacy and allocation eligibility are separate judgements.</w:t>
            </w:r>
          </w:p>
        </w:tc>
      </w:tr>
    </w:tbl>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Which gate this patient is at, and what the next act must not foreclose — drainage before extent, extent before tissue, and the transplant question before palliative therapy.</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spacing w:after="110" w:before="240"/>
      </w:pPr>
      <w:r>
        <w:rPr>
          <w:rFonts w:ascii="Cambria" w:cs="Cambria" w:eastAsia="Cambria" w:hAnsi="Cambria"/>
          <w:b/>
          <w:bCs/>
          <w:color w:val="17365D"/>
          <w:sz w:val="26"/>
          <w:szCs w:val="26"/>
        </w:rPr>
        <w:t xml:space="preserve">0 · Biliary drainage comes first</w:t>
      </w:r>
    </w:p>
    <w:p>
      <w:pPr>
        <w:spacing w:after="140"/>
      </w:pPr>
      <w:r>
        <w:rPr>
          <w:b/>
          <w:bCs/>
          <w:color w:val="176A87"/>
          <w:sz w:val="19"/>
          <w:szCs w:val="19"/>
        </w:rPr>
        <w:t xml:space="preserve">The question. </w:t>
      </w:r>
      <w:r>
        <w:rPr>
          <w:sz w:val="19"/>
          <w:szCs w:val="19"/>
        </w:rPr>
        <w:t xml:space="preserve">Which sectors am I draining, and does an operative plan exist yet to tell me which ones they are?</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Cholangitis, or a bilirubin that is rising</w:t>
      </w:r>
    </w:p>
    <w:p>
      <w:pPr>
        <w:pStyle w:val="ListParagraph"/>
        <w:numPr>
          <w:ilvl w:val="0"/>
          <w:numId w:val="2"/>
        </w:numPr>
        <w:spacing w:after="60" w:line="268"/>
      </w:pPr>
      <w:r>
        <w:rPr>
          <w:color w:val="15181F"/>
          <w:sz w:val="18"/>
          <w:szCs w:val="18"/>
        </w:rPr>
        <w:t xml:space="preserve">Jaundice in a patient whose planned operation is a major hepatectomy with a predicted future liver remnant of 30% or less</w:t>
      </w:r>
    </w:p>
    <w:p>
      <w:pPr>
        <w:pStyle w:val="ListParagraph"/>
        <w:numPr>
          <w:ilvl w:val="0"/>
          <w:numId w:val="2"/>
        </w:numPr>
        <w:spacing w:after="60" w:line="268"/>
      </w:pPr>
      <w:r>
        <w:rPr>
          <w:color w:val="15181F"/>
          <w:sz w:val="18"/>
          <w:szCs w:val="18"/>
        </w:rPr>
        <w:t xml:space="preserve">Portal vein embolisation planned — hypertrophy is poor while the remnant stays cholestatic</w:t>
      </w:r>
    </w:p>
    <w:p>
      <w:pPr>
        <w:pStyle w:val="ListParagraph"/>
        <w:numPr>
          <w:ilvl w:val="0"/>
          <w:numId w:val="2"/>
        </w:numPr>
        <w:spacing w:after="60" w:line="268"/>
      </w:pPr>
      <w:r>
        <w:rPr>
          <w:color w:val="15181F"/>
          <w:sz w:val="18"/>
          <w:szCs w:val="18"/>
        </w:rPr>
        <w:t xml:space="preserve">Neoadjuvant chemoradiation, radiotherapy or systemic therapy planned</w:t>
      </w:r>
    </w:p>
    <w:p>
      <w:pPr>
        <w:pStyle w:val="ListParagraph"/>
        <w:numPr>
          <w:ilvl w:val="0"/>
          <w:numId w:val="2"/>
        </w:numPr>
        <w:spacing w:after="60" w:line="268"/>
      </w:pPr>
      <w:r>
        <w:rPr>
          <w:color w:val="15181F"/>
          <w:sz w:val="18"/>
          <w:szCs w:val="18"/>
        </w:rPr>
        <w:t xml:space="preserve">Malnutrition, or hepatic or renal insufficiency from prolonged jaundice</w:t>
      </w:r>
    </w:p>
    <w:p>
      <w:pPr>
        <w:pStyle w:val="ListParagraph"/>
        <w:numPr>
          <w:ilvl w:val="0"/>
          <w:numId w:val="2"/>
        </w:numPr>
        <w:spacing w:after="60" w:line="268"/>
      </w:pPr>
      <w:r>
        <w:rPr>
          <w:color w:val="15181F"/>
          <w:sz w:val="18"/>
          <w:szCs w:val="18"/>
        </w:rPr>
        <w:t xml:space="preserve">Note that routine preoperative drainage of every jaundiced patient is not what the guidelines say: this is an indication list, not a default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Drain the sectors that will form the future liver remnant, not the most accessible duct, and name one owner for the drainage strategy.</w:t>
      </w:r>
    </w:p>
    <w:p>
      <w:pPr>
        <w:spacing w:after="50" w:line="276"/>
        <w:ind w:left="240"/>
      </w:pPr>
      <w:r>
        <w:rPr>
          <w:color w:val="15181F"/>
          <w:sz w:val="18"/>
          <w:szCs w:val="18"/>
        </w:rPr>
        <w:t xml:space="preserve">Every patient drained with a resection or protocol destination in mind — the objective is decompression of the sectors you intend to keep, which is why Gate 0 and the resectability gate are discussed together at the first tumour board. ESGE 2026 suggests </w:t>
      </w:r>
      <w:r>
        <w:rPr>
          <w:i/>
          <w:iCs/>
          <w:color w:val="15181F"/>
          <w:sz w:val="18"/>
          <w:szCs w:val="18"/>
        </w:rPr>
        <w:t xml:space="preserve">against</w:t>
      </w:r>
      <w:r>
        <w:rPr>
          <w:color w:val="15181F"/>
          <w:sz w:val="18"/>
          <w:szCs w:val="18"/>
        </w:rPr>
        <w:t xml:space="preserve"> routine preoperative drainage and lists severe jaundice, cholangitis and a predicted remnant of 30% or less as the accepted indications (conditional, low quality); the Milan consensus restricts it to a small remnant needing hypertrophy, cholangitis, renal or hepatic failure, severe malnutrition or pruritus, and says to drain the future liver remnant exclusively.</w:t>
      </w:r>
    </w:p>
    <w:p>
      <w:pPr>
        <w:spacing w:after="50"/>
        <w:ind w:left="240"/>
      </w:pPr>
      <w:r>
        <w:rPr>
          <w:b/>
          <w:bCs/>
          <w:color w:val="8C2F26"/>
          <w:sz w:val="18"/>
          <w:szCs w:val="18"/>
        </w:rPr>
        <w:t xml:space="preserve">Caveat. </w:t>
      </w:r>
      <w:r>
        <w:rPr>
          <w:color w:val="15181F"/>
          <w:sz w:val="18"/>
          <w:szCs w:val="18"/>
        </w:rPr>
        <w:t xml:space="preserve">Do not drain an atrophic or to-be-resected lobe: it relieves jaundice without enabling the operation, and hypertrophy after portal vein embolisation is poor in a liver that remains cholestatic. Cholangitis after a poorly planned drain is the most common avoidable disaster in this disease. Equally, do not drain reflexively: the Coelen investigators' own conclusion from their trial was that drainage should follow resectability assessment at a specialist centre and may be unnecessary when the remnant exceeds 50% of liver volume.</w:t>
      </w:r>
    </w:p>
    <w:p>
      <w:pPr>
        <w:spacing w:after="50" w:line="276"/>
        <w:ind w:left="240"/>
      </w:pPr>
      <w:r>
        <w:rPr>
          <w:i/>
          <w:iCs/>
          <w:color w:val="5A6069"/>
          <w:sz w:val="17"/>
          <w:szCs w:val="17"/>
        </w:rPr>
        <w:t xml:space="preserve">Grade D. No trial compares remnant-focused drainage with draining the most accessible duct; the position follows from the physiology of hypertrophy in a cholestatic liver and from the guidelines' own wording, not from comparative outcome data. The Asia-Pacific panel reached only 56% full agreement on its preoperative-drainage statement. Antibiotics with the procedure, cultures sent, and a named owner for drain management. As few drains as achieve remnant decompression — multiple uncoordinated drains placed by different services is a recognised failure pattern. [EXPERTISE]</w:t>
      </w:r>
    </w:p>
    <w:p>
      <w:pPr>
        <w:spacing w:after="60" w:line="276"/>
        <w:ind w:left="240"/>
      </w:pPr>
      <w:r>
        <w:rPr>
          <w:color w:val="5A6069"/>
          <w:sz w:val="16"/>
          <w:szCs w:val="16"/>
        </w:rPr>
        <w:t xml:space="preserve">Sources: Milan consensus; ESGE 2026; AHPBA 2015</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In unresectable disease being drained for palliation, aim to drain more than 50% of viable liver volume including the future liver remnant, and drain every segment that has been opacified.</w:t>
      </w:r>
    </w:p>
    <w:p>
      <w:pPr>
        <w:spacing w:after="50" w:line="276"/>
        <w:ind w:left="240"/>
      </w:pPr>
      <w:r>
        <w:rPr>
          <w:color w:val="15181F"/>
          <w:sz w:val="18"/>
          <w:szCs w:val="18"/>
        </w:rPr>
        <w:t xml:space="preserve">Palliative drainage where the destination is systemic therapy or symptom control. ESGE 2026 raises the target to 70% or more where it can be achieved; above 50% drained gave better clinical success (OR 4.5) and longer survival (119 versus 59 days), and the Asia-Pacific statement reports longer survival above 80% drained (HR 2.46).</w:t>
      </w:r>
    </w:p>
    <w:p>
      <w:pPr>
        <w:spacing w:after="50"/>
        <w:ind w:left="240"/>
      </w:pPr>
      <w:r>
        <w:rPr>
          <w:b/>
          <w:bCs/>
          <w:color w:val="8C2F26"/>
          <w:sz w:val="18"/>
          <w:szCs w:val="18"/>
        </w:rPr>
        <w:t xml:space="preserve">Caveat. </w:t>
      </w:r>
      <w:r>
        <w:rPr>
          <w:color w:val="15181F"/>
          <w:sz w:val="18"/>
          <w:szCs w:val="18"/>
        </w:rPr>
        <w:t xml:space="preserve">Generally do not drain atrophic segments, and do not inject contrast into a duct you do not intend to drain — an opacified undrained sector is a cholangitis waiting to happen.</w:t>
      </w:r>
    </w:p>
    <w:p>
      <w:pPr>
        <w:spacing w:after="50" w:line="276"/>
        <w:ind w:left="240"/>
      </w:pPr>
      <w:r>
        <w:rPr>
          <w:i/>
          <w:iCs/>
          <w:color w:val="5A6069"/>
          <w:sz w:val="17"/>
          <w:szCs w:val="17"/>
        </w:rPr>
        <w:t xml:space="preserve">Downgraded to D: no threshold here was derived. ESGE lists prospective volumetry against survival and access to chemotherapy as an unmet need, and no meta-analysis or comparative trial has tested any percentage cut-off; the supporting cohorts disagree among themselves (50%, 71%, 80%) and the 50% and 80% figures come from single-centre retrospective series (Vienne 2010, Caillol 2019) with no prospective validation. Both the ESGE and Asia-Pacific statements on this are graded low or very low quality. Sector volumes for planning: right anterior, right posterior and left each about 30%, segments I and IV about 10%, atrophic segments counted as non-viable. Bismuth I, II and IIIb can often be served by one stent; IIIa and IV need two or more to reach 50%.</w:t>
      </w:r>
    </w:p>
    <w:p>
      <w:pPr>
        <w:spacing w:after="60" w:line="276"/>
        <w:ind w:left="240"/>
      </w:pPr>
      <w:r>
        <w:rPr>
          <w:color w:val="5A6069"/>
          <w:sz w:val="16"/>
          <w:szCs w:val="16"/>
        </w:rPr>
        <w:t xml:space="preserve">Sources: ESGE 2026; Asia-Pacific 2024; ASGE hilar</w:t>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Downgraded from B to C. The order reflects guideline wording and one prematurely stopped trial, not a demonstrated survival advantage. The roadmap's own position is that route is unsettled: DRAINAGE was negative on its primary endpoint — one or more severe drainage-related complications in 17 of 27 (63%) after percutaneous versus 18 of 27 (67%) after endoscopic drainage, relative risk 0.94 (95% CI 0.64–1.40) — and the mortality signal that stopped it came from 54 of a planned 106 patients, is acknowledged by the authors as prone to type I error, and had no mechanism identified by the safety board. Pooled across three randomised trials, ASGE found 30-day mortality only trending lower with endoscopic drainage (RR 0.53, 95% CI 0.28–1.01, p=0.05). What is not optional is draining the correct sectors.</w:t>
      </w:r>
    </w:p>
    <w:p>
      <w:pPr>
        <w:spacing w:after="50" w:before="120"/>
        <w:ind w:left="240"/>
      </w:pPr>
      <w:r>
        <w:rPr>
          <w:b/>
          <w:bCs/>
          <w:color w:val="15181F"/>
          <w:sz w:val="19"/>
          <w:szCs w:val="19"/>
        </w:rPr>
        <w:t xml:space="preserve">Endoscopic drainage (ERCP)</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ESGE 2026 recommends ERCP over percutaneous drainage for preoperative drainage in malignant hilar obstruction (strong recommendation, moderate quality), and ASGE suggests against routine percutaneous drainage as first-line therapy before possible resection or transplantation (conditional, low quality). NCCN leaves route to local expertise after multidisciplinary review.</w:t>
      </w:r>
    </w:p>
    <w:p>
      <w:pPr>
        <w:spacing w:after="50" w:line="276"/>
        <w:ind w:left="240"/>
      </w:pPr>
      <w:r>
        <w:rPr>
          <w:color w:val="15181F"/>
          <w:sz w:val="18"/>
          <w:szCs w:val="18"/>
        </w:rPr>
        <w:t xml:space="preserve">The first route in a patient who still has a curative option, where the anatomy is reachable and the endoscopic service is experienced. DRAINAGE was stopped early because mortality between randomisation and 90 days after surgery was higher after percutaneous drainage, 11 of 27 (41%) versus 3 of 27 (11%), relative risk 3.67 (95% CI 1.15–11.69), p=0.03; a 1,085-patient meta-analysis found more implantation metastases after the percutaneous route (OR 0.35, 0.23–0.53).</w:t>
      </w:r>
    </w:p>
    <w:p>
      <w:pPr>
        <w:spacing w:after="50"/>
        <w:ind w:left="240"/>
      </w:pPr>
      <w:r>
        <w:rPr>
          <w:b/>
          <w:bCs/>
          <w:color w:val="8C2F26"/>
          <w:sz w:val="18"/>
          <w:szCs w:val="18"/>
        </w:rPr>
        <w:t xml:space="preserve">Caveat. </w:t>
      </w:r>
      <w:r>
        <w:rPr>
          <w:color w:val="15181F"/>
          <w:sz w:val="18"/>
          <w:szCs w:val="18"/>
        </w:rPr>
        <w:t xml:space="preserve">Lower technical success (20 of 27, 74%, versus 25 of 27, 93%) and more pancreatitis (5, 19%, versus 1, 4%). In the trial 15 of 27 patients allocated to endoscopic drainage (56%) needed additional percutaneous drainage against 1 of 27 the other way, so this is a comparison of initial strategies, not of techniques. ESGE's own section cites a meta-analysis giving percutaneous drainage higher therapeutic success (OR 3.5, 95% CI 2.1–6.0) and 11.5-fold more reintervention after ERCP, with 10 of its 11 studies retrospective — the strong recommendation runs against the best comparative data printed beside it.</w:t>
      </w:r>
    </w:p>
    <w:p>
      <w:pPr>
        <w:spacing w:after="60" w:line="276"/>
        <w:ind w:left="240"/>
      </w:pPr>
      <w:r>
        <w:rPr>
          <w:color w:val="5A6069"/>
          <w:sz w:val="16"/>
          <w:szCs w:val="16"/>
        </w:rPr>
        <w:t xml:space="preserve">Sources: DRAINAGE; ESGE 2026; ASGE hilar</w:t>
      </w:r>
    </w:p>
    <w:p>
      <w:pPr>
        <w:spacing w:after="50" w:before="120"/>
        <w:ind w:left="240"/>
      </w:pPr>
      <w:r>
        <w:rPr>
          <w:b/>
          <w:bCs/>
          <w:color w:val="15181F"/>
          <w:sz w:val="19"/>
          <w:szCs w:val="19"/>
        </w:rPr>
        <w:t xml:space="preserve">Percutaneous transhepatic drainage</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Reserved for failed or anatomically unsuitable endoscopic access, and accepted either way for palliative drainage of unresectable disease, by patient preference, disease characteristics and local expertise.</w:t>
      </w:r>
    </w:p>
    <w:p>
      <w:pPr>
        <w:spacing w:after="50" w:line="276"/>
        <w:ind w:left="240"/>
      </w:pPr>
      <w:r>
        <w:rPr>
          <w:color w:val="15181F"/>
          <w:sz w:val="18"/>
          <w:szCs w:val="18"/>
        </w:rPr>
        <w:t xml:space="preserve">Sectors that endoscopic drainage cannot reach, particularly in Bismuth IIIa and IV disease, and where percutaneous delineation of intrahepatic tumour spread will change the operative plan. It is also the route with the higher technical success in the one randomised comparison and in ESGE's pooled data.</w:t>
      </w:r>
    </w:p>
    <w:p>
      <w:pPr>
        <w:spacing w:after="50"/>
        <w:ind w:left="240"/>
      </w:pPr>
      <w:r>
        <w:rPr>
          <w:b/>
          <w:bCs/>
          <w:color w:val="8C2F26"/>
          <w:sz w:val="18"/>
          <w:szCs w:val="18"/>
        </w:rPr>
        <w:t xml:space="preserve">Caveat. </w:t>
      </w:r>
      <w:r>
        <w:rPr>
          <w:color w:val="15181F"/>
          <w:sz w:val="18"/>
          <w:szCs w:val="18"/>
        </w:rPr>
        <w:t xml:space="preserve">Weigh the catheter-tract and peritoneal seeding concern heavily in anyone who may be a transplant protocol candidate: ASGE's recommendation rests on 7.8% seeding after endoscopic versus 17.1% after percutaneous drainage (OR 0.27, 0.13–0.56), with percutaneous drainage the only independent predictor of peritoneal recurrence in one adjusted cohort (OR 6.9, 1.9–25.7). Read that at its real strength — the ASGE panel itself calls this the weakest evidence in the document: a six-study meta-analysis with high heterogeneity (I² 66%) and very few events, plus one adjusted single-centre cohort, both graded very low quality.</w:t>
      </w:r>
    </w:p>
    <w:p>
      <w:pPr>
        <w:spacing w:after="60" w:line="276"/>
        <w:ind w:left="240"/>
      </w:pPr>
      <w:r>
        <w:rPr>
          <w:color w:val="5A6069"/>
          <w:sz w:val="16"/>
          <w:szCs w:val="16"/>
        </w:rPr>
        <w:t xml:space="preserve">Sources: DRAINAGE; ASGE hilar; AHPBA 2015</w:t>
      </w:r>
    </w:p>
    <w:p>
      <w:pPr>
        <w:spacing w:after="60" w:line="276"/>
        <w:ind w:left="240"/>
      </w:pPr>
      <w:r>
        <w:rPr>
          <w:i/>
          <w:iCs/>
          <w:color w:val="5A6069"/>
          <w:sz w:val="16"/>
          <w:szCs w:val="16"/>
        </w:rPr>
        <w:t xml:space="preserve">Ratification item (§11 item 2): should the roadmap name endoscopic drainage as the default first route for potential resection and protocol candidates, as AASLD and ESGE 2026 do, or keep route unsettled as written? The 2015 AHPBA consensus preferred the percutaneous route and that preference has not held up, but the 2026 reversal rests on a single stopped trial extrapolated from the preoperative to the palliative setting. Note before ratifying: five ESGE authors declare relationships with stent manufacturers, many ASGE panel members declare the same, and one ASGE panel member is at this institution. Registry: route, cholangitis, re-intervention.</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A removable plastic stent while resection, transplantation or a good systemic response remains possible; an uncovered metal stent once those options are closed.</w:t>
      </w:r>
    </w:p>
    <w:p>
      <w:pPr>
        <w:spacing w:after="50" w:line="276"/>
        <w:ind w:left="240"/>
      </w:pPr>
      <w:r>
        <w:rPr>
          <w:color w:val="15181F"/>
          <w:sz w:val="18"/>
          <w:szCs w:val="18"/>
        </w:rPr>
        <w:t xml:space="preserve">Patients whose drainage strategy is not yet defined, or who may respond well to systemic therapy and outlive uncovered-stent patency.</w:t>
      </w:r>
    </w:p>
    <w:p>
      <w:pPr>
        <w:spacing w:after="50"/>
        <w:ind w:left="240"/>
      </w:pPr>
      <w:r>
        <w:rPr>
          <w:b/>
          <w:bCs/>
          <w:color w:val="8C2F26"/>
          <w:sz w:val="18"/>
          <w:szCs w:val="18"/>
        </w:rPr>
        <w:t xml:space="preserve">Caveat. </w:t>
      </w:r>
      <w:r>
        <w:rPr>
          <w:color w:val="15181F"/>
          <w:sz w:val="18"/>
          <w:szCs w:val="18"/>
        </w:rPr>
        <w:t xml:space="preserve">Avoid uncovered metal stents in a potential transplant candidate — they cannot be removed and are difficult to deal with surgically. Metal stents give better patency and fewer reinterventions (OR 0.34) and 56 days more survival (95% CI 12–101) in the pooled ASGE analysis, but the comparator plastic arms were waited out to occlusion rather than exchanged on schedule, which is why the ASGE panel declined a strong recommendation.</w:t>
      </w:r>
    </w:p>
    <w:p>
      <w:pPr>
        <w:spacing w:after="50" w:line="276"/>
        <w:ind w:left="240"/>
      </w:pPr>
      <w:r>
        <w:rPr>
          <w:i/>
          <w:iCs/>
          <w:color w:val="5A6069"/>
          <w:sz w:val="17"/>
          <w:szCs w:val="17"/>
        </w:rPr>
        <w:t xml:space="preserve">The roadmap itself does not set a stent rule — it says to choose stent and access route through multidisciplinary review, and that the algorithm does not establish a universal stent material. The rule above is the alignment worksheet's proposal (area 3) and needs ratification. The page also takes no position on bilateral versus unilateral stenting, which is a live question: ASGE suggests bilateral absent lobar atrophy, but its pooled survival gain was 11 days (95% CI −12 to 35) and pooled patency showed no difference (SMD 0.38, −0.22 to 0.99, I² 78%), while one randomised trial reported in ESGE 2026 gave bilateral stenting clinical success 95.3% versus 84.9% and patency 252 versus 139 days.</w:t>
      </w:r>
    </w:p>
    <w:p>
      <w:pPr>
        <w:spacing w:after="60" w:line="276"/>
        <w:ind w:left="240"/>
      </w:pPr>
      <w:r>
        <w:rPr>
          <w:color w:val="5A6069"/>
          <w:sz w:val="16"/>
          <w:szCs w:val="16"/>
        </w:rPr>
        <w:t xml:space="preserve">Sources: ESGE 2026; Asia-Pacific 2024; ASGE hilar</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place the first stent before multiphase CT of the chest, abdomen and pelvis and MRI with MRCP, unless cholangitis or a rapidly rising bilirubin makes drainage urgent.</w:t>
      </w:r>
    </w:p>
    <w:p>
      <w:pPr>
        <w:spacing w:after="50" w:line="276"/>
        <w:ind w:left="240"/>
      </w:pPr>
      <w:r>
        <w:rPr>
          <w:color w:val="15181F"/>
          <w:sz w:val="18"/>
          <w:szCs w:val="18"/>
        </w:rPr>
        <w:t xml:space="preserve">Document the reason when emergency decompression comes first, and complete staging promptly.</w:t>
      </w:r>
    </w:p>
    <w:p>
      <w:pPr>
        <w:spacing w:after="50"/>
        <w:ind w:left="240"/>
      </w:pPr>
      <w:r>
        <w:rPr>
          <w:b/>
          <w:bCs/>
          <w:color w:val="8C2F26"/>
          <w:sz w:val="18"/>
          <w:szCs w:val="18"/>
        </w:rPr>
        <w:t xml:space="preserve">Caveat. </w:t>
      </w:r>
      <w:r>
        <w:rPr>
          <w:color w:val="15181F"/>
          <w:sz w:val="18"/>
          <w:szCs w:val="18"/>
        </w:rPr>
        <w:t xml:space="preserve">A stent's inflammatory change degrades assessment of ductal extent and cannot be undone. MRI/MRCP outperforms contrast-enhanced CT both for the nature of the stricture (pooled accuracy 96% versus 89%, OR 2.1, 1.2–3.6) and for identifying the level (OR 3.3, 1.2–9.1).</w:t>
      </w:r>
    </w:p>
    <w:p>
      <w:pPr>
        <w:spacing w:after="50" w:line="276"/>
        <w:ind w:left="240"/>
      </w:pPr>
      <w:r>
        <w:rPr>
          <w:i/>
          <w:iCs/>
          <w:color w:val="5A6069"/>
          <w:sz w:val="17"/>
          <w:szCs w:val="17"/>
        </w:rPr>
        <w:t xml:space="preserve">Downgraded from B to C: the ESGE recommendation behind these numbers is conditional on low-quality evidence, and the ESGE panel found no randomised trial for any of its perihilar questions.</w:t>
      </w:r>
    </w:p>
    <w:p>
      <w:pPr>
        <w:spacing w:after="60" w:line="276"/>
        <w:ind w:left="240"/>
      </w:pPr>
      <w:r>
        <w:rPr>
          <w:color w:val="5A6069"/>
          <w:sz w:val="16"/>
          <w:szCs w:val="16"/>
        </w:rPr>
        <w:t xml:space="preserve">Sources: ESGE 2025; Milan consensus</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accept a bilirubin threshold that has not been written down.</w:t>
      </w:r>
    </w:p>
    <w:p>
      <w:pPr>
        <w:spacing w:after="50" w:line="276"/>
        <w:ind w:left="240"/>
      </w:pPr>
      <w:r>
        <w:rPr>
          <w:color w:val="15181F"/>
          <w:sz w:val="18"/>
          <w:szCs w:val="18"/>
        </w:rPr>
        <w:t xml:space="preserve">Set the programme threshold locally, record it, and apply it consistently before major hepatectomy, embolic therapy, radiation and systemic therapy.</w:t>
      </w:r>
    </w:p>
    <w:p>
      <w:pPr>
        <w:spacing w:after="50"/>
        <w:ind w:left="240"/>
      </w:pPr>
      <w:r>
        <w:rPr>
          <w:b/>
          <w:bCs/>
          <w:color w:val="8C2F26"/>
          <w:sz w:val="18"/>
          <w:szCs w:val="18"/>
        </w:rPr>
        <w:t xml:space="preserve">Caveat. </w:t>
      </w:r>
      <w:r>
        <w:rPr>
          <w:color w:val="15181F"/>
          <w:sz w:val="18"/>
          <w:szCs w:val="18"/>
        </w:rPr>
        <w:t xml:space="preserve">There are no comparative data defining the cut-off; it is a safety convention, and an unwritten one is applied inconsistently. §11 item 3 audits post-hepatectomy liver failure by preoperative bilirubin.</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1 · Define the extent</w:t>
      </w:r>
    </w:p>
    <w:p>
      <w:pPr>
        <w:spacing w:after="140"/>
      </w:pPr>
      <w:r>
        <w:rPr>
          <w:b/>
          <w:bCs/>
          <w:color w:val="176A87"/>
          <w:sz w:val="19"/>
          <w:szCs w:val="19"/>
        </w:rPr>
        <w:t xml:space="preserve">The question. </w:t>
      </w:r>
      <w:r>
        <w:rPr>
          <w:sz w:val="19"/>
          <w:szCs w:val="19"/>
        </w:rPr>
        <w:t xml:space="preserve">Do I know the extent well enough to say whether this is resectable, and did I get the imaging before anyone stented?</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Multiphase CT of chest, abdomen and pelvis plus MRI with MRCP, obtained before stenting where the clinical situation allows</w:t>
      </w:r>
    </w:p>
    <w:p>
      <w:pPr>
        <w:pStyle w:val="ListParagraph"/>
        <w:numPr>
          <w:ilvl w:val="0"/>
          <w:numId w:val="2"/>
        </w:numPr>
        <w:spacing w:after="60" w:line="268"/>
      </w:pPr>
      <w:r>
        <w:rPr>
          <w:color w:val="15181F"/>
          <w:sz w:val="18"/>
          <w:szCs w:val="18"/>
        </w:rPr>
        <w:t xml:space="preserve">Biliary extent recorded by sector, with portal venous and hepatic arterial involvement and lobar atrophy</w:t>
      </w:r>
    </w:p>
    <w:p>
      <w:pPr>
        <w:pStyle w:val="ListParagraph"/>
        <w:numPr>
          <w:ilvl w:val="0"/>
          <w:numId w:val="2"/>
        </w:numPr>
        <w:spacing w:after="60" w:line="268"/>
      </w:pPr>
      <w:r>
        <w:rPr>
          <w:color w:val="15181F"/>
          <w:sz w:val="18"/>
          <w:szCs w:val="18"/>
        </w:rPr>
        <w:t xml:space="preserve">Future liver remnant volume, regional and distant nodal status, peritoneal findings</w:t>
      </w:r>
    </w:p>
    <w:p>
      <w:pPr>
        <w:pStyle w:val="ListParagraph"/>
        <w:numPr>
          <w:ilvl w:val="0"/>
          <w:numId w:val="2"/>
        </w:numPr>
        <w:spacing w:after="60" w:line="268"/>
      </w:pPr>
      <w:r>
        <w:rPr>
          <w:color w:val="15181F"/>
          <w:sz w:val="18"/>
          <w:szCs w:val="18"/>
        </w:rPr>
        <w:t xml:space="preserve">Bilirubin trajectory and performance status</w:t>
      </w:r>
    </w:p>
    <w:p>
      <w:pPr>
        <w:pStyle w:val="ListParagraph"/>
        <w:numPr>
          <w:ilvl w:val="0"/>
          <w:numId w:val="2"/>
        </w:numPr>
        <w:spacing w:after="60" w:line="268"/>
      </w:pPr>
      <w:r>
        <w:rPr>
          <w:color w:val="15181F"/>
          <w:sz w:val="18"/>
          <w:szCs w:val="18"/>
        </w:rPr>
        <w:t xml:space="preserve">Whether the patient has primary sclerosing cholangitis — it changes both the differential and the transplant discussion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Stage with multiphase CT of the chest, abdomen and pelvis plus MRI with MRCP; chest imaging is part of staging because distant spread changes every later gate.</w:t>
      </w:r>
    </w:p>
    <w:p>
      <w:pPr>
        <w:spacing w:after="50" w:line="276"/>
        <w:ind w:left="240"/>
      </w:pPr>
      <w:r>
        <w:rPr>
          <w:color w:val="15181F"/>
          <w:sz w:val="18"/>
          <w:szCs w:val="18"/>
        </w:rPr>
        <w:t xml:space="preserve">Every patient, before elective instrumentation. CT and MRI are complementary and both are required; MRCP comes before ERC to avoid artefact. The AHPBA panel states a well-performed CT or MRI should exceed 75% accuracy for resectability.</w:t>
      </w:r>
    </w:p>
    <w:p>
      <w:pPr>
        <w:spacing w:after="50"/>
        <w:ind w:left="240"/>
      </w:pPr>
      <w:r>
        <w:rPr>
          <w:b/>
          <w:bCs/>
          <w:color w:val="8C2F26"/>
          <w:sz w:val="18"/>
          <w:szCs w:val="18"/>
        </w:rPr>
        <w:t xml:space="preserve">Caveat. </w:t>
      </w:r>
      <w:r>
        <w:rPr>
          <w:color w:val="15181F"/>
          <w:sz w:val="18"/>
          <w:szCs w:val="18"/>
        </w:rPr>
        <w:t xml:space="preserve">FDG-PET lacks the sensitivity and specificity for routine staging in this disease and should not replace the cross-sectional package — though note BSG 2023 does recommend FDG-PET/CT for nodal and distant disease, so this is a point of guideline disagreement, not settled fact.</w:t>
      </w:r>
    </w:p>
    <w:p>
      <w:pPr>
        <w:spacing w:after="50" w:line="276"/>
        <w:ind w:left="240"/>
      </w:pPr>
      <w:r>
        <w:rPr>
          <w:i/>
          <w:iCs/>
          <w:color w:val="5A6069"/>
          <w:sz w:val="17"/>
          <w:szCs w:val="17"/>
        </w:rPr>
        <w:t xml:space="preserve">Downgraded from B to C. The 75% accuracy figure is an ungraded expert-consensus statement from a six-person panel across four institutions, and the ESGE imaging recommendation that supports MRI/MRCP over CT is conditional on low-quality evidence. Nothing here was derived prospectively in perihilar disease.</w:t>
      </w:r>
    </w:p>
    <w:p>
      <w:pPr>
        <w:spacing w:after="60" w:line="276"/>
        <w:ind w:left="240"/>
      </w:pPr>
      <w:r>
        <w:rPr>
          <w:color w:val="5A6069"/>
          <w:sz w:val="16"/>
          <w:szCs w:val="16"/>
        </w:rPr>
        <w:t xml:space="preserve">Sources: ESGE 2025; Milan consensus; AHPBA 2015</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Record the Bismuth-Corlette type as shorthand for the pattern of ductal involvement, but do not let it decide resectability — vascular involvement, lobar atrophy, nodal status and remnant volume do that.</w:t>
      </w:r>
    </w:p>
    <w:p>
      <w:pPr>
        <w:spacing w:after="50" w:line="276"/>
        <w:ind w:left="240"/>
      </w:pPr>
      <w:r>
        <w:rPr>
          <w:color w:val="15181F"/>
          <w:sz w:val="18"/>
          <w:szCs w:val="18"/>
        </w:rPr>
        <w:t xml:space="preserve">Communication at the board, and planning which sectors to drain and how many stents it will take.</w:t>
      </w:r>
    </w:p>
    <w:p>
      <w:pPr>
        <w:spacing w:after="50"/>
        <w:ind w:left="240"/>
      </w:pPr>
      <w:r>
        <w:rPr>
          <w:b/>
          <w:bCs/>
          <w:color w:val="8C2F26"/>
          <w:sz w:val="18"/>
          <w:szCs w:val="18"/>
        </w:rPr>
        <w:t xml:space="preserve">Caveat. </w:t>
      </w:r>
      <w:r>
        <w:rPr>
          <w:color w:val="15181F"/>
          <w:sz w:val="18"/>
          <w:szCs w:val="18"/>
        </w:rPr>
        <w:t xml:space="preserve">Do not treat the preoperative type as the final extent. In the original series postoperative histology upstaged tumours, 4 operative type IV lesions becoming 9, so the preoperative type systematically understates extent. The Milan jury declined to endorse Bismuth-Corlette, or any other staging system — MSKCC included — as a predictor of resectability, and its own resectability criteria are stated to be expert opinion requiring validation.</w:t>
      </w:r>
    </w:p>
    <w:p>
      <w:pPr>
        <w:spacing w:after="50" w:line="276"/>
        <w:ind w:left="240"/>
      </w:pPr>
      <w:r>
        <w:rPr>
          <w:i/>
          <w:iCs/>
          <w:color w:val="5A6069"/>
          <w:sz w:val="17"/>
          <w:szCs w:val="17"/>
        </w:rPr>
        <w:t xml:space="preserve">Grade C, and read the denominators: the classification and its type-specific operations rest on 23 resections accumulated over 30 years at one centre, one to four patients per type, in 122 patients taken to surgery. See the quick reference for the operation each type implies.</w:t>
      </w:r>
    </w:p>
    <w:p>
      <w:pPr>
        <w:spacing w:after="60" w:line="276"/>
        <w:ind w:left="240"/>
      </w:pPr>
      <w:r>
        <w:rPr>
          <w:color w:val="5A6069"/>
          <w:sz w:val="16"/>
          <w:szCs w:val="16"/>
        </w:rPr>
        <w:t xml:space="preserve">Sources: Bismuth-Corlette; Milan consensus</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Treat CA 19-9 and CEA as supporting measurements, not proof of malignancy, and record each value with the bilirubin and drainage status at the time it was drawn.</w:t>
      </w:r>
    </w:p>
    <w:p>
      <w:pPr>
        <w:spacing w:after="50" w:line="276"/>
        <w:ind w:left="240"/>
      </w:pPr>
      <w:r>
        <w:rPr>
          <w:color w:val="15181F"/>
          <w:sz w:val="18"/>
          <w:szCs w:val="18"/>
        </w:rPr>
        <w:t xml:space="preserve">Where a value is to count toward the transplant protocol's diagnostic criteria it is measured only after decompression and in the absence of cholangitis.</w:t>
      </w:r>
    </w:p>
    <w:p>
      <w:pPr>
        <w:spacing w:after="50"/>
        <w:ind w:left="240"/>
      </w:pPr>
      <w:r>
        <w:rPr>
          <w:b/>
          <w:bCs/>
          <w:color w:val="8C2F26"/>
          <w:sz w:val="18"/>
          <w:szCs w:val="18"/>
        </w:rPr>
        <w:t xml:space="preserve">Caveat. </w:t>
      </w:r>
      <w:r>
        <w:rPr>
          <w:color w:val="15181F"/>
          <w:sz w:val="18"/>
          <w:szCs w:val="18"/>
        </w:rPr>
        <w:t xml:space="preserve">Tumour markers must not be used alone to separate a benign from a malignant stricture: pooled accuracy is 81% (76–87) for CA 19-9 and 70% (62–78) for CEA, with false-positive rates of 15% and 18%, and CA 19-9 rises in primary sclerosing cholangitis, cirrhosis and obstructive jaundice. NCCN is explicit that CEA and CA 19-9 are baseline tests and should not be done to confirm the diagnosis.</w:t>
      </w:r>
    </w:p>
    <w:p>
      <w:pPr>
        <w:spacing w:after="50" w:line="276"/>
        <w:ind w:left="240"/>
      </w:pPr>
      <w:r>
        <w:rPr>
          <w:i/>
          <w:iCs/>
          <w:color w:val="5A6069"/>
          <w:sz w:val="17"/>
          <w:szCs w:val="17"/>
        </w:rPr>
        <w:t xml:space="preserve">Downgraded from B to C: the ESGE recommendation is conditional on very low quality evidence. This matters more here than elsewhere, because CA 19-9 above 100 U/mL is one of the alternative diagnostic criteria for the transplant protocol — a 15% false-positive rate sits underneath a listing decision.</w:t>
      </w:r>
    </w:p>
    <w:p>
      <w:pPr>
        <w:spacing w:after="60" w:line="276"/>
        <w:ind w:left="240"/>
      </w:pPr>
      <w:r>
        <w:rPr>
          <w:color w:val="5A6069"/>
          <w:sz w:val="16"/>
          <w:szCs w:val="16"/>
        </w:rPr>
        <w:t xml:space="preserve">Sources: ESGE 2025</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Measure the future liver remnant by CT volumetry and state the threshold the board is working to before committing to augmentation.</w:t>
      </w:r>
    </w:p>
    <w:p>
      <w:pPr>
        <w:spacing w:after="50" w:line="276"/>
        <w:ind w:left="240"/>
      </w:pPr>
      <w:r>
        <w:rPr>
          <w:color w:val="15181F"/>
          <w:sz w:val="18"/>
          <w:szCs w:val="18"/>
        </w:rPr>
        <w:t xml:space="preserve">Any patient in whom an extended hepatectomy is contemplated. AASLD recommends an adequate remnant of at least 30%; BSG uses 20% with normal parenchyma, 30% after chemotherapy and 40% with cirrhosis; the Milan consensus uses 30% if healthy and at least 40% if frail, cholangitic, cholestatic or malnourished, standardised by Vauthey's formula.</w:t>
      </w:r>
    </w:p>
    <w:p>
      <w:pPr>
        <w:spacing w:after="50"/>
        <w:ind w:left="240"/>
      </w:pPr>
      <w:r>
        <w:rPr>
          <w:b/>
          <w:bCs/>
          <w:color w:val="8C2F26"/>
          <w:sz w:val="18"/>
          <w:szCs w:val="18"/>
        </w:rPr>
        <w:t xml:space="preserve">Caveat. </w:t>
      </w:r>
      <w:r>
        <w:rPr>
          <w:color w:val="15181F"/>
          <w:sz w:val="18"/>
          <w:szCs w:val="18"/>
        </w:rPr>
        <w:t xml:space="preserve">A cholestatic liver fits none of those categories cleanly, which is the roadmap's reason for leaving the number to the board rather than copying one.</w:t>
      </w:r>
    </w:p>
    <w:p>
      <w:pPr>
        <w:spacing w:after="50" w:line="276"/>
        <w:ind w:left="240"/>
      </w:pPr>
      <w:r>
        <w:rPr>
          <w:i/>
          <w:iCs/>
          <w:color w:val="5A6069"/>
          <w:sz w:val="17"/>
          <w:szCs w:val="17"/>
        </w:rPr>
        <w:t xml:space="preserve">Downgraded from C to D. None of these thresholds was derived: three guidelines give three different numbers for the same decision, the Milan figure sits at level-4 expert opinion, and no comparative study tests one cut-off against another in perihilar disease. The roadmap states no numeric remnant threshold. Whether to adopt AASLD's single 30% or BSG's parenchyma-adjusted 20/30/40% is §11 item 4 territory and needs specialty approval.</w:t>
      </w:r>
    </w:p>
    <w:p>
      <w:pPr>
        <w:spacing w:after="60" w:line="276"/>
        <w:ind w:left="240"/>
      </w:pPr>
      <w:r>
        <w:rPr>
          <w:color w:val="5A6069"/>
          <w:sz w:val="16"/>
          <w:szCs w:val="16"/>
        </w:rPr>
        <w:t xml:space="preserve">Sources: Milan consensus; AASLD 2023; BSG 2023</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carry an iCCA or distal cholangiocarcinoma pathway into this disease.</w:t>
      </w:r>
    </w:p>
    <w:p>
      <w:pPr>
        <w:spacing w:after="50" w:line="276"/>
        <w:ind w:left="240"/>
      </w:pPr>
      <w:r>
        <w:rPr>
          <w:color w:val="15181F"/>
          <w:sz w:val="18"/>
          <w:szCs w:val="18"/>
        </w:rPr>
        <w:t xml:space="preserve">Perihilar disease has its own gates: central biliary and vascular anatomy and longitudinal tumour spread differ from a small peripheral liver mass, and the transplant route, the biopsy constraint and the drainage problem are all specific to it.</w:t>
      </w:r>
    </w:p>
    <w:p>
      <w:pPr>
        <w:spacing w:after="50"/>
        <w:ind w:left="240"/>
      </w:pPr>
      <w:r>
        <w:rPr>
          <w:b/>
          <w:bCs/>
          <w:color w:val="8C2F26"/>
          <w:sz w:val="18"/>
          <w:szCs w:val="18"/>
        </w:rPr>
        <w:t xml:space="preserve">Caveat. </w:t>
      </w:r>
      <w:r>
        <w:rPr>
          <w:color w:val="15181F"/>
          <w:sz w:val="18"/>
          <w:szCs w:val="18"/>
        </w:rPr>
        <w:t xml:space="preserve">Intrahepatic and distal cholangiocarcinoma are covered separately and are not interchangeable with this pathway. Gallbladder cancer is out of scope.</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2 · Tissue — what the destination needs, and what the route costs</w:t>
      </w:r>
    </w:p>
    <w:p>
      <w:pPr>
        <w:spacing w:after="140"/>
      </w:pPr>
      <w:r>
        <w:rPr>
          <w:b/>
          <w:bCs/>
          <w:color w:val="176A87"/>
          <w:sz w:val="19"/>
          <w:szCs w:val="19"/>
        </w:rPr>
        <w:t xml:space="preserve">The question. </w:t>
      </w:r>
      <w:r>
        <w:rPr>
          <w:sz w:val="19"/>
          <w:szCs w:val="19"/>
        </w:rPr>
        <w:t xml:space="preserve">Do I actually need tissue for where this patient is going, and will the route I am about to use cost them an option?</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The destination is named before any needle is passed: resection, transplant protocol, or systemic therapy</w:t>
      </w:r>
    </w:p>
    <w:p>
      <w:pPr>
        <w:pStyle w:val="ListParagraph"/>
        <w:numPr>
          <w:ilvl w:val="0"/>
          <w:numId w:val="2"/>
        </w:numPr>
        <w:spacing w:after="60" w:line="268"/>
      </w:pPr>
      <w:r>
        <w:rPr>
          <w:color w:val="15181F"/>
          <w:sz w:val="18"/>
          <w:szCs w:val="18"/>
        </w:rPr>
        <w:t xml:space="preserve">Transperitoneal routes — percutaneous, operative and endoscopic ultrasound — are off the table in anyone who may be protocol-eligible</w:t>
      </w:r>
    </w:p>
    <w:p>
      <w:pPr>
        <w:pStyle w:val="ListParagraph"/>
        <w:numPr>
          <w:ilvl w:val="0"/>
          <w:numId w:val="2"/>
        </w:numPr>
        <w:spacing w:after="60" w:line="268"/>
      </w:pPr>
      <w:r>
        <w:rPr>
          <w:color w:val="15181F"/>
          <w:sz w:val="18"/>
          <w:szCs w:val="18"/>
        </w:rPr>
        <w:t xml:space="preserve">Tissue is taken at the index ERCP, before or at the time the first stent is placed</w:t>
      </w:r>
    </w:p>
    <w:p>
      <w:pPr>
        <w:pStyle w:val="ListParagraph"/>
        <w:numPr>
          <w:ilvl w:val="0"/>
          <w:numId w:val="2"/>
        </w:numPr>
        <w:spacing w:after="60" w:line="268"/>
      </w:pPr>
      <w:r>
        <w:rPr>
          <w:color w:val="15181F"/>
          <w:sz w:val="18"/>
          <w:szCs w:val="18"/>
        </w:rPr>
        <w:t xml:space="preserve">A separate specimen from the same ERCP goes for molecular testing where it is available</w:t>
      </w:r>
    </w:p>
    <w:p>
      <w:pPr>
        <w:pStyle w:val="ListParagraph"/>
        <w:numPr>
          <w:ilvl w:val="0"/>
          <w:numId w:val="2"/>
        </w:numPr>
        <w:spacing w:after="60" w:line="268"/>
      </w:pPr>
      <w:r>
        <w:rPr>
          <w:color w:val="15181F"/>
          <w:sz w:val="18"/>
          <w:szCs w:val="18"/>
        </w:rPr>
        <w:t xml:space="preserve">Nodal sampling and sampling of the primary are treated as different decisions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60" w:line="276"/>
      </w:pPr>
      <w:r>
        <w:rPr>
          <w:color w:val="15181F"/>
          <w:sz w:val="19"/>
          <w:szCs w:val="19"/>
        </w:rPr>
        <w:t xml:space="preserve">A transperitoneal biopsy of the primary tumour must be avoided in any patient who may be protocol-eligible — and that includes the endoscopic ultrasound route.</w:t>
      </w:r>
    </w:p>
    <w:p>
      <w:pPr>
        <w:spacing w:after="50" w:line="276"/>
        <w:ind w:left="240"/>
      </w:pPr>
      <w:r>
        <w:rPr>
          <w:color w:val="15181F"/>
          <w:sz w:val="18"/>
          <w:szCs w:val="18"/>
        </w:rPr>
        <w:t xml:space="preserve">Discuss the route with the transplant team before obtaining tissue. OPTN Policy 9.5.A, requirement 6 names percutaneous, operative and endoscopic ultrasound routes: an EUS needle reaching a perihilar tumour crosses the peritoneal cavity, so it counts. Avoidance is a condition of the standardized exception, not a weighing of evidence — taking the route removes the patient from the standardized route entirely.</w:t>
      </w:r>
    </w:p>
    <w:p>
      <w:pPr>
        <w:spacing w:after="50"/>
        <w:ind w:left="240"/>
      </w:pPr>
      <w:r>
        <w:rPr>
          <w:b/>
          <w:bCs/>
          <w:color w:val="8C2F26"/>
          <w:sz w:val="18"/>
          <w:szCs w:val="18"/>
        </w:rPr>
        <w:t xml:space="preserve">Caveat. </w:t>
      </w:r>
      <w:r>
        <w:rPr>
          <w:color w:val="15181F"/>
          <w:sz w:val="18"/>
          <w:szCs w:val="18"/>
        </w:rPr>
        <w:t xml:space="preserve">In the Mayo protocol cohort of 191 patients, 16 had a transperitoneal fine-needle aspiration of the primary elsewhere; of the 6 whose aspirate was positive for adenocarcinoma, 5 of 6 (83%) had peritoneal metastases at operative staging, against 8% (14 of 175) in those not biopsied (P=0.0097). The 9 patients with non-diagnostic aspirates had no metastases at all. The two groups did not differ in age, sex, PSC, presence or size of a mass, presenting CA 19-9 or interval to staging.</w:t>
      </w:r>
    </w:p>
    <w:p>
      <w:pPr>
        <w:spacing w:after="50" w:line="276"/>
        <w:ind w:left="240"/>
      </w:pPr>
      <w:r>
        <w:rPr>
          <w:i/>
          <w:iCs/>
          <w:color w:val="5A6069"/>
          <w:sz w:val="17"/>
          <w:szCs w:val="17"/>
        </w:rPr>
        <w:t xml:space="preserve">The grade records an absolute policy condition, not the strength of the evidence underneath it, and the two must not be confused. The evidence is six exposed patients and five events: that cannot support a risk estimate, it is not a measured seeding rate, and the roadmap does not present it as one. Because only diagnostic aspirates carried the excess, a positive aspirate may partly be marking a tumour bulky and cell-rich enough to hit with a needle rather than causing dissemination; reverse causation is not excluded by this retrospective single-programme design, and no histological features were available to match the groups on. Only patients already accepted onto the protocol were counted, so anyone whose outside aspirate took them out of consideration is invisible. The 12-centre series is often quoted here too, but its hazard ratio of 2.98 (95% CI 1.79–4.95) is for a composite off-criteria group — 21 patients with a mass over 3 cm, 16 with a direct tumour biopsy, 4 with metastases and 7 with a prior malignancy — and is not attributable to biopsy alone.</w:t>
      </w:r>
    </w:p>
    <w:p>
      <w:pPr>
        <w:spacing w:after="60" w:line="276"/>
        <w:ind w:left="240"/>
      </w:pPr>
      <w:r>
        <w:rPr>
          <w:color w:val="5A6069"/>
          <w:sz w:val="16"/>
          <w:szCs w:val="16"/>
        </w:rPr>
        <w:t xml:space="preserve">Sources: Heimbach 2011; 12-centre protocol series; ASGE 2023; AASLD 2023</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Take tissue at the index ERCP, with brush cytology completed by fluoroscopy-guided intraductal biopsies wherever that is technically feasible.</w:t>
      </w:r>
    </w:p>
    <w:p>
      <w:pPr>
        <w:spacing w:after="50" w:line="276"/>
        <w:ind w:left="240"/>
      </w:pPr>
      <w:r>
        <w:rPr>
          <w:color w:val="15181F"/>
          <w:sz w:val="18"/>
          <w:szCs w:val="18"/>
        </w:rPr>
        <w:t xml:space="preserve">Every patient having a first ERCP for a malignant-appearing hilar stricture. ASGE pools 21 studies and 2,726 patients: incremental yield of adding biopsy to brushing 20% (95% CI 9–31), sensitivity 0.66 combined against 0.52 for biopsy and 0.40 for brushing alone (P&lt;.001). ESGE's figure is higher but rests on far less — a pooled incremental yield of 25% (11–38, OR 2.7, 1.5–4.9) from two retrospective cohorts totalling 101 patients. The Asia-Pacific statement quotes combined sensitivity about 70% against 21–56% for brushing alone and 43–67% for intraductal biopsy.</w:t>
      </w:r>
    </w:p>
    <w:p>
      <w:pPr>
        <w:spacing w:after="50"/>
        <w:ind w:left="240"/>
      </w:pPr>
      <w:r>
        <w:rPr>
          <w:b/>
          <w:bCs/>
          <w:color w:val="8C2F26"/>
          <w:sz w:val="18"/>
          <w:szCs w:val="18"/>
        </w:rPr>
        <w:t xml:space="preserve">Caveat. </w:t>
      </w:r>
      <w:r>
        <w:rPr>
          <w:color w:val="15181F"/>
          <w:sz w:val="18"/>
          <w:szCs w:val="18"/>
        </w:rPr>
        <w:t xml:space="preserve">Deferring tissue to a later stent exchange is treated as costless in practice and probably is not. Note also that adding biopsy is not free: in the ASGE analysis there was no overall difference in adverse events (OR 0.53, 0.14–2.05) but the biopsy arm carried two severe events, prolonged bleeding and a perforation needing surgical choledochotomy.</w:t>
      </w:r>
    </w:p>
    <w:p>
      <w:pPr>
        <w:spacing w:after="50" w:line="276"/>
        <w:ind w:left="240"/>
      </w:pPr>
      <w:r>
        <w:rPr>
          <w:i/>
          <w:iCs/>
          <w:color w:val="5A6069"/>
          <w:sz w:val="17"/>
          <w:szCs w:val="17"/>
        </w:rPr>
        <w:t xml:space="preserve">Downgraded from B to C: every recommendation in both guidelines on this question is conditional on low or very low quality evidence, and neither panel found a randomised trial for any perihilar question. How much tissue is itself unsettled — ESGE says three to four intraductal biopsies appear sufficient, while the real-world cholangioscopy cohort below took a median of 3 and had 33% inconclusive specimens, and its authors recommend a minimum of four. Cytology sensitivity rises with brush passes: 38% at 10, 47% at 20 and 57% at 30 in a multicentre randomised trial of more than 400 patients. For an indeterminate stricture, add cholangioscopy-guided biopsies — pooled incremental yield 27% (10–45) from 13 studies and 1,529 patients, sensitivity 0.72 against 0.61 — but do not repeat the guidelines' claim that this costs nothing: the PSC meta-analysis records post-procedure cholangitis in 11% and procedural failure in 15% of PSC ducts against 2% of controls, and the Groningen cohort had adverse events in 10 of 80 (13%), including two episodes of cholangitis and one cardiac arrest with subsequent stroke.</w:t>
      </w:r>
    </w:p>
    <w:p>
      <w:pPr>
        <w:spacing w:after="60" w:line="276"/>
        <w:ind w:left="240"/>
      </w:pPr>
      <w:r>
        <w:rPr>
          <w:color w:val="5A6069"/>
          <w:sz w:val="16"/>
          <w:szCs w:val="16"/>
        </w:rPr>
        <w:t xml:space="preserve">Sources: ESGE 2025; ASGE 2023; Asia-Pacific 2024</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Send a separate specimen from the same ERCP for next-generation sequencing: it raises yield on the one route that does not jeopardise protocol candidacy.</w:t>
      </w:r>
    </w:p>
    <w:p>
      <w:pPr>
        <w:spacing w:after="50" w:line="276"/>
        <w:ind w:left="240"/>
      </w:pPr>
      <w:r>
        <w:rPr>
          <w:color w:val="15181F"/>
          <w:sz w:val="18"/>
          <w:szCs w:val="18"/>
        </w:rPr>
        <w:t xml:space="preserve">Potential protocol candidates above all, where confirmed malignancy is a protocol condition and the route that would most readily provide it is the one route excluded. In a 6-year prospective study of 2,908 ERCP-obtained specimens from 2,116 patients at 28 US institutions, with accuracy computed on the 1,979 patients who had follow-up (1,108 neoplastic, 871 benign), a DNA/RNA panel gave 82% sensitivity and 98% specificity for a neoplastic stricture, against 44% and 99% for pathological assessment of separate specimens; combining the two gave 88% at 97%. In intrahepatic or hilar strictures specifically it was 80% versus 36%, and 86% combined. Actionable alterations were found in 23% of positive malignancies and in 137 of 458 cholangiocarcinomas (30%), so the same specimen can serve diagnosis and target identification. Assay failure was about 1%. [PAYER] [DEVICE]</w:t>
      </w:r>
    </w:p>
    <w:p>
      <w:pPr>
        <w:spacing w:after="50"/>
        <w:ind w:left="240"/>
      </w:pPr>
      <w:r>
        <w:rPr>
          <w:b/>
          <w:bCs/>
          <w:color w:val="8C2F26"/>
          <w:sz w:val="18"/>
          <w:szCs w:val="18"/>
        </w:rPr>
        <w:t xml:space="preserve">Caveat. </w:t>
      </w:r>
      <w:r>
        <w:rPr>
          <w:color w:val="15181F"/>
          <w:sz w:val="18"/>
          <w:szCs w:val="18"/>
        </w:rPr>
        <w:t xml:space="preserve">Four cautions. Specificity is high but not perfect, and a false positive commits a patient to neoadjuvant chemoradiation and transplantation — the consequence of error is not symmetrical with the consequence in an ordinary diagnostic setting; sixteen false positives occurred, at variant allele frequencies of 1.5–30%. The endpoint was a neoplastic stricture, which is broader than malignancy, and a stricture could be called neoplastic on imaging plus clinical or radiographic progression over 12 months rather than on tissue, which tends to flatter the test that often prompted that work-up. Only 2% of neoplastic strictures were purely dysplastic, so outside PSC this is earlier diagnosis of established cancer, not early detection, and no survival or resectability benefit has been shown. And a negative result still does not exclude malignancy.</w:t>
      </w:r>
    </w:p>
    <w:p>
      <w:pPr>
        <w:spacing w:after="50" w:line="276"/>
        <w:ind w:left="240"/>
      </w:pPr>
      <w:r>
        <w:rPr>
          <w:i/>
          <w:iCs/>
          <w:color w:val="5A6069"/>
          <w:sz w:val="17"/>
          <w:szCs w:val="17"/>
        </w:rPr>
        <w:t xml:space="preserve">Downgraded from B to C. Identical specimens were never compared — sequencing and pathology were run on different specimens — specimens were submitted at the endoscopist's discretion rather than consecutively, FISH was never compared head to head, and all testing was done in the laboratory that developed the assay. The earlier single-centre prospective study (252 patients, 346 specimens) raised pathology sensitivity from 35% to 71% on 132 paired brushings and from 52% to 75% on 114 paired biopsies, and reported 83% versus 8% in primary sclerosing cholangitis on 12 malignant cases (95% CI 0.51–0.98). Two real-world cohorts reproduce the overall direction (65% versus 52% alone and 78% combined on 47 biopsies in one; 75% versus 42.9% in 77 patients in the other) but neither supports the PSC result — one found 20% sensitivity in PSC against 40% for brush cytology — and in the one cohort that reported it separately, the gain in cholangiocarcinoma itself was not significant (70% versus 60%, P=.72). The test is a laboratory-developed test from a single CLIA-certified laboratory, not FDA cleared, and coverage must be verified in writing before it is written into routine practice.</w:t>
      </w:r>
    </w:p>
    <w:p>
      <w:pPr>
        <w:spacing w:after="60" w:line="276"/>
        <w:ind w:left="240"/>
      </w:pPr>
      <w:r>
        <w:rPr>
          <w:color w:val="5A6069"/>
          <w:sz w:val="16"/>
          <w:szCs w:val="16"/>
        </w:rPr>
        <w:t xml:space="preserve">Sources: BiliSeq multi-institutional; BiliSeq validation; Bardhi 2025; Gillmeister 2026</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Ordered by what the destination requires, not by diagnostic yield. The pooled comparison that favours EUS over ERCP — mean sensitivity 75% versus 49%, specificity 100% versus 96% — comes from 294 patients at a pretest probability of 77%, is not specific to perihilar disease, and only 3 of its 8 studies applied both tests to the same patients; three of its proximal-stricture studies enrolled patients only after ERCP sampling had already failed, which guarantees a low ERCP figure by design. QUADAS-2 scored all eight studies at high risk of selection bias, the results are simple means rather than a pooled bivariate model, and the review never mentions that transperitoneal aspiration disqualifies a transplant candidate. Negative predictive values were 47% (SD 14.73) and 34% (SD 24.63), so on either modality a negative result excludes nothing — and those standard deviations are as large as the estimates.</w:t>
      </w:r>
    </w:p>
    <w:p>
      <w:pPr>
        <w:spacing w:after="50" w:before="120"/>
        <w:ind w:left="240"/>
      </w:pPr>
      <w:r>
        <w:rPr>
          <w:b/>
          <w:bCs/>
          <w:color w:val="15181F"/>
          <w:sz w:val="19"/>
          <w:szCs w:val="19"/>
        </w:rPr>
        <w:t xml:space="preserve">Proceed to resection without tissue</w:t>
      </w:r>
      <w:r>
        <w:rPr>
          <w:color w:val="5A6069"/>
          <w:sz w:val="15"/>
          <w:szCs w:val="15"/>
        </w:rPr>
        <w:t xml:space="preserve">   grade C</w:t>
      </w:r>
    </w:p>
    <w:p>
      <w:pPr>
        <w:spacing w:after="50" w:line="276"/>
        <w:ind w:left="240"/>
      </w:pPr>
      <w:r>
        <w:rPr>
          <w:color w:val="15181F"/>
          <w:sz w:val="18"/>
          <w:szCs w:val="18"/>
        </w:rPr>
        <w:t xml:space="preserve">NCCN: surgery may be performed when the index of suspicion is high, and biopsy is not required. BSG accepts surgery without histological certainty. The AHPBA consensus states pathologic confirmation is not required before resection or before starting the transplant protocol.</w:t>
      </w:r>
    </w:p>
    <w:p>
      <w:pPr>
        <w:spacing w:after="50" w:line="276"/>
        <w:ind w:left="240"/>
      </w:pPr>
      <w:r>
        <w:rPr>
          <w:color w:val="15181F"/>
          <w:sz w:val="18"/>
          <w:szCs w:val="18"/>
        </w:rPr>
        <w:t xml:space="preserve">A malignant-appearing stricture with no alternative explanation, where the operative plan would not change whatever the result. The biopsy route is unconstrained in a resection-only candidate — biopsy does not foreclose resection.</w:t>
      </w:r>
    </w:p>
    <w:p>
      <w:pPr>
        <w:spacing w:after="50"/>
        <w:ind w:left="240"/>
      </w:pPr>
      <w:r>
        <w:rPr>
          <w:b/>
          <w:bCs/>
          <w:color w:val="8C2F26"/>
          <w:sz w:val="18"/>
          <w:szCs w:val="18"/>
        </w:rPr>
        <w:t xml:space="preserve">Caveat. </w:t>
      </w:r>
      <w:r>
        <w:rPr>
          <w:color w:val="15181F"/>
          <w:sz w:val="18"/>
          <w:szCs w:val="18"/>
        </w:rPr>
        <w:t xml:space="preserve">A benign aetiology is found in about 10% of resections done on a presumptive diagnosis by the AHPBA panel's figure, and about 15% in a 30-year tertiary series, in an operation whose 90-day mortality reaches 13% even in benchmark patients at expert centres. Do not use it to skip the transplant question in a patient who might be a protocol candidate.</w:t>
      </w:r>
    </w:p>
    <w:p>
      <w:pPr>
        <w:spacing w:after="60" w:line="276"/>
        <w:ind w:left="240"/>
      </w:pPr>
      <w:r>
        <w:rPr>
          <w:color w:val="5A6069"/>
          <w:sz w:val="16"/>
          <w:szCs w:val="16"/>
        </w:rPr>
        <w:t xml:space="preserve">Sources: AHPBA 2015</w:t>
      </w:r>
    </w:p>
    <w:p>
      <w:pPr>
        <w:spacing w:after="50" w:before="120"/>
        <w:ind w:left="240"/>
      </w:pPr>
      <w:r>
        <w:rPr>
          <w:b/>
          <w:bCs/>
          <w:color w:val="15181F"/>
          <w:sz w:val="19"/>
          <w:szCs w:val="19"/>
        </w:rPr>
        <w:t xml:space="preserve">EUS-guided aspiration of the primary</w:t>
      </w:r>
      <w:r>
        <w:rPr>
          <w:color w:val="5A6069"/>
          <w:sz w:val="15"/>
          <w:szCs w:val="15"/>
        </w:rPr>
        <w:t xml:space="preserve">   grade C</w:t>
      </w:r>
    </w:p>
    <w:p>
      <w:pPr>
        <w:spacing w:after="50" w:line="276"/>
        <w:ind w:left="240"/>
      </w:pPr>
      <w:r>
        <w:rPr>
          <w:color w:val="15181F"/>
          <w:sz w:val="18"/>
          <w:szCs w:val="18"/>
        </w:rPr>
        <w:t xml:space="preserve">ESGE suggests EUS-guided tissue acquisition for perihilar strictures only when ERCP-based modalities are insufficient and 'provided that curative resection is not feasible and/or when cross-sectional imaging has shown accessible extraluminal disease' (conditional, low quality). Pooled EUS sensitivity 78% (70–86), accuracy 84% (78–91), incremental yield over ERCP 33%.</w:t>
      </w:r>
    </w:p>
    <w:p>
      <w:pPr>
        <w:spacing w:after="50" w:line="276"/>
        <w:ind w:left="240"/>
      </w:pPr>
      <w:r>
        <w:rPr>
          <w:color w:val="15181F"/>
          <w:sz w:val="18"/>
          <w:szCs w:val="18"/>
        </w:rPr>
        <w:t xml:space="preserve">Established unresectable disease with no transplant option, where a tissue diagnosis is needed to start systemic therapy and ERCP sampling has failed. Where the stricture proves distal rather than perihilar, EUS-guided acquisition becomes the higher-yield route and carries no protocol penalty.</w:t>
      </w:r>
    </w:p>
    <w:p>
      <w:pPr>
        <w:spacing w:after="50"/>
        <w:ind w:left="240"/>
      </w:pPr>
      <w:r>
        <w:rPr>
          <w:b/>
          <w:bCs/>
          <w:color w:val="8C2F26"/>
          <w:sz w:val="18"/>
          <w:szCs w:val="18"/>
        </w:rPr>
        <w:t xml:space="preserve">Caveat. </w:t>
      </w:r>
      <w:r>
        <w:rPr>
          <w:color w:val="15181F"/>
          <w:sz w:val="18"/>
          <w:szCs w:val="18"/>
        </w:rPr>
        <w:t xml:space="preserve">Never in a potential protocol candidate. ESGE itself notes that the hilar seeding risk is supported in this disease by one retrospective series of 150 patients, with the rest extrapolated from pancreatic adenocarcinoma and percutaneous aspiration, and makes no recommendation for transplant candidates — so for protocol candidates the constraint rests on OPTN Policy 9.5.A and the Mayo data, not on ESGE. ASGE is explicit that if EUS is performed for a proximal or hilar stricture the endosonographer should not sample the biliary mass itself.</w:t>
      </w:r>
    </w:p>
    <w:p>
      <w:pPr>
        <w:spacing w:after="60" w:line="276"/>
        <w:ind w:left="240"/>
      </w:pPr>
      <w:r>
        <w:rPr>
          <w:color w:val="5A6069"/>
          <w:sz w:val="16"/>
          <w:szCs w:val="16"/>
        </w:rPr>
        <w:t xml:space="preserve">Sources: ESGE 2025; ASGE 2023; ERCP vs EUS</w:t>
      </w:r>
    </w:p>
    <w:p>
      <w:pPr>
        <w:spacing w:after="50" w:before="120"/>
        <w:ind w:left="240"/>
      </w:pPr>
      <w:r>
        <w:rPr>
          <w:b/>
          <w:bCs/>
          <w:color w:val="15181F"/>
          <w:sz w:val="19"/>
          <w:szCs w:val="19"/>
        </w:rPr>
        <w:t xml:space="preserve">EUS evaluation and aspiration of regional nodes</w:t>
      </w:r>
      <w:r>
        <w:rPr>
          <w:color w:val="5A6069"/>
          <w:sz w:val="15"/>
          <w:szCs w:val="15"/>
        </w:rPr>
        <w:t xml:space="preserve">   grade D</w:t>
      </w:r>
    </w:p>
    <w:p>
      <w:pPr>
        <w:spacing w:after="50" w:line="276"/>
        <w:ind w:left="240"/>
      </w:pPr>
      <w:r>
        <w:rPr>
          <w:color w:val="15181F"/>
          <w:sz w:val="18"/>
          <w:szCs w:val="18"/>
        </w:rPr>
        <w:t xml:space="preserve">AASLD requires EUS-FNA of regional nodes before neoadjuvant therapy in patients being evaluated for transplantation; BSG samples an involved locoregional node for staging while leaving the mass alone.</w:t>
      </w:r>
    </w:p>
    <w:p>
      <w:pPr>
        <w:spacing w:after="50" w:line="276"/>
        <w:ind w:left="240"/>
      </w:pPr>
      <w:r>
        <w:rPr>
          <w:color w:val="15181F"/>
          <w:sz w:val="18"/>
          <w:szCs w:val="18"/>
        </w:rPr>
        <w:t xml:space="preserve">Before a transplant workup is spent. Node-positive disease is itself a protocol exclusion, so a positive nodal result does not cost candidacy that existed — it identifies a patient who was never a candidate.</w:t>
      </w:r>
    </w:p>
    <w:p>
      <w:pPr>
        <w:spacing w:after="50"/>
        <w:ind w:left="240"/>
      </w:pPr>
      <w:r>
        <w:rPr>
          <w:b/>
          <w:bCs/>
          <w:color w:val="8C2F26"/>
          <w:sz w:val="18"/>
          <w:szCs w:val="18"/>
        </w:rPr>
        <w:t xml:space="preserve">Caveat. </w:t>
      </w:r>
      <w:r>
        <w:rPr>
          <w:color w:val="15181F"/>
          <w:sz w:val="18"/>
          <w:szCs w:val="18"/>
        </w:rPr>
        <w:t xml:space="preserve">Do not let a nodal pass become a pass at the primary; they are different sampling targets. AASLD also notes that no morphological criteria reliably identify malignant nodes, which weakens a 'suspicious node' trigger, and the AASLD document is explicitly expert consensus rather than a GRADE-rated guideline.</w:t>
      </w:r>
    </w:p>
    <w:p>
      <w:pPr>
        <w:spacing w:after="60" w:line="276"/>
        <w:ind w:left="240"/>
      </w:pPr>
      <w:r>
        <w:rPr>
          <w:color w:val="5A6069"/>
          <w:sz w:val="16"/>
          <w:szCs w:val="16"/>
        </w:rPr>
        <w:t xml:space="preserve">Sources: AASLD 2023; BSG 2023</w:t>
      </w:r>
    </w:p>
    <w:p>
      <w:pPr>
        <w:spacing w:after="60" w:line="276"/>
        <w:ind w:left="240"/>
      </w:pPr>
      <w:r>
        <w:rPr>
          <w:i/>
          <w:iCs/>
          <w:color w:val="5A6069"/>
          <w:sz w:val="16"/>
          <w:szCs w:val="16"/>
        </w:rPr>
        <w:t xml:space="preserve">Ratification item (§11 item 6): how tissue is obtained in a potentially protocol-eligible patient needs a standing agreement, so that no one disqualifies a candidate inadvertently. §11 item 8: whether a molecular result satisfies the protocol's confirmed-malignancy condition is a governance decision the published criteria do not address — agree it with the transplant team in advance, not case by case. Audit: biopsy route in protocol candidates; NGS result, protocol decision, explant finding.</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a stent is already in place, take tissue after removing it and send material for molecular testing — and do not assume cholangioscopic biopsy will outperform the brush.</w:t>
      </w:r>
    </w:p>
    <w:p>
      <w:pPr>
        <w:spacing w:after="50" w:line="276"/>
        <w:ind w:left="240"/>
      </w:pPr>
      <w:r>
        <w:rPr>
          <w:color w:val="15181F"/>
          <w:sz w:val="18"/>
          <w:szCs w:val="18"/>
        </w:rPr>
        <w:t xml:space="preserve">The referred patient who arrives already stented — a common presentation, and the one where the published yields cannot be assumed to apply.</w:t>
      </w:r>
    </w:p>
    <w:p>
      <w:pPr>
        <w:spacing w:after="50"/>
        <w:ind w:left="240"/>
      </w:pPr>
      <w:r>
        <w:rPr>
          <w:b/>
          <w:bCs/>
          <w:color w:val="8C2F26"/>
          <w:sz w:val="18"/>
          <w:szCs w:val="18"/>
        </w:rPr>
        <w:t xml:space="preserve">Caveat. </w:t>
      </w:r>
      <w:r>
        <w:rPr>
          <w:color w:val="15181F"/>
          <w:sz w:val="18"/>
          <w:szCs w:val="18"/>
        </w:rPr>
        <w:t xml:space="preserve">Do not treat a negative result as reassuring, and do not treat cholangioscopy as the answer here. In the real-world Groningen cohort of 80 patients, 70 (88%) had had a previous ERCP, 44 (55%) had a plastic stent removed at the start of the procedure and 32 (40%) had primary sclerosing cholangitis: cholangioscopy-guided biopsy sensitivity was 15% (95% CI 0–31), far below the 65% (35–87) pooled from 4 studies and 128 PSC patients that did not report stent status, and visual assessment was 64% sensitive with 62% specificity. Brush cytology taken at the same procedure beat both — sensitivity 47%, specificity 95%, accuracy 81%, diagnostic odds ratio 19.6 against 6.6 for the targeted biopsy. Management changed in only 13 of 77 (17%).</w:t>
      </w:r>
    </w:p>
    <w:p>
      <w:pPr>
        <w:spacing w:after="50" w:line="276"/>
        <w:ind w:left="240"/>
      </w:pPr>
      <w:r>
        <w:rPr>
          <w:i/>
          <w:iCs/>
          <w:color w:val="5A6069"/>
          <w:sz w:val="17"/>
          <w:szCs w:val="17"/>
        </w:rPr>
        <w:t xml:space="preserve">Downgraded to D, and the roadmap's earlier wording is withdrawn: the one cohort that tested a blind brush against cholangioscopy after stent removal found the brush better, so recommending cholangioscopic sampling </w:t>
      </w:r>
      <w:r>
        <w:rPr>
          <w:i/>
          <w:iCs/>
          <w:color w:val="5A6069"/>
          <w:sz w:val="17"/>
          <w:szCs w:val="17"/>
        </w:rPr>
        <w:t xml:space="preserve">instead of</w:t>
      </w:r>
      <w:r>
        <w:rPr>
          <w:i/>
          <w:iCs/>
          <w:color w:val="5A6069"/>
          <w:sz w:val="17"/>
          <w:szCs w:val="17"/>
        </w:rPr>
        <w:t xml:space="preserve"> a brush is not supported. The low biopsy figure is also as much about technique as about the stent — a median of 3 biopsies with 33% of specimens inconclusive, 66 of 80 procedures on a first-generation device, and authors who recommend a minimum of four biopsies. No study quantifies sampling yield stratified by prior stent placement; targeted searches for it return nothing, and this pathway should not imply otherwise. Mechanistically stents do produce reactive change: in a blinded multi-reviewer study of 60 brushings — 30 malignant and 30 benign, half the benign cases previously stented — necrosis (17% versus 13%) and infiltrating inflammation (43% versus 33%) did not distinguish malignancy, 3 or more of 11 cytological characteristics gave sensitivity 70% at specificity 97%, and 7 of 30 malignant brushings showed none of them. That study was enriched 50:50 by design, so its predictive values do not transfer to clinic.</w:t>
      </w:r>
    </w:p>
    <w:p>
      <w:pPr>
        <w:spacing w:after="60" w:line="276"/>
        <w:ind w:left="240"/>
      </w:pPr>
      <w:r>
        <w:rPr>
          <w:color w:val="5A6069"/>
          <w:sz w:val="16"/>
          <w:szCs w:val="16"/>
        </w:rPr>
        <w:t xml:space="preserve">Sources: de Vries 2020; Njei 2016; Avadhani 2017</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pass a needle across the peritoneum toward a perihilar tumour in a patient who still has a curative option.</w:t>
      </w:r>
    </w:p>
    <w:p>
      <w:pPr>
        <w:spacing w:after="50" w:line="276"/>
        <w:ind w:left="240"/>
      </w:pPr>
      <w:r>
        <w:rPr>
          <w:color w:val="15181F"/>
          <w:sz w:val="18"/>
          <w:szCs w:val="18"/>
        </w:rPr>
        <w:t xml:space="preserve">Keep a mandatory local pre-biopsy transplant gate: before biopsy, evaluate whether the patient is a resection or transplant candidate.</w:t>
      </w:r>
    </w:p>
    <w:p>
      <w:pPr>
        <w:spacing w:after="50"/>
        <w:ind w:left="240"/>
      </w:pPr>
      <w:r>
        <w:rPr>
          <w:b/>
          <w:bCs/>
          <w:color w:val="8C2F26"/>
          <w:sz w:val="18"/>
          <w:szCs w:val="18"/>
        </w:rPr>
        <w:t xml:space="preserve">Caveat. </w:t>
      </w:r>
      <w:r>
        <w:rPr>
          <w:color w:val="15181F"/>
          <w:sz w:val="18"/>
          <w:szCs w:val="18"/>
        </w:rPr>
        <w:t xml:space="preserve">Also avoid an exploratory resection attempt that violates the tumour plane in a borderline candidate — AASLD and the programme's own protocol list surgical violation of the tumour plane as a transplant exclusion, and the roadmap's route logic covers needles only.</w:t>
      </w:r>
    </w:p>
    <w:p>
      <w:pPr>
        <w:spacing w:after="50" w:line="276"/>
        <w:ind w:left="240"/>
      </w:pPr>
      <w:r>
        <w:rPr>
          <w:i/>
          <w:iCs/>
          <w:color w:val="5A6069"/>
          <w:sz w:val="17"/>
          <w:szCs w:val="17"/>
        </w:rPr>
        <w:t xml:space="preserve">The roadmap is internally inconsistent here and says so: its §4 Resection row calls the biopsy route unconstrained, while this callout extends the rule to anyone with a curative option, which includes resection. BSG states the stricter rule, and a resection candidate judged unresectable before any operative violation of the tumour plane may become a protocol candidate. Unresolved — see the honest section.</w:t>
      </w:r>
    </w:p>
    <w:p>
      <w:pPr>
        <w:spacing w:after="60" w:line="276"/>
        <w:ind w:left="240"/>
      </w:pPr>
      <w:r>
        <w:rPr>
          <w:color w:val="5A6069"/>
          <w:sz w:val="16"/>
          <w:szCs w:val="16"/>
        </w:rPr>
        <w:t xml:space="preserve">Sources: Heimbach 2011; ESGE 2025</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keep resampling in pursuit of a negative result that will not be believed.</w:t>
      </w:r>
    </w:p>
    <w:p>
      <w:pPr>
        <w:spacing w:after="50" w:line="276"/>
        <w:ind w:left="240"/>
      </w:pPr>
      <w:r>
        <w:rPr>
          <w:color w:val="15181F"/>
          <w:sz w:val="18"/>
          <w:szCs w:val="18"/>
        </w:rPr>
        <w:t xml:space="preserve">Decide in advance what a negative result will change. If the answer is nothing, the patient needs a destination decision, not another ERCP.</w:t>
      </w:r>
    </w:p>
    <w:p>
      <w:pPr>
        <w:spacing w:after="50"/>
        <w:ind w:left="240"/>
      </w:pPr>
      <w:r>
        <w:rPr>
          <w:b/>
          <w:bCs/>
          <w:color w:val="8C2F26"/>
          <w:sz w:val="18"/>
          <w:szCs w:val="18"/>
        </w:rPr>
        <w:t xml:space="preserve">Caveat. </w:t>
      </w:r>
      <w:r>
        <w:rPr>
          <w:color w:val="15181F"/>
          <w:sz w:val="18"/>
          <w:szCs w:val="18"/>
        </w:rPr>
        <w:t xml:space="preserve">Negative predictive values are 34% for ERCP-based sampling and 47% for EUS aspiration in a 294-patient meta-analysis at 77% pretest probability, so with either modality a negative result does not exclude malignancy; repeated sampling is a common way to lose time. FISH trisomy or tetrasomy alone is uninformative (sensitivity 31%, 22–40; specificity 71%, 67–75; positive likelihood ratio 1.19, 0.65–2.21). Only polysomy carries information (51%, 43–59, and 93%, 91–95), and it is a named protocol criterion — but its positive predictive value in PSC was only 0.68 (0.58–0.76), and all eight studies in that meta-analysis came from a single centre with overlapping recruitment windows.</w:t>
      </w:r>
    </w:p>
    <w:p>
      <w:pPr>
        <w:spacing w:after="50" w:line="276"/>
        <w:ind w:left="240"/>
      </w:pPr>
      <w:r>
        <w:rPr>
          <w:i/>
          <w:iCs/>
          <w:color w:val="5A6069"/>
          <w:sz w:val="17"/>
          <w:szCs w:val="17"/>
        </w:rPr>
        <w:t xml:space="preserve">Downgraded from B to C. Both pooled estimates rest on analyses the spec's own standard would not call B: the ERCP-versus-EUS review scored high risk of selection bias in every included study and reported simple means, and the FISH meta-analysis is effectively one institution's experience with likely verification bias, since a FISH-positive patient is more likely to reach the surgery that classifies them.</w:t>
      </w:r>
    </w:p>
    <w:p>
      <w:pPr>
        <w:spacing w:after="60" w:line="276"/>
        <w:ind w:left="240"/>
      </w:pPr>
      <w:r>
        <w:rPr>
          <w:color w:val="5A6069"/>
          <w:sz w:val="16"/>
          <w:szCs w:val="16"/>
        </w:rPr>
        <w:t xml:space="preserve">Sources: ERCP vs EUS; FISH meta-analysis</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3 · Resectable disease</w:t>
      </w:r>
    </w:p>
    <w:p>
      <w:pPr>
        <w:spacing w:after="140"/>
      </w:pPr>
      <w:r>
        <w:rPr>
          <w:b/>
          <w:bCs/>
          <w:color w:val="176A87"/>
          <w:sz w:val="19"/>
          <w:szCs w:val="19"/>
        </w:rPr>
        <w:t xml:space="preserve">The question. </w:t>
      </w:r>
      <w:r>
        <w:rPr>
          <w:sz w:val="19"/>
          <w:szCs w:val="19"/>
        </w:rPr>
        <w:t xml:space="preserve">Can I take this out with a negative margin and leave behind a liver that works?</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Biliary and vascular extent that permits a technically achievable R0 resection</w:t>
      </w:r>
    </w:p>
    <w:p>
      <w:pPr>
        <w:pStyle w:val="ListParagraph"/>
        <w:numPr>
          <w:ilvl w:val="0"/>
          <w:numId w:val="2"/>
        </w:numPr>
        <w:spacing w:after="60" w:line="268"/>
      </w:pPr>
      <w:r>
        <w:rPr>
          <w:color w:val="15181F"/>
          <w:sz w:val="18"/>
          <w:szCs w:val="18"/>
        </w:rPr>
        <w:t xml:space="preserve">Contralateral liver with intact arterial and portal inflow as well as biliary drainage</w:t>
      </w:r>
    </w:p>
    <w:p>
      <w:pPr>
        <w:pStyle w:val="ListParagraph"/>
        <w:numPr>
          <w:ilvl w:val="0"/>
          <w:numId w:val="2"/>
        </w:numPr>
        <w:spacing w:after="60" w:line="268"/>
      </w:pPr>
      <w:r>
        <w:rPr>
          <w:color w:val="15181F"/>
          <w:sz w:val="18"/>
          <w:szCs w:val="18"/>
        </w:rPr>
        <w:t xml:space="preserve">Future liver remnant adequate, or made adequate by embolisation after the remnant has been drained</w:t>
      </w:r>
    </w:p>
    <w:p>
      <w:pPr>
        <w:pStyle w:val="ListParagraph"/>
        <w:numPr>
          <w:ilvl w:val="0"/>
          <w:numId w:val="2"/>
        </w:numPr>
        <w:spacing w:after="60" w:line="268"/>
      </w:pPr>
      <w:r>
        <w:rPr>
          <w:color w:val="15181F"/>
          <w:sz w:val="18"/>
          <w:szCs w:val="18"/>
        </w:rPr>
        <w:t xml:space="preserve">No intrahepatic, extrahepatic, nodal or peritoneal metastases on the staging package</w:t>
      </w:r>
    </w:p>
    <w:p>
      <w:pPr>
        <w:pStyle w:val="ListParagraph"/>
        <w:numPr>
          <w:ilvl w:val="0"/>
          <w:numId w:val="2"/>
        </w:numPr>
        <w:spacing w:after="60" w:line="268"/>
      </w:pPr>
      <w:r>
        <w:rPr>
          <w:color w:val="15181F"/>
          <w:sz w:val="18"/>
          <w:szCs w:val="18"/>
        </w:rPr>
        <w:t xml:space="preserve">Patient fit for extended hepatectomy with biliary reconstruction, at a centre that does them</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Extended hepatectomy with en bloc extrahepatic bile duct resection, regional lymphadenectomy and biliary reconstruction, with portal vein resection and reconstruction where it is required to achieve R0.</w:t>
      </w:r>
    </w:p>
    <w:p>
      <w:pPr>
        <w:spacing w:after="50" w:line="276"/>
        <w:ind w:left="240"/>
      </w:pPr>
      <w:r>
        <w:rPr>
          <w:color w:val="15181F"/>
          <w:sz w:val="18"/>
          <w:szCs w:val="18"/>
        </w:rPr>
        <w:t xml:space="preserve">Technically resectable disease in a fit patient. Margin status drives everything: in the original series survival with clear margins (n=9) was 100%, 71% and 50% at 1, 2 and 3 years, against 82%, 43% and 12% with microscopic residual disease (n=10) and death within 32 months in all four patients with gross residual disease. Local recurrence followed a positive microscopic margin in every case but one, and occurred in no patient whose margin was histologically free. Across series, R0 gives median survival 27–58 months and 5-year survival 27–45%, against 12–21 months and 0–23% with a positive margin.</w:t>
      </w:r>
    </w:p>
    <w:p>
      <w:pPr>
        <w:spacing w:after="50"/>
        <w:ind w:left="240"/>
      </w:pPr>
      <w:r>
        <w:rPr>
          <w:b/>
          <w:bCs/>
          <w:color w:val="8C2F26"/>
          <w:sz w:val="18"/>
          <w:szCs w:val="18"/>
        </w:rPr>
        <w:t xml:space="preserve">Caveat. </w:t>
      </w:r>
      <w:r>
        <w:rPr>
          <w:color w:val="15181F"/>
          <w:sz w:val="18"/>
          <w:szCs w:val="18"/>
        </w:rPr>
        <w:t xml:space="preserve">Do not attempt local excision alone above Bismuth type I: all five type II and IIIa patients treated that way had involved margins and recurred locally. Caudate resection is obligatory from type II upward because the segment 1 ducts are almost always involved. The Milan consensus prefers left-sided hemihepatectomy where it will achieve the same clearance, because right-sided resection carries more morbidity, liver failure and mortality at equal oncological outcome, and does not recommend routine vascular resection, no-touch technique included; arterial resection belongs in expert centres only.</w:t>
      </w:r>
    </w:p>
    <w:p>
      <w:pPr>
        <w:spacing w:after="50" w:line="276"/>
        <w:ind w:left="240"/>
      </w:pPr>
      <w:r>
        <w:rPr>
          <w:i/>
          <w:iCs/>
          <w:color w:val="5A6069"/>
          <w:sz w:val="17"/>
          <w:szCs w:val="17"/>
        </w:rPr>
        <w:t xml:space="preserve">Downgraded from B to C. The margin data come from 23 resections accumulated over 30 years at one centre — 19 of 122 operated patients (15.6%) had a macroscopically curative resection and only 9 of 122 (7.4%) a histologically negative margin — with no comparison group, mean follow-up 26 months, and the survival credited to R0 therefore uncontrolled and heavily selected. The 27–58 month R0 figure is ungraded expert consensus. Outcomes are volume-dependent: even in benchmark patients at expert centres 5-year overall survival does not exceed 40%, severe complications reach 70%, 90-day mortality reaches 13%, one in five needs re-laparotomy and only two-thirds achieve a negative margin. Lymphadenectomy of stations 12 (positive in 25%), 8 (14%) and 13a (11%) with 5–7 nodes harvested; nodal positivity runs 16–60% overall; no benefit from extended dissection to the celiac axis, superior mesenteric artery or periaortic nodes. [EXPERTISE]</w:t>
      </w:r>
    </w:p>
    <w:p>
      <w:pPr>
        <w:spacing w:after="60" w:line="276"/>
        <w:ind w:left="240"/>
      </w:pPr>
      <w:r>
        <w:rPr>
          <w:color w:val="5A6069"/>
          <w:sz w:val="16"/>
          <w:szCs w:val="16"/>
        </w:rPr>
        <w:t xml:space="preserve">Sources: Bismuth-Corlette; AHPBA 2015; Milan consensus</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Prepare in a sequence with dates rather than improvising: drain the remnant, embolise the portal vein when the remnant is inadequate, correct nutrition.</w:t>
      </w:r>
    </w:p>
    <w:p>
      <w:pPr>
        <w:spacing w:after="50" w:line="276"/>
        <w:ind w:left="240"/>
      </w:pPr>
      <w:r>
        <w:rPr>
          <w:color w:val="15181F"/>
          <w:sz w:val="18"/>
          <w:szCs w:val="18"/>
        </w:rPr>
        <w:t xml:space="preserve">Every patient needing an extended hepatectomy. These steps take weeks, and the order is not interchangeable — hypertrophy is poor while the remnant remains obstructed, so drainage comes first.</w:t>
      </w:r>
    </w:p>
    <w:p>
      <w:pPr>
        <w:spacing w:after="50"/>
        <w:ind w:left="240"/>
      </w:pPr>
      <w:r>
        <w:rPr>
          <w:b/>
          <w:bCs/>
          <w:color w:val="8C2F26"/>
          <w:sz w:val="18"/>
          <w:szCs w:val="18"/>
        </w:rPr>
        <w:t xml:space="preserve">Caveat. </w:t>
      </w:r>
      <w:r>
        <w:rPr>
          <w:color w:val="15181F"/>
          <w:sz w:val="18"/>
          <w:szCs w:val="18"/>
        </w:rPr>
        <w:t xml:space="preserve">Resection attempted without remnant drainage.</w:t>
      </w:r>
    </w:p>
    <w:p>
      <w:pPr>
        <w:spacing w:after="60" w:line="276"/>
        <w:ind w:left="240"/>
      </w:pPr>
      <w:r>
        <w:rPr>
          <w:color w:val="5A6069"/>
          <w:sz w:val="16"/>
          <w:szCs w:val="16"/>
        </w:rPr>
        <w:t xml:space="preserve">Sources: AHPBA 2015; Milan consensus</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Ordered as the guidelines order augmentation, not by comparative survival data — no trial compares these in perihilar disease, and the Milan recommendations on augmentation sit at level 4. The registry mortality figure for ALPPS is the one hard number in the group and it argues against it.</w:t>
      </w:r>
    </w:p>
    <w:p>
      <w:pPr>
        <w:spacing w:after="50" w:before="120"/>
        <w:ind w:left="240"/>
      </w:pPr>
      <w:r>
        <w:rPr>
          <w:b/>
          <w:bCs/>
          <w:color w:val="15181F"/>
          <w:sz w:val="19"/>
          <w:szCs w:val="19"/>
        </w:rPr>
        <w:t xml:space="preserve">Portal vein embolisation</w:t>
      </w:r>
      <w:r>
        <w:rPr>
          <w:color w:val="5A6069"/>
          <w:sz w:val="15"/>
          <w:szCs w:val="15"/>
        </w:rPr>
        <w:t xml:space="preserve">   grade C</w:t>
      </w:r>
    </w:p>
    <w:p>
      <w:pPr>
        <w:spacing w:after="50" w:line="276"/>
        <w:ind w:left="240"/>
      </w:pPr>
      <w:r>
        <w:rPr>
          <w:color w:val="15181F"/>
          <w:sz w:val="18"/>
          <w:szCs w:val="18"/>
        </w:rPr>
        <w:t xml:space="preserve">Recommended where the anticipated remnant is inadequate and the disease is otherwise resectable. NCCN requires the contralateral liver to have intact arterial and portal inflow as well as biliary drainage.</w:t>
      </w:r>
    </w:p>
    <w:p>
      <w:pPr>
        <w:spacing w:after="50" w:line="276"/>
        <w:ind w:left="240"/>
      </w:pPr>
      <w:r>
        <w:rPr>
          <w:color w:val="15181F"/>
          <w:sz w:val="18"/>
          <w:szCs w:val="18"/>
        </w:rPr>
        <w:t xml:space="preserve">Most useful when the future liver remnant is below 30–40%. A meta-analysis of 1,140 patients found remnant gains of 8–27% with no mortality and under 3% morbidity.</w:t>
      </w:r>
    </w:p>
    <w:p>
      <w:pPr>
        <w:spacing w:after="50"/>
        <w:ind w:left="240"/>
      </w:pPr>
      <w:r>
        <w:rPr>
          <w:b/>
          <w:bCs/>
          <w:color w:val="8C2F26"/>
          <w:sz w:val="18"/>
          <w:szCs w:val="18"/>
        </w:rPr>
        <w:t xml:space="preserve">Caveat. </w:t>
      </w:r>
      <w:r>
        <w:rPr>
          <w:color w:val="15181F"/>
          <w:sz w:val="18"/>
          <w:szCs w:val="18"/>
        </w:rPr>
        <w:t xml:space="preserve">Do not embolise a remnant that is still obstructed. If the post-embolisation remnant is 20% or less, or hypertrophy is 5% or less, resection may be contraindicated — reassess at 3–6 weeks and check remnant drainage and nutrition before abandoning the operation.</w:t>
      </w:r>
    </w:p>
    <w:p>
      <w:pPr>
        <w:spacing w:after="60" w:line="276"/>
        <w:ind w:left="240"/>
      </w:pPr>
      <w:r>
        <w:rPr>
          <w:color w:val="5A6069"/>
          <w:sz w:val="16"/>
          <w:szCs w:val="16"/>
        </w:rPr>
        <w:t xml:space="preserve">Sources: AHPBA 2015; Milan consensus</w:t>
      </w:r>
    </w:p>
    <w:p>
      <w:pPr>
        <w:spacing w:after="50" w:before="120"/>
        <w:ind w:left="240"/>
      </w:pPr>
      <w:r>
        <w:rPr>
          <w:b/>
          <w:bCs/>
          <w:color w:val="15181F"/>
          <w:sz w:val="19"/>
          <w:szCs w:val="19"/>
        </w:rPr>
        <w:t xml:space="preserve">Liver venous deprivation</w:t>
      </w:r>
      <w:r>
        <w:rPr>
          <w:color w:val="5A6069"/>
          <w:sz w:val="15"/>
          <w:szCs w:val="15"/>
        </w:rPr>
        <w:t xml:space="preserve">   grade D</w:t>
      </w:r>
      <w:r>
        <w:rPr>
          <w:b/>
          <w:bCs/>
          <w:color w:val="8E5008"/>
          <w:spacing w:val="12"/>
          <w:sz w:val="14"/>
          <w:szCs w:val="14"/>
        </w:rPr>
        <w:t xml:space="preserve">   EXPERTISE</w:t>
      </w:r>
    </w:p>
    <w:p>
      <w:pPr>
        <w:spacing w:after="50" w:line="276"/>
        <w:ind w:left="240"/>
      </w:pPr>
      <w:r>
        <w:rPr>
          <w:color w:val="15181F"/>
          <w:sz w:val="18"/>
          <w:szCs w:val="18"/>
        </w:rPr>
        <w:t xml:space="preserve">The Milan consensus places it after portal vein embolisation, for a remnant under 20–25% — a level-4 expert-opinion statement with no comparative data in this disease.</w:t>
      </w:r>
    </w:p>
    <w:p>
      <w:pPr>
        <w:spacing w:after="50" w:line="276"/>
        <w:ind w:left="240"/>
      </w:pPr>
      <w:r>
        <w:rPr>
          <w:color w:val="15181F"/>
          <w:sz w:val="18"/>
          <w:szCs w:val="18"/>
        </w:rPr>
        <w:t xml:space="preserve">Expert centres where portal vein embolisation alone will not deliver the volume needed.</w:t>
      </w:r>
    </w:p>
    <w:p>
      <w:pPr>
        <w:spacing w:after="50"/>
        <w:ind w:left="240"/>
      </w:pPr>
      <w:r>
        <w:rPr>
          <w:b/>
          <w:bCs/>
          <w:color w:val="8C2F26"/>
          <w:sz w:val="18"/>
          <w:szCs w:val="18"/>
        </w:rPr>
        <w:t xml:space="preserve">Caveat. </w:t>
      </w:r>
      <w:r>
        <w:rPr>
          <w:color w:val="15181F"/>
          <w:sz w:val="18"/>
          <w:szCs w:val="18"/>
        </w:rPr>
        <w:t xml:space="preserve">Not a first manoeuvre, and not a substitute for drainage of the remnant.</w:t>
      </w:r>
    </w:p>
    <w:p>
      <w:pPr>
        <w:spacing w:after="60" w:line="276"/>
        <w:ind w:left="240"/>
      </w:pPr>
      <w:r>
        <w:rPr>
          <w:color w:val="5A6069"/>
          <w:sz w:val="16"/>
          <w:szCs w:val="16"/>
        </w:rPr>
        <w:t xml:space="preserve">Sources: Milan consensus</w:t>
      </w:r>
    </w:p>
    <w:p>
      <w:pPr>
        <w:spacing w:after="50" w:before="120"/>
        <w:ind w:left="240"/>
      </w:pPr>
      <w:r>
        <w:rPr>
          <w:b/>
          <w:bCs/>
          <w:color w:val="15181F"/>
          <w:sz w:val="19"/>
          <w:szCs w:val="19"/>
        </w:rPr>
        <w:t xml:space="preserve">ALPPS</w:t>
      </w:r>
      <w:r>
        <w:rPr>
          <w:color w:val="5A6069"/>
          <w:sz w:val="15"/>
          <w:szCs w:val="15"/>
        </w:rPr>
        <w:t xml:space="preserve">   grade C</w:t>
      </w:r>
      <w:r>
        <w:rPr>
          <w:b/>
          <w:bCs/>
          <w:color w:val="8E5008"/>
          <w:spacing w:val="12"/>
          <w:sz w:val="14"/>
          <w:szCs w:val="14"/>
        </w:rPr>
        <w:t xml:space="preserve">   EXPERTISE</w:t>
      </w:r>
      <w:r>
        <w:rPr>
          <w:b/>
          <w:bCs/>
          <w:color w:val="8E5008"/>
          <w:spacing w:val="12"/>
          <w:sz w:val="14"/>
          <w:szCs w:val="14"/>
        </w:rPr>
        <w:t xml:space="preserve">   REGISTRY</w:t>
      </w:r>
    </w:p>
    <w:p>
      <w:pPr>
        <w:spacing w:after="50" w:line="276"/>
        <w:ind w:left="240"/>
      </w:pPr>
      <w:r>
        <w:rPr>
          <w:color w:val="15181F"/>
          <w:sz w:val="18"/>
          <w:szCs w:val="18"/>
        </w:rPr>
        <w:t xml:space="preserve">Salvage only in the Milan consensus; BSG does not recommend it for perihilar cholangiocarcinoma at all.</w:t>
      </w:r>
    </w:p>
    <w:p>
      <w:pPr>
        <w:spacing w:after="50" w:line="276"/>
        <w:ind w:left="240"/>
      </w:pPr>
      <w:r>
        <w:rPr>
          <w:color w:val="15181F"/>
          <w:sz w:val="18"/>
          <w:szCs w:val="18"/>
        </w:rPr>
        <w:t xml:space="preserve">No routine place in this disease.</w:t>
      </w:r>
    </w:p>
    <w:p>
      <w:pPr>
        <w:spacing w:after="50"/>
        <w:ind w:left="240"/>
      </w:pPr>
      <w:r>
        <w:rPr>
          <w:b/>
          <w:bCs/>
          <w:color w:val="8C2F26"/>
          <w:sz w:val="18"/>
          <w:szCs w:val="18"/>
        </w:rPr>
        <w:t xml:space="preserve">Caveat. </w:t>
      </w:r>
      <w:r>
        <w:rPr>
          <w:color w:val="15181F"/>
          <w:sz w:val="18"/>
          <w:szCs w:val="18"/>
        </w:rPr>
        <w:t xml:space="preserve">Mortality was 48% in the international registry for perihilar cholangiocarcinoma.</w:t>
      </w:r>
    </w:p>
    <w:p>
      <w:pPr>
        <w:spacing w:after="60" w:line="276"/>
        <w:ind w:left="240"/>
      </w:pPr>
      <w:r>
        <w:rPr>
          <w:color w:val="5A6069"/>
          <w:sz w:val="16"/>
          <w:szCs w:val="16"/>
        </w:rPr>
        <w:t xml:space="preserve">Sources: Milan consensus; BSG 2023</w:t>
      </w:r>
    </w:p>
    <w:p>
      <w:pPr>
        <w:spacing w:after="60" w:line="276"/>
        <w:ind w:left="240"/>
      </w:pPr>
      <w:r>
        <w:rPr>
          <w:i/>
          <w:iCs/>
          <w:color w:val="5A6069"/>
          <w:sz w:val="16"/>
          <w:szCs w:val="16"/>
        </w:rPr>
        <w:t xml:space="preserve">Ratification item (§11 item 4, and alignment area 11): the roadmap states no numeric remnant threshold and does not list ALPPS in its Avoid row. The alignment worksheet recommends adding both — a written threshold makes the embolisation decision auditable, and BSG's 48% registry mortality is strong enough to justify an explicit Avoid line. Audit: volume, 90-day mortality, R0 rate.</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Capecitabine for 6 months is a reasonable option after resection, not an obligation — offer it with the actual numbers.</w:t>
      </w:r>
    </w:p>
    <w:p>
      <w:pPr>
        <w:spacing w:after="50" w:line="276"/>
        <w:ind w:left="240"/>
      </w:pPr>
      <w:r>
        <w:rPr>
          <w:color w:val="15181F"/>
          <w:sz w:val="18"/>
          <w:szCs w:val="18"/>
        </w:rPr>
        <w:t xml:space="preserve">A resected patient fit for 8 cycles who wants adjuvant treatment, particularly with adverse features. BILCAP (n=447) gave median overall survival 51.1 versus 36.4 months with an adjusted hazard ratio of 0.81 (95% CI 0.63–1.04), p=0.097 — the intention-to-treat primary analysis did not meet significance. Significance appeared per protocol (210 versus 220 patients, HR 0.75, 0.58–0.97) and in the protocol-specified intention-to-treat sensitivity analysis adjusted for nodal status, grade and sex (HR 0.71, 0.55–0.92), and the trial was unmasked.</w:t>
      </w:r>
    </w:p>
    <w:p>
      <w:pPr>
        <w:spacing w:after="50"/>
        <w:ind w:left="240"/>
      </w:pPr>
      <w:r>
        <w:rPr>
          <w:b/>
          <w:bCs/>
          <w:color w:val="8C2F26"/>
          <w:sz w:val="18"/>
          <w:szCs w:val="18"/>
        </w:rPr>
        <w:t xml:space="preserve">Caveat. </w:t>
      </w:r>
      <w:r>
        <w:rPr>
          <w:color w:val="15181F"/>
          <w:sz w:val="18"/>
          <w:szCs w:val="18"/>
        </w:rPr>
        <w:t xml:space="preserve">Do not present it as established benefit in this tumour. 128 of 447 patients (29%) had hilar tumours, the trial was not powered for site-specific effects, and the Milan consensus records that these trials showed no benefit in the perihilar subgroup. The recurrence-free survival advantage was confined to the first 24 months (HR 0.75, 0.58–0.98) with none from 24 to 60 months (HR 1.48, 0.80–2.77), which the authors read as recurrence deferred rather than prevented. Grade 3 events occurred in 44% of treated patients, 55% completed all eight cycles, 46% needed a dose reduction and 32% stopped for toxicity.</w:t>
      </w:r>
    </w:p>
    <w:p>
      <w:pPr>
        <w:spacing w:after="50" w:line="276"/>
        <w:ind w:left="240"/>
      </w:pPr>
      <w:r>
        <w:rPr>
          <w:i/>
          <w:iCs/>
          <w:color w:val="5A6069"/>
          <w:sz w:val="17"/>
          <w:szCs w:val="17"/>
        </w:rPr>
        <w:t xml:space="preserve">Downgraded from B to C, because the trial is negative on its prespecified primary endpoint and the positive signal rests on a per-protocol analysis and an adjusted model; the linked commentary asks whether that is enough to define a standard of care. NCCN designates capecitabine preferred, category 1, while also acknowledging BILCAP's nonsignificant intention-to-treat analysis; the local label and grade remain more cautious and require explicit multidisciplinary ratification. ASCOT (n=440) was positive for S-1 — 3-year survival 77.1% versus 67.6%, HR 0.69 (0.51–0.94) — but relapse-free survival did not reach significance (HR 0.80, 0.61–1.04, p=0.088), the analysis was taken at 179 deaths against 285 planned events, the R1 subgroup showed nothing (HR 1.04, 0.57–1.92), the trial was conducted only in Japan and S-1 is unavailable in the United States.</w:t>
      </w:r>
    </w:p>
    <w:p>
      <w:pPr>
        <w:spacing w:after="60" w:line="276"/>
        <w:ind w:left="240"/>
      </w:pPr>
      <w:r>
        <w:rPr>
          <w:color w:val="5A6069"/>
          <w:sz w:val="16"/>
          <w:szCs w:val="16"/>
        </w:rPr>
        <w:t xml:space="preserve">Sources: BILCAP; ASCOT</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After an R1 resection, discuss adjuvant chemoradiation in addition to systemic therapy as a shared decision, weighing toxicity against local-recurrence benefit.</w:t>
      </w:r>
    </w:p>
    <w:p>
      <w:pPr>
        <w:spacing w:after="50" w:line="276"/>
        <w:ind w:left="240"/>
      </w:pPr>
      <w:r>
        <w:rPr>
          <w:color w:val="15181F"/>
          <w:sz w:val="18"/>
          <w:szCs w:val="18"/>
        </w:rPr>
        <w:t xml:space="preserve">A microscopically positive margin, with radiation oncology review of margins, nodal burden and toxicity. Local recurrence is the failure pattern radiation can address, and R1 resection is common in this disease — AASLD reports up to 50% of cases.</w:t>
      </w:r>
    </w:p>
    <w:p>
      <w:pPr>
        <w:spacing w:after="50"/>
        <w:ind w:left="240"/>
      </w:pPr>
      <w:r>
        <w:rPr>
          <w:b/>
          <w:bCs/>
          <w:color w:val="8C2F26"/>
          <w:sz w:val="18"/>
          <w:szCs w:val="18"/>
        </w:rPr>
        <w:t xml:space="preserve">Caveat. </w:t>
      </w:r>
      <w:r>
        <w:rPr>
          <w:color w:val="15181F"/>
          <w:sz w:val="18"/>
          <w:szCs w:val="18"/>
        </w:rPr>
        <w:t xml:space="preserve">NCCN lists an option; it does not make this mandatory for every R1 case. The supporting data are retrospective meta-analyses — BSG cites 21 retrospective studies and more than 1,400 patients — plus the single-arm SWOG S0809 phase II trial (79 patients, 68% bile duct and 32% gallbladder; 2-year overall survival 67% after R0 and 60% after R1, with no control arm). The Milan consensus states flatly that adjuvant radiotherapy remains unproven, with benefit suggested mainly in R1 and N1 disease.</w:t>
      </w:r>
    </w:p>
    <w:p>
      <w:pPr>
        <w:spacing w:after="50" w:line="276"/>
        <w:ind w:left="240"/>
      </w:pPr>
      <w:r>
        <w:rPr>
          <w:i/>
          <w:iCs/>
          <w:color w:val="5A6069"/>
          <w:sz w:val="17"/>
          <w:szCs w:val="17"/>
        </w:rPr>
        <w:t xml:space="preserve">Whether node-positive R0 disease should prompt the same discussion is open (§11 item 10): NCCN places nodal involvement alongside margin status as a trigger, BSG limits its recommendation to R1 resection, and the node-positive benefit rests on retrospective meta-analysis.</w:t>
      </w:r>
    </w:p>
    <w:p>
      <w:pPr>
        <w:spacing w:after="60" w:line="276"/>
        <w:ind w:left="240"/>
      </w:pPr>
      <w:r>
        <w:rPr>
          <w:color w:val="5A6069"/>
          <w:sz w:val="16"/>
          <w:szCs w:val="16"/>
        </w:rPr>
        <w:t xml:space="preserve">Sources: BSG 2023</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Adjuvant gemcitabine after resection of bile duct cancer.</w:t>
      </w:r>
    </w:p>
    <w:p>
      <w:pPr>
        <w:spacing w:after="50" w:line="276"/>
        <w:ind w:left="240"/>
      </w:pPr>
      <w:r>
        <w:rPr>
          <w:color w:val="15181F"/>
          <w:sz w:val="18"/>
          <w:szCs w:val="18"/>
        </w:rPr>
        <w:t xml:space="preserve">Nothing in this disease — use capecitabine if adjuvant treatment is given. This is the one adjuvant randomised trial confined to the population this page covers, which is why it carries weight here despite its size.</w:t>
      </w:r>
    </w:p>
    <w:p>
      <w:pPr>
        <w:spacing w:after="50"/>
        <w:ind w:left="240"/>
      </w:pPr>
      <w:r>
        <w:rPr>
          <w:b/>
          <w:bCs/>
          <w:color w:val="8C2F26"/>
          <w:sz w:val="18"/>
          <w:szCs w:val="18"/>
        </w:rPr>
        <w:t xml:space="preserve">Caveat. </w:t>
      </w:r>
      <w:r>
        <w:rPr>
          <w:color w:val="15181F"/>
          <w:sz w:val="18"/>
          <w:szCs w:val="18"/>
        </w:rPr>
        <w:t xml:space="preserve">BCAT (n=225, perihilar and distal bile duct cancer only, no intrahepatic and no gallbladder disease) was null: median overall survival 62.3 versus 63.8 months, hazard ratio 1.01 (95% CI 0.70–1.45), p=0.964, with no subgroup benefiting, including node-positive and R1 patients, and grade 3–4 neutropenia in 58.4% versus 3.8%.</w:t>
      </w:r>
    </w:p>
    <w:p>
      <w:pPr>
        <w:spacing w:after="50" w:line="276"/>
        <w:ind w:left="240"/>
      </w:pPr>
      <w:r>
        <w:rPr>
          <w:i/>
          <w:iCs/>
          <w:color w:val="5A6069"/>
          <w:sz w:val="17"/>
          <w:szCs w:val="17"/>
        </w:rPr>
        <w:t xml:space="preserve">Read the null honestly in both directions. Recruitment stopped at 226 of a planned 300 because most patients wanted adjuvant chemotherapy, and the authors calculate only a 2.8% probability the result would have reached significance even with the planned 189 deaths. Observed 5-year survival was about 50% against an assumed 30%, because R2 resections, distant metastases, severe surgical complications and in-hospital deaths were all excluded — a favourable cohort with too few events. This rules out gemcitabine, not adjuvant therapy.</w:t>
      </w:r>
    </w:p>
    <w:p>
      <w:pPr>
        <w:spacing w:after="60" w:line="276"/>
        <w:ind w:left="240"/>
      </w:pPr>
      <w:r>
        <w:rPr>
          <w:color w:val="5A6069"/>
          <w:sz w:val="16"/>
          <w:szCs w:val="16"/>
        </w:rPr>
        <w:t xml:space="preserve">Sources: BCAT</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Adjuvant gemcitabine–oxaliplatin after resection.</w:t>
      </w:r>
    </w:p>
    <w:p>
      <w:pPr>
        <w:spacing w:after="50" w:line="276"/>
        <w:ind w:left="240"/>
      </w:pPr>
      <w:r>
        <w:rPr>
          <w:color w:val="15181F"/>
          <w:sz w:val="18"/>
          <w:szCs w:val="18"/>
        </w:rPr>
        <w:t xml:space="preserve">Nothing in this disease.</w:t>
      </w:r>
    </w:p>
    <w:p>
      <w:pPr>
        <w:spacing w:after="50"/>
        <w:ind w:left="240"/>
      </w:pPr>
      <w:r>
        <w:rPr>
          <w:b/>
          <w:bCs/>
          <w:color w:val="8C2F26"/>
          <w:sz w:val="18"/>
          <w:szCs w:val="18"/>
        </w:rPr>
        <w:t xml:space="preserve">Caveat. </w:t>
      </w:r>
      <w:r>
        <w:rPr>
          <w:color w:val="15181F"/>
          <w:sz w:val="18"/>
          <w:szCs w:val="18"/>
        </w:rPr>
        <w:t xml:space="preserve">PRODIGE-12 was negative on both co-primary endpoints — relapse-free survival 30.4 versus 18.5 months, HR 0.88 (95% CI 0.62–1.25), p=0.48, and time to definitive deterioration of global quality of life 31.8 versus 32.1 months, HR 1.28 (0.73–2.26) — and overall survival numerically favoured surveillance (HR 1.08, 0.70–1.66). Worst adverse event was grade 3 in 62% and grade 4 in 11%, the 73% figure the roadmap quotes.</w:t>
      </w:r>
    </w:p>
    <w:p>
      <w:pPr>
        <w:spacing w:after="50" w:line="276"/>
        <w:ind w:left="240"/>
      </w:pPr>
      <w:r>
        <w:rPr>
          <w:i/>
          <w:iCs/>
          <w:color w:val="5A6069"/>
          <w:sz w:val="17"/>
          <w:szCs w:val="17"/>
        </w:rPr>
        <w:t xml:space="preserve">Both medians fell on a plateau of the survival curves, so the 30.4 versus 18.5 month gap overstates the separation; the authors say the hazard ratio is the honest summary. The population was lower risk than BILCAP (13% R1, 38% node-positive) and only 28% had extrahepatic disease.</w:t>
      </w:r>
    </w:p>
    <w:p>
      <w:pPr>
        <w:spacing w:after="60" w:line="276"/>
        <w:ind w:left="240"/>
      </w:pPr>
      <w:r>
        <w:rPr>
          <w:color w:val="5A6069"/>
          <w:sz w:val="16"/>
          <w:szCs w:val="16"/>
        </w:rPr>
        <w:t xml:space="preserve">Sources: PRODIGE-12</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Resection attempted without drainage of the future liver remnant.</w:t>
      </w:r>
    </w:p>
    <w:p>
      <w:pPr>
        <w:spacing w:after="50" w:line="276"/>
        <w:ind w:left="240"/>
      </w:pPr>
      <w:r>
        <w:rPr>
          <w:color w:val="15181F"/>
          <w:sz w:val="18"/>
          <w:szCs w:val="18"/>
        </w:rPr>
        <w:t xml:space="preserve">Drain the remnant, confirm the bilirubin is falling within 1–2 weeks, and only then proceed.</w:t>
      </w:r>
    </w:p>
    <w:p>
      <w:pPr>
        <w:spacing w:after="50"/>
        <w:ind w:left="240"/>
      </w:pPr>
      <w:r>
        <w:rPr>
          <w:b/>
          <w:bCs/>
          <w:color w:val="8C2F26"/>
          <w:sz w:val="18"/>
          <w:szCs w:val="18"/>
        </w:rPr>
        <w:t xml:space="preserve">Caveat. </w:t>
      </w:r>
      <w:r>
        <w:rPr>
          <w:color w:val="15181F"/>
          <w:sz w:val="18"/>
          <w:szCs w:val="18"/>
        </w:rPr>
        <w:t xml:space="preserve">This is the roadmap's named Avoid for Gate 1 and it is a sequence error, not a judgement call.</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4 · Transplant protocol candidate</w:t>
      </w:r>
    </w:p>
    <w:p>
      <w:pPr>
        <w:spacing w:after="140"/>
      </w:pPr>
      <w:r>
        <w:rPr>
          <w:b/>
          <w:bCs/>
          <w:color w:val="176A87"/>
          <w:sz w:val="19"/>
          <w:szCs w:val="19"/>
        </w:rPr>
        <w:t xml:space="preserve">The question. </w:t>
      </w:r>
      <w:r>
        <w:rPr>
          <w:sz w:val="19"/>
          <w:szCs w:val="19"/>
        </w:rPr>
        <w:t xml:space="preserve">Has the transplant question been asked and answered before anything forecloses it?</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Unresectable for technical reasons or because of underlying liver disease, or arising in primary sclerosing cholangitis</w:t>
      </w:r>
    </w:p>
    <w:p>
      <w:pPr>
        <w:pStyle w:val="ListParagraph"/>
        <w:numPr>
          <w:ilvl w:val="0"/>
          <w:numId w:val="2"/>
        </w:numPr>
        <w:spacing w:after="60" w:line="268"/>
      </w:pPr>
      <w:r>
        <w:rPr>
          <w:color w:val="15181F"/>
          <w:sz w:val="18"/>
          <w:szCs w:val="18"/>
        </w:rPr>
        <w:t xml:space="preserve">If a mass is present, a single mass under 3 cm in radial diameter — longitudinal duct extension is not the measured criterion</w:t>
      </w:r>
    </w:p>
    <w:p>
      <w:pPr>
        <w:pStyle w:val="ListParagraph"/>
        <w:numPr>
          <w:ilvl w:val="0"/>
          <w:numId w:val="2"/>
        </w:numPr>
        <w:spacing w:after="60" w:line="268"/>
      </w:pPr>
      <w:r>
        <w:rPr>
          <w:color w:val="15181F"/>
          <w:sz w:val="18"/>
          <w:szCs w:val="18"/>
        </w:rPr>
        <w:t xml:space="preserve">No intrahepatic or extrahepatic metastases on chest and abdominal imaging within 90 days of the initial request, and no regional nodal disease</w:t>
      </w:r>
    </w:p>
    <w:p>
      <w:pPr>
        <w:pStyle w:val="ListParagraph"/>
        <w:numPr>
          <w:ilvl w:val="0"/>
          <w:numId w:val="2"/>
        </w:numPr>
        <w:spacing w:after="60" w:line="268"/>
      </w:pPr>
      <w:r>
        <w:rPr>
          <w:color w:val="15181F"/>
          <w:sz w:val="18"/>
          <w:szCs w:val="18"/>
        </w:rPr>
        <w:t xml:space="preserve">Confirmed malignancy, and no transperitoneal biopsy of the primary tumour</w:t>
      </w:r>
    </w:p>
    <w:p>
      <w:pPr>
        <w:pStyle w:val="ListParagraph"/>
        <w:numPr>
          <w:ilvl w:val="0"/>
          <w:numId w:val="2"/>
        </w:numPr>
        <w:spacing w:after="60" w:line="268"/>
      </w:pPr>
      <w:r>
        <w:rPr>
          <w:color w:val="15181F"/>
          <w:sz w:val="18"/>
          <w:szCs w:val="18"/>
        </w:rPr>
        <w:t xml:space="preserve">A centre holding an OPTN-committee-approved written patient-care protocol, with operative staging before transplantation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Ask this gate before starting palliative systemic therapy — months of chemotherapy, or a transperitoneal biopsy obtained for convenience, commonly forecloses it.</w:t>
      </w:r>
    </w:p>
    <w:p>
      <w:pPr>
        <w:spacing w:after="50" w:line="276"/>
        <w:ind w:left="240"/>
      </w:pPr>
      <w:r>
        <w:rPr>
          <w:color w:val="15181F"/>
          <w:sz w:val="18"/>
          <w:szCs w:val="18"/>
        </w:rPr>
        <w:t xml:space="preserve">Every unresectable perihilar patient who is small-volume, node-negative and medically transplantable, and every patient with primary sclerosing cholangitis. The protocol population is defined by being unresectable and small.</w:t>
      </w:r>
    </w:p>
    <w:p>
      <w:pPr>
        <w:spacing w:after="50"/>
        <w:ind w:left="240"/>
      </w:pPr>
      <w:r>
        <w:rPr>
          <w:b/>
          <w:bCs/>
          <w:color w:val="8C2F26"/>
          <w:sz w:val="18"/>
          <w:szCs w:val="18"/>
        </w:rPr>
        <w:t xml:space="preserve">Caveat. </w:t>
      </w:r>
      <w:r>
        <w:rPr>
          <w:color w:val="15181F"/>
          <w:sz w:val="18"/>
          <w:szCs w:val="18"/>
        </w:rPr>
        <w:t xml:space="preserve">The sequencing recommendation rests on protocol eligibility criteria, not on a randomised comparison of referral timing — that trial does not exist.</w:t>
      </w:r>
    </w:p>
    <w:p>
      <w:pPr>
        <w:spacing w:after="50" w:line="276"/>
        <w:ind w:left="240"/>
      </w:pPr>
      <w:r>
        <w:rPr>
          <w:i/>
          <w:iCs/>
          <w:color w:val="5A6069"/>
          <w:sz w:val="17"/>
          <w:szCs w:val="17"/>
        </w:rPr>
        <w:t xml:space="preserve">AASLD goes further than the roadmap and states that transplantation is preferred over resection in all cases of primary sclerosing cholangitis, but that document is expert consensus rather than a GRADE-rated guideline. The 12-centre series found no difference in outcome by PSC status, so the PSC preference is not a finding of the primary data. Whether PSC-associated tumours should be routed here even when technically resectable is an open local decision (alignment area 9).</w:t>
      </w:r>
    </w:p>
    <w:p>
      <w:pPr>
        <w:spacing w:after="60" w:line="276"/>
        <w:ind w:left="240"/>
      </w:pPr>
      <w:r>
        <w:rPr>
          <w:color w:val="5A6069"/>
          <w:sz w:val="16"/>
          <w:szCs w:val="16"/>
        </w:rPr>
        <w:t xml:space="preserve">Sources: Heimbach 2011; 12-centre protocol series</w:t>
      </w:r>
    </w:p>
    <w:p>
      <w:pPr>
        <w:spacing w:after="60" w:before="180"/>
      </w:pPr>
      <w:r>
        <w:rPr>
          <w:b/>
          <w:bCs/>
          <w:color w:val="176A87"/>
          <w:spacing w:val="16"/>
          <w:sz w:val="16"/>
          <w:szCs w:val="16"/>
        </w:rPr>
        <w:t xml:space="preserve">REASONABLE</w:t>
      </w:r>
      <w:r>
        <w:rPr>
          <w:color w:val="5A6069"/>
          <w:sz w:val="16"/>
          <w:szCs w:val="16"/>
        </w:rPr>
        <w:t xml:space="preserve">   grade C</w:t>
      </w:r>
      <w:r>
        <w:rPr>
          <w:b/>
          <w:bCs/>
          <w:color w:val="8E5008"/>
          <w:spacing w:val="12"/>
          <w:sz w:val="14"/>
          <w:szCs w:val="14"/>
        </w:rPr>
        <w:t xml:space="preserve">   PROTOCOL</w:t>
      </w:r>
      <w:r>
        <w:rPr>
          <w:b/>
          <w:bCs/>
          <w:color w:val="8E5008"/>
          <w:spacing w:val="12"/>
          <w:sz w:val="14"/>
          <w:szCs w:val="14"/>
        </w:rPr>
        <w:t xml:space="preserve">   REGISTRY</w:t>
      </w:r>
    </w:p>
    <w:p>
      <w:pPr>
        <w:spacing w:after="60" w:line="276"/>
      </w:pPr>
      <w:r>
        <w:rPr>
          <w:color w:val="15181F"/>
          <w:sz w:val="19"/>
          <w:szCs w:val="19"/>
        </w:rPr>
        <w:t>Protocol-directed neoadjuvant therapy followed by operative staging and liver transplantation, under an approved written protocol with registry entry. Radiation-containing regimens have the largest evidence base; RT specifically is not mandated by OPTN 9.5.A.</w:t>
      </w:r>
    </w:p>
    <w:p>
      <w:pPr>
        <w:spacing w:after="50" w:line="276"/>
        <w:ind w:left="240"/>
      </w:pPr>
      <w:r>
        <w:rPr>
          <w:color w:val="15181F"/>
          <w:sz w:val="18"/>
          <w:szCs w:val="18"/>
        </w:rPr>
        <w:t xml:space="preserve">A protocol candidate meeting every policy condition at a programme that holds the approval. In 287 patients across 12 US centres, intention-to-treat survival from the start of therapy was 68% at 2 years and 53% at 5 years. The recurrence-free survival figures quoted elsewhere are on a different and smaller denominator: 78% at 2 years (95% CI 72–84), 65% at 5 years (57–73) and 59% at 10 years among the 214 who reached transplantation, with graft survival 77%, 60% and 51%. Keep the two apart — 53% at 5 years is what the pathway delivers to a patient who enters it, 65% is what it delivers to a patient who gets through it.</w:t>
      </w:r>
    </w:p>
    <w:p>
      <w:pPr>
        <w:spacing w:after="50"/>
        <w:ind w:left="240"/>
      </w:pPr>
      <w:r>
        <w:rPr>
          <w:b/>
          <w:bCs/>
          <w:color w:val="8C2F26"/>
          <w:sz w:val="18"/>
          <w:szCs w:val="18"/>
        </w:rPr>
        <w:t xml:space="preserve">Caveat. </w:t>
      </w:r>
      <w:r>
        <w:rPr>
          <w:color w:val="15181F"/>
          <w:sz w:val="18"/>
          <w:szCs w:val="18"/>
        </w:rPr>
        <w:t xml:space="preserve">Do not read these as a treatment effect. The experience is retrospective and multicentre with no arm of transplantation without neoadjuvant therapy and none of resection, so the benefit credited to chemoradiation is inferred from historical recurrence rates; 193 of 287 patients (67%) came from one centre; neoadjuvant protocols differed widely between centres (brachytherapy in 75%, maintenance chemotherapy in 65%, external beam dose 2,100–6,000 cGy), and that heterogeneity meant the independent effect of maintenance chemotherapy could not be determined. Selection is doing substantial work: patients transplanted outside criteria did significantly worse (HR 2.98, 95% CI 1.79–4.95, P&lt;.001) and selection was the only independent predictor of recurrence-free survival. 71 of 287 (25%) dropped out at a median of 4.6 months, a rate averaging 11.5% per 3-month interval from the end of chemoradiation (range 7–17%). Staging surgery still found metastases in 17% (40 of 229), though with only 30 transplanted patients unstaged that comparison was underpowered (HR 0.73, 0.37–1.43).</w:t>
      </w:r>
    </w:p>
    <w:p>
      <w:pPr>
        <w:spacing w:after="50" w:line="276"/>
        <w:ind w:left="240"/>
      </w:pPr>
      <w:r>
        <w:rPr>
          <w:i/>
          <w:iCs/>
          <w:color w:val="5A6069"/>
          <w:sz w:val="17"/>
          <w:szCs w:val="17"/>
        </w:rPr>
        <w:t xml:space="preserve">Two further honesty points about the denominator. 15 patients (5%) were transplanted on clinical suspicion alone with no histologic proof of malignancy; excluding them, 5-year intention-to-treat survival was 50% and recurrence-free survival 62% — little changed, but it means the cohort includes patients who may not have had cancer. And the widely quoted 5-year figures of 55–65% in primary sclerosing cholangitis and 35–55% in de novo disease are an ungraded 2015 consensus statement, not a result of this series, which found no difference by PSC status; do not quote them as outcomes of the protocol. Toxicity is real: radiation caused portal vein friability in 23% and hepatic artery friability in 12%, gastroduodenal ulcers in 34%, biliary anastomotic strictures in 17%, ischaemic cholangiopathy in 7%, postsurgical bile leak in 11%, and 22 of 214 (10%) needed re-transplantation, 11 of them for arterial compromise. The regimen is typically 4500 cGy external beam in 30 fractions with 5-FU, a 1500–3000 cGy brachytherapy boost, then capecitabine until transplant. [TX-TIMING] [PAYER]</w:t>
      </w:r>
    </w:p>
    <w:p>
      <w:pPr>
        <w:spacing w:after="60" w:line="276"/>
        <w:ind w:left="240"/>
      </w:pPr>
      <w:r>
        <w:rPr>
          <w:color w:val="5A6069"/>
          <w:sz w:val="16"/>
          <w:szCs w:val="16"/>
        </w:rPr>
        <w:t xml:space="preserve">Sources: 12-centre protocol series; Rea 2005; Milan consensus; AHPBA 2015</w:t>
      </w:r>
    </w:p>
    <w:p>
      <w:pPr>
        <w:spacing w:after="60" w:before="180"/>
      </w:pPr>
      <w:r>
        <w:rPr>
          <w:b/>
          <w:bCs/>
          <w:color w:val="176A87"/>
          <w:spacing w:val="16"/>
          <w:sz w:val="16"/>
          <w:szCs w:val="16"/>
        </w:rPr>
        <w:t xml:space="preserve">REASONABLE</w:t>
      </w:r>
      <w:r>
        <w:rPr>
          <w:color w:val="5A6069"/>
          <w:sz w:val="16"/>
          <w:szCs w:val="16"/>
        </w:rPr>
        <w:t xml:space="preserve">   grade D</w:t>
      </w:r>
      <w:r>
        <w:rPr>
          <w:b/>
          <w:bCs/>
          <w:color w:val="8E5008"/>
          <w:spacing w:val="12"/>
          <w:sz w:val="14"/>
          <w:szCs w:val="14"/>
        </w:rPr>
        <w:t xml:space="preserve">   PROTOCOL</w:t>
      </w:r>
    </w:p>
    <w:p>
      <w:pPr>
        <w:spacing w:after="60" w:line="276"/>
      </w:pPr>
      <w:r>
        <w:rPr>
          <w:color w:val="15181F"/>
          <w:sz w:val="19"/>
          <w:szCs w:val="19"/>
        </w:rPr>
        <w:t>Radiotherapy, including SBRT under a centre-specific protocol, may contribute to a curative-intent transplant strategy. Regimen choice requires program approval; small SBRT and systemic-only cohorts do not establish equivalence.</w:t>
      </w:r>
    </w:p>
    <w:p>
      <w:pPr>
        <w:spacing w:after="50" w:line="276"/>
        <w:ind w:left="240"/>
      </w:pPr>
      <w:r>
        <w:rPr>
          <w:color w:val="15181F"/>
          <w:sz w:val="18"/>
          <w:szCs w:val="18"/>
        </w:rPr>
        <w:t xml:space="preserve">Discuss the transplant protocol before any radiation is planned. The evidence supports the whole neoadjuvant-plus-transplant pathway, not radiation alone.</w:t>
      </w:r>
    </w:p>
    <w:p>
      <w:pPr>
        <w:spacing w:after="50"/>
        <w:ind w:left="240"/>
      </w:pPr>
      <w:r>
        <w:rPr>
          <w:b/>
          <w:bCs/>
          <w:color w:val="8C2F26"/>
          <w:sz w:val="18"/>
          <w:szCs w:val="18"/>
        </w:rPr>
        <w:t xml:space="preserve">Caveat. </w:t>
      </w:r>
      <w:r>
        <w:rPr>
          <w:color w:val="15181F"/>
          <w:sz w:val="18"/>
          <w:szCs w:val="18"/>
        </w:rPr>
        <w:t xml:space="preserve">Do not substitute an arbitrary SBRT schedule for approved neoadjuvant treatment, and do not assume it confers allocation eligibility. Isolated SBRT cure evidence is limited, and central bile duct, duodenal and infection risks can require a different fractionation.</w:t>
      </w:r>
    </w:p>
    <w:p>
      <w:pPr>
        <w:spacing w:after="50" w:line="276"/>
        <w:ind w:left="240"/>
      </w:pPr>
      <w:r>
        <w:rPr>
          <w:i/>
          <w:iCs/>
          <w:color w:val="5A6069"/>
          <w:sz w:val="17"/>
          <w:szCs w:val="17"/>
        </w:rPr>
        <w:t>A local complete response does not confer a transplant exception. Record bridge, downstaging and definitive local treatment separately. Welling (PMID 24115315) supplies direct SBRT-containing protocol experience. No study isolates the causal contribution of RT before LT; Soliman (PMID 39936132) does not prove RT omission equivalent. See updated evidence and allocation section.</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Starting palliative systemic therapy in a potentially protocol-eligible patient before the transplant question has been asked and answered.</w:t>
      </w:r>
    </w:p>
    <w:p>
      <w:pPr>
        <w:spacing w:after="50" w:line="276"/>
        <w:ind w:left="240"/>
      </w:pPr>
      <w:r>
        <w:rPr>
          <w:color w:val="15181F"/>
          <w:sz w:val="18"/>
          <w:szCs w:val="18"/>
        </w:rPr>
        <w:t xml:space="preserve">Route the case through the transplant surgeon at the first board, together with the drainage plan.</w:t>
      </w:r>
    </w:p>
    <w:p>
      <w:pPr>
        <w:spacing w:after="50"/>
        <w:ind w:left="240"/>
      </w:pPr>
      <w:r>
        <w:rPr>
          <w:b/>
          <w:bCs/>
          <w:color w:val="8C2F26"/>
          <w:sz w:val="18"/>
          <w:szCs w:val="18"/>
        </w:rPr>
        <w:t xml:space="preserve">Caveat. </w:t>
      </w:r>
      <w:r>
        <w:rPr>
          <w:color w:val="15181F"/>
          <w:sz w:val="18"/>
          <w:szCs w:val="18"/>
        </w:rPr>
        <w:t xml:space="preserve">This is the roadmap's named Avoid for Gate 2, and the commonest way the option is lost.</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use Rea 2005 to tell a resectable patient that transplantation is the better operation.</w:t>
      </w:r>
    </w:p>
    <w:p>
      <w:pPr>
        <w:spacing w:after="50" w:line="276"/>
        <w:ind w:left="240"/>
      </w:pPr>
      <w:r>
        <w:rPr>
          <w:color w:val="15181F"/>
          <w:sz w:val="18"/>
          <w:szCs w:val="18"/>
        </w:rPr>
        <w:t xml:space="preserve">The defensible claim from that paper is what the Mayo protocol achieves in a selected, node-negative, mostly PSC population — not that transplantation beats resection in a patient who is resectable.</w:t>
      </w:r>
    </w:p>
    <w:p>
      <w:pPr>
        <w:spacing w:after="50"/>
        <w:ind w:left="240"/>
      </w:pPr>
      <w:r>
        <w:rPr>
          <w:b/>
          <w:bCs/>
          <w:color w:val="8C2F26"/>
          <w:sz w:val="18"/>
          <w:szCs w:val="18"/>
        </w:rPr>
        <w:t xml:space="preserve">Caveat. </w:t>
      </w:r>
      <w:r>
        <w:rPr>
          <w:color w:val="15181F"/>
          <w:sz w:val="18"/>
          <w:szCs w:val="18"/>
        </w:rPr>
        <w:t xml:space="preserve">The selection asymmetry is complete and the authors say so. By protocol no transplant patient was resectable, and every recipient was proved node-negative at staging laparotomy, while 8 of 26 resected patients (31%) were node-positive and 3 of 26 (12%) R1. The curves also start at different points: 82% 5-year survival is measured from transplantation among the 38 of 71 enrolled who got there, against 21% from resection among the 26 of 54 explored; from the start of treatment the comparison is 58% versus about 21%. Recipients were 15 years younger (48 versus 63, P&lt;0.001) and 58% had PSC against 8%. 16 of 38 explants showed no residual tumour and 8 of those patients had no tissue proof of cancer before neoadjuvant therapy.</w:t>
      </w:r>
    </w:p>
    <w:p>
      <w:pPr>
        <w:spacing w:after="50" w:line="276"/>
        <w:ind w:left="240"/>
      </w:pPr>
      <w:r>
        <w:rPr>
          <w:i/>
          <w:iCs/>
          <w:color w:val="5A6069"/>
          <w:sz w:val="17"/>
          <w:szCs w:val="17"/>
        </w:rPr>
        <w:t xml:space="preserve">The node-negative R0 resection subgroup fared no better (87%, 53% and 18% at 1, 3 and 5 years), and the 20–21% 5-year survival after resection matches other specialist centres, so the comparator is not substandard. Three of 26 resections (12%) died within 30 days, and the discussants' point was that non-cancer deaths, not recurrence, drive much of the gap — recurrence after resection was 35% while 5-year survival was 20%. There is no intention-to-treat analysis and no accounting of organ cost: 38 grafts, 7 of them living donor, for 71 patients enrolled. The Milan jury acknowledged benefit in node-negative patients independent of resectability; that is a consensus position resting on one benchmark study and mixed retrospective comparisons, and TRANSPHIL, the randomised trial meant to settle it, failed to recruit.</w:t>
      </w:r>
    </w:p>
    <w:p>
      <w:pPr>
        <w:spacing w:after="60" w:line="276"/>
        <w:ind w:left="240"/>
      </w:pPr>
      <w:r>
        <w:rPr>
          <w:color w:val="5A6069"/>
          <w:sz w:val="16"/>
          <w:szCs w:val="16"/>
        </w:rPr>
        <w:t xml:space="preserve">Sources: Rea 2005</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treat the transplant eligibility criteria as clinical thresholds that can be stretched for a good candidate.</w:t>
      </w:r>
    </w:p>
    <w:p>
      <w:pPr>
        <w:spacing w:after="50" w:line="276"/>
        <w:ind w:left="240"/>
      </w:pPr>
      <w:r>
        <w:rPr>
          <w:color w:val="15181F"/>
          <w:sz w:val="18"/>
          <w:szCs w:val="18"/>
        </w:rPr>
        <w:t xml:space="preserve">They are conditions of OPTN Policy 9.5.A, not entry criteria of the 12-centre series, which transplanted 48 patients outside them. Exactly 3 cm does not meet the policy mass-size gate; referral and allocation are distinct, and NCCN's ≤3 cm referral wording is looser than the policy.</w:t>
      </w:r>
    </w:p>
    <w:p>
      <w:pPr>
        <w:spacing w:after="50"/>
        <w:ind w:left="240"/>
      </w:pPr>
      <w:r>
        <w:rPr>
          <w:b/>
          <w:bCs/>
          <w:color w:val="8C2F26"/>
          <w:sz w:val="18"/>
          <w:szCs w:val="18"/>
        </w:rPr>
        <w:t xml:space="preserve">Caveat. </w:t>
      </w:r>
      <w:r>
        <w:rPr>
          <w:color w:val="15181F"/>
          <w:sz w:val="18"/>
          <w:szCs w:val="18"/>
        </w:rPr>
        <w:t xml:space="preserve">Mass size caused the greatest disparity in the multicentre series: 5-year recurrence-free survival was 32% for a mass over 3 cm against 69% for 3 cm or smaller (P&lt;.001).</w:t>
      </w:r>
    </w:p>
    <w:p>
      <w:pPr>
        <w:spacing w:after="50" w:line="276"/>
        <w:ind w:left="240"/>
      </w:pPr>
      <w:r>
        <w:rPr>
          <w:i/>
          <w:iCs/>
          <w:color w:val="5A6069"/>
          <w:sz w:val="17"/>
          <w:szCs w:val="17"/>
        </w:rPr>
        <w:t xml:space="preserve">Confirm the current OPTN policy text before any listing decision. The transplant coordinator records source version, eligibility dates, request and extension dates, imaging, laboratory values and a named renewal owner; transplant leadership signs the allocation assessment.</w:t>
      </w:r>
    </w:p>
    <w:p>
      <w:pPr>
        <w:spacing w:after="60" w:line="276"/>
        <w:ind w:left="240"/>
      </w:pPr>
      <w:r>
        <w:rPr>
          <w:color w:val="5A6069"/>
          <w:sz w:val="16"/>
          <w:szCs w:val="16"/>
        </w:rPr>
        <w:t xml:space="preserve">Sources: 12-centre protocol series</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5 · Unresectable outside the protocol</w:t>
      </w:r>
    </w:p>
    <w:p>
      <w:pPr>
        <w:spacing w:after="140"/>
      </w:pPr>
      <w:r>
        <w:rPr>
          <w:b/>
          <w:bCs/>
          <w:color w:val="176A87"/>
          <w:sz w:val="19"/>
          <w:szCs w:val="19"/>
        </w:rPr>
        <w:t xml:space="preserve">The question. </w:t>
      </w:r>
      <w:r>
        <w:rPr>
          <w:sz w:val="19"/>
          <w:szCs w:val="19"/>
        </w:rPr>
        <w:t xml:space="preserve">What is the best systemic plan, and is the biliary tree drained well enough to deliver it?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Regional nodal disease, or a mass of 3 cm or more in radial diameter</w:t>
      </w:r>
    </w:p>
    <w:p>
      <w:pPr>
        <w:pStyle w:val="ListParagraph"/>
        <w:numPr>
          <w:ilvl w:val="0"/>
          <w:numId w:val="2"/>
        </w:numPr>
        <w:spacing w:after="60" w:line="268"/>
      </w:pPr>
      <w:r>
        <w:rPr>
          <w:color w:val="15181F"/>
          <w:sz w:val="18"/>
          <w:szCs w:val="18"/>
        </w:rPr>
        <w:t xml:space="preserve">Intrahepatic or extrahepatic metastases</w:t>
      </w:r>
    </w:p>
    <w:p>
      <w:pPr>
        <w:pStyle w:val="ListParagraph"/>
        <w:numPr>
          <w:ilvl w:val="0"/>
          <w:numId w:val="2"/>
        </w:numPr>
        <w:spacing w:after="60" w:line="268"/>
      </w:pPr>
      <w:r>
        <w:rPr>
          <w:color w:val="15181F"/>
          <w:sz w:val="18"/>
          <w:szCs w:val="18"/>
        </w:rPr>
        <w:t xml:space="preserve">Comorbidity or performance status that rules out transplantation</w:t>
      </w:r>
    </w:p>
    <w:p>
      <w:pPr>
        <w:pStyle w:val="ListParagraph"/>
        <w:numPr>
          <w:ilvl w:val="0"/>
          <w:numId w:val="2"/>
        </w:numPr>
        <w:spacing w:after="60" w:line="268"/>
      </w:pPr>
      <w:r>
        <w:rPr>
          <w:color w:val="15181F"/>
          <w:sz w:val="18"/>
          <w:szCs w:val="18"/>
        </w:rPr>
        <w:t xml:space="preserve">No OPTN-approved protocol available, or the patient declines that route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100" w:line="276"/>
      </w:pPr>
      <w:r>
        <w:rPr>
          <w:i/>
          <w:iCs/>
          <w:color w:val="5A6069"/>
          <w:sz w:val="17"/>
          <w:szCs w:val="17"/>
        </w:rPr>
        <w:t xml:space="preserve">Downgraded from A to B for this page, and the reason is subgroup, not design: both trials are properly conducted positive phase 3 trials in biliary tract cancer as a whole, but neither was powered for perihilar disease, and in the one that reported it the extrahepatic subgroup hazard ratio was 0.99 (0.73–1.35). The order carries no meaning: NCCN lists both, ESMO grades both [I, A], and no trial compares them. The backbone is cisplatin–gemcitabine, which established the standard in ABC-02 (n=410: median overall survival 11.7 versus 8.1 months, hazard ratio 0.64, 95% CI 0.52–0.80); 57 of those 410 patients had hilar tumours and no differential effect by site was seen, but the trial was not powered to find one.</w:t>
      </w:r>
    </w:p>
    <w:p>
      <w:pPr>
        <w:spacing w:after="50" w:before="120"/>
        <w:ind w:left="240"/>
      </w:pPr>
      <w:r>
        <w:rPr>
          <w:b/>
          <w:bCs/>
          <w:color w:val="15181F"/>
          <w:sz w:val="19"/>
          <w:szCs w:val="19"/>
        </w:rPr>
        <w:t xml:space="preserve">Cisplatin–gemcitabine plus durvalumab</w:t>
      </w:r>
      <w:r>
        <w:rPr>
          <w:color w:val="5A6069"/>
          <w:sz w:val="15"/>
          <w:szCs w:val="15"/>
        </w:rPr>
        <w:t xml:space="preserve">   grade B</w:t>
      </w:r>
    </w:p>
    <w:p>
      <w:pPr>
        <w:spacing w:after="50" w:line="276"/>
        <w:ind w:left="240"/>
      </w:pPr>
      <w:r>
        <w:rPr>
          <w:color w:val="15181F"/>
          <w:sz w:val="18"/>
          <w:szCs w:val="18"/>
        </w:rPr>
        <w:t xml:space="preserve">NCCN and ESMO both recommend it first line; ESMO's interim update grades the two checkpoint combinations [I, A] together.</w:t>
      </w:r>
    </w:p>
    <w:p>
      <w:pPr>
        <w:spacing w:after="50" w:line="276"/>
        <w:ind w:left="240"/>
      </w:pPr>
      <w:r>
        <w:rPr>
          <w:color w:val="15181F"/>
          <w:sz w:val="18"/>
          <w:szCs w:val="18"/>
        </w:rPr>
        <w:t xml:space="preserve">A fit patient with adequate drainage and an acceptable bilirubin. TOPAZ-1 (n=685) gave overall survival hazard ratio 0.80 (95% CI 0.66–0.97), P=0.021, median 12.8 versus 11.5 months, with the separation in the tail — 24-month survival 24.9% versus 10.4%, and a hazard ratio of 0.91 (0.66–1.26) in the first 6 months against 0.74 (0.58–0.94) thereafter.</w:t>
      </w:r>
    </w:p>
    <w:p>
      <w:pPr>
        <w:spacing w:after="50"/>
        <w:ind w:left="240"/>
      </w:pPr>
      <w:r>
        <w:rPr>
          <w:b/>
          <w:bCs/>
          <w:color w:val="8C2F26"/>
          <w:sz w:val="18"/>
          <w:szCs w:val="18"/>
        </w:rPr>
        <w:t xml:space="preserve">Caveat. </w:t>
      </w:r>
      <w:r>
        <w:rPr>
          <w:color w:val="15181F"/>
          <w:sz w:val="18"/>
          <w:szCs w:val="18"/>
        </w:rPr>
        <w:t xml:space="preserve">Address biliary infection and organ reserve before starting; prior immune exposure changes later choices. No trial compares durvalumab with pembrolizumab, and no clinical, biochemical or molecular biomarker favours one over the other — ESMO's statement that they are interchangeable is an indirect comparison across two trials that differ in chemotherapy duration and population. This was a prespecified interim analysis at 424 of 496 planned deaths powered to about 75%, the median gain is 1.3 months, and the proportional hazards assumption was formally violated, so a single hazard ratio misrepresents a time-varying effect.</w:t>
      </w:r>
    </w:p>
    <w:p>
      <w:pPr>
        <w:spacing w:after="60" w:line="276"/>
        <w:ind w:left="240"/>
      </w:pPr>
      <w:r>
        <w:rPr>
          <w:color w:val="5A6069"/>
          <w:sz w:val="16"/>
          <w:szCs w:val="16"/>
        </w:rPr>
        <w:t xml:space="preserve">Sources: TOPAZ-1; ESMO 2024 interim; ABC-02</w:t>
      </w:r>
    </w:p>
    <w:p>
      <w:pPr>
        <w:spacing w:after="50" w:before="120"/>
        <w:ind w:left="240"/>
      </w:pPr>
      <w:r>
        <w:rPr>
          <w:b/>
          <w:bCs/>
          <w:color w:val="15181F"/>
          <w:sz w:val="19"/>
          <w:szCs w:val="19"/>
        </w:rPr>
        <w:t xml:space="preserve">Cisplatin–gemcitabine plus pembrolizumab</w:t>
      </w:r>
      <w:r>
        <w:rPr>
          <w:color w:val="5A6069"/>
          <w:sz w:val="15"/>
          <w:szCs w:val="15"/>
        </w:rPr>
        <w:t xml:space="preserve">   grade B</w:t>
      </w:r>
    </w:p>
    <w:p>
      <w:pPr>
        <w:spacing w:after="50" w:line="276"/>
        <w:ind w:left="240"/>
      </w:pPr>
      <w:r>
        <w:rPr>
          <w:color w:val="15181F"/>
          <w:sz w:val="18"/>
          <w:szCs w:val="18"/>
        </w:rPr>
        <w:t xml:space="preserve">Recommended first line alongside the durvalumab combination, unranked.</w:t>
      </w:r>
    </w:p>
    <w:p>
      <w:pPr>
        <w:spacing w:after="50" w:line="276"/>
        <w:ind w:left="240"/>
      </w:pPr>
      <w:r>
        <w:rPr>
          <w:color w:val="15181F"/>
          <w:sz w:val="18"/>
          <w:szCs w:val="18"/>
        </w:rPr>
        <w:t xml:space="preserve">The same population. KEYNOTE-966 (n=1,069) gave median overall survival 12.7 versus 10.9 months, hazard ratio 0.83 (95% CI 0.72–0.95); 24-month survival 25% versus 18%.</w:t>
      </w:r>
    </w:p>
    <w:p>
      <w:pPr>
        <w:spacing w:after="50"/>
        <w:ind w:left="240"/>
      </w:pPr>
      <w:r>
        <w:rPr>
          <w:b/>
          <w:bCs/>
          <w:color w:val="8C2F26"/>
          <w:sz w:val="18"/>
          <w:szCs w:val="18"/>
        </w:rPr>
        <w:t xml:space="preserve">Caveat. </w:t>
      </w:r>
      <w:r>
        <w:rPr>
          <w:color w:val="15181F"/>
          <w:sz w:val="18"/>
          <w:szCs w:val="18"/>
        </w:rPr>
        <w:t xml:space="preserve">Both supporting endpoints failed their prespecified boundaries — progression-free survival HR 0.86 (0.75–1.00), p=0.023 against 0.0125, and objective response identical at 29% versus 29%, p=0.47 — so the benefit rests on one endpoint with no response signal behind it. More importantly for this page: the trial was enriched for intrahepatic disease (59%) because tumour tissue was mandatory, and the extrahepatic subgroup, which is where perihilar tumours sit, gave an overall survival hazard ratio of 0.99 (95% CI 0.73–1.35). Immune-mediated events occurred in 22% versus 13% and treatment-related deaths in 8 (2%) versus 3 (1%), with no improvement in quality of life.</w:t>
      </w:r>
    </w:p>
    <w:p>
      <w:pPr>
        <w:spacing w:after="60" w:line="276"/>
        <w:ind w:left="240"/>
      </w:pPr>
      <w:r>
        <w:rPr>
          <w:color w:val="5A6069"/>
          <w:sz w:val="16"/>
          <w:szCs w:val="16"/>
        </w:rPr>
        <w:t xml:space="preserve">Sources: KEYNOTE-966; ESMO 2024 interim; ABC-02</w:t>
      </w:r>
    </w:p>
    <w:p>
      <w:pPr>
        <w:spacing w:after="60" w:line="276"/>
        <w:ind w:left="240"/>
      </w:pPr>
      <w:r>
        <w:rPr>
          <w:i/>
          <w:iCs/>
          <w:color w:val="5A6069"/>
          <w:sz w:val="16"/>
          <w:szCs w:val="16"/>
        </w:rPr>
        <w:t xml:space="preserve">The roadmap retains an unranked choice between the two combinations; that is the institutional position and it matches NCCN and ESMO. New ratification question (§11 item 12): is first-line chemo-immunotherapy offered here on the biliary-tract-wide result, given the null extrahepatic subgroup in KEYNOTE-966 and the absence of a perihilar-specific estimate in either trial?</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Order molecular profiling at diagnosis and screen for clinical-trial eligibility at the same visit.</w:t>
      </w:r>
    </w:p>
    <w:p>
      <w:pPr>
        <w:spacing w:after="50" w:line="276"/>
        <w:ind w:left="240"/>
      </w:pPr>
      <w:r>
        <w:rPr>
          <w:color w:val="15181F"/>
          <w:sz w:val="18"/>
          <w:szCs w:val="18"/>
        </w:rPr>
        <w:t xml:space="preserve">Every patient entering systemic therapy. Actionable alterations do occur in perihilar disease, but not in the same pattern as intrahepatic disease. FGFR2 fusions and IDH1 mutations concentrate in intrahepatic tumours — ClarIDHy enrolled 187 patients of whom only 6 had extrahepatic or perihilar disease, and FIGHT-202 cohort A was 107 of 108 intrahepatic — while HER2 alterations occur in about 5–10% of biliary tract cancer and are commoner in extrahepatic cholangiocarcinoma and gallbladder carcinoma, which makes HER2 the one target enriched in this disease rather than depleted.</w:t>
      </w:r>
    </w:p>
    <w:p>
      <w:pPr>
        <w:spacing w:after="50"/>
        <w:ind w:left="240"/>
      </w:pPr>
      <w:r>
        <w:rPr>
          <w:b/>
          <w:bCs/>
          <w:color w:val="8C2F26"/>
          <w:sz w:val="18"/>
          <w:szCs w:val="18"/>
        </w:rPr>
        <w:t xml:space="preserve">Caveat. </w:t>
      </w:r>
      <w:r>
        <w:rPr>
          <w:color w:val="15181F"/>
          <w:sz w:val="18"/>
          <w:szCs w:val="18"/>
        </w:rPr>
        <w:t xml:space="preserve">Do not assume hilar disease shares the iCCA target distribution, and do not treat the gene as the target — different alterations in the same gene do not predict the same response, as ESMO notes for HER2 amplification versus mutation. ESMO also concedes there are no standardised criteria for assessing HER2 status in biliary tract cancer and that no specific test can be recommended, with gastric cancer immunohistochemistry criteria offered as the best available; two HER2-directed recommendations then rest on that undefined assay.</w:t>
      </w:r>
    </w:p>
    <w:p>
      <w:pPr>
        <w:spacing w:after="50" w:line="276"/>
        <w:ind w:left="240"/>
      </w:pPr>
      <w:r>
        <w:rPr>
          <w:i/>
          <w:iCs/>
          <w:color w:val="5A6069"/>
          <w:sz w:val="17"/>
          <w:szCs w:val="17"/>
        </w:rPr>
        <w:t xml:space="preserve">Downgraded from A to B. Profiling itself is graded [I, A] by ESMO, but almost every therapeutic recommendation that follows from it is level III, grade A — single-arm phase II or basket-trial evidence with no randomised comparator — and several named agents are FDA- but not EMA-approved. Use the source edition's full actionable panel, including NRG1 where appropriate. Preserve tissue for it; next-generation sequencing of the ERCP specimen can serve both diagnosis and target identification, and in the 6-year multi-institutional series it found actionable alterations in 30% of cholangiocarcinomas.</w:t>
      </w:r>
    </w:p>
    <w:p>
      <w:pPr>
        <w:spacing w:after="60" w:line="276"/>
        <w:ind w:left="240"/>
      </w:pPr>
      <w:r>
        <w:rPr>
          <w:color w:val="5A6069"/>
          <w:sz w:val="16"/>
          <w:szCs w:val="16"/>
        </w:rPr>
        <w:t xml:space="preserve">Sources: ClarIDHy; ESMO 2023; ESMO 2024 interim</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Durable biliary drainage is a co-primary goal of treatment, not supportive care around it.</w:t>
      </w:r>
    </w:p>
    <w:p>
      <w:pPr>
        <w:spacing w:after="50" w:line="276"/>
        <w:ind w:left="240"/>
      </w:pPr>
      <w:r>
        <w:rPr>
          <w:color w:val="15181F"/>
          <w:sz w:val="18"/>
          <w:szCs w:val="18"/>
        </w:rPr>
        <w:t xml:space="preserve">Recurrent cholangitis, not tumour progression, is often what ends treatment. Adequate drainage and an acceptable bilirubin come before the first cycle, and new jaundice or fever goes down the urgent lane rather than waiting for the next scan.</w:t>
      </w:r>
    </w:p>
    <w:p>
      <w:pPr>
        <w:spacing w:after="50"/>
        <w:ind w:left="240"/>
      </w:pPr>
      <w:r>
        <w:rPr>
          <w:b/>
          <w:bCs/>
          <w:color w:val="8C2F26"/>
          <w:sz w:val="18"/>
          <w:szCs w:val="18"/>
        </w:rPr>
        <w:t xml:space="preserve">Caveat. </w:t>
      </w:r>
      <w:r>
        <w:rPr>
          <w:color w:val="15181F"/>
          <w:sz w:val="18"/>
          <w:szCs w:val="18"/>
        </w:rPr>
        <w:t xml:space="preserve">Do not deliver liver-directed therapy without relieving obstruction first.</w:t>
      </w:r>
    </w:p>
    <w:p>
      <w:pPr>
        <w:spacing w:after="60" w:line="276"/>
        <w:ind w:left="240"/>
      </w:pPr>
      <w:r>
        <w:rPr>
          <w:color w:val="5A6069"/>
          <w:sz w:val="16"/>
          <w:szCs w:val="16"/>
        </w:rPr>
        <w:t xml:space="preserve">Sources: ESGE 2026; ASGE hilar</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Selected multidisciplinary radiotherapy or chemoradiation for local control or symptoms in unresectable disease; trial preferred. No established routine survival advantage or curative equivalence to surgery.</w:t>
      </w:r>
    </w:p>
    <w:p>
      <w:pPr>
        <w:spacing w:after="50" w:line="276"/>
        <w:ind w:left="240"/>
      </w:pPr>
      <w:r>
        <w:rPr>
          <w:color w:val="15181F"/>
          <w:sz w:val="18"/>
          <w:szCs w:val="18"/>
        </w:rPr>
        <w:t xml:space="preserve">Local symptoms, or localised unresectable disease where the goal is control rather than cure.</w:t>
      </w:r>
    </w:p>
    <w:p>
      <w:pPr>
        <w:spacing w:after="50"/>
        <w:ind w:left="240"/>
      </w:pPr>
      <w:r>
        <w:rPr>
          <w:b/>
          <w:bCs/>
          <w:color w:val="8C2F26"/>
          <w:sz w:val="18"/>
          <w:szCs w:val="18"/>
        </w:rPr>
        <w:t xml:space="preserve">Caveat. </w:t>
      </w:r>
      <w:r>
        <w:rPr>
          <w:color w:val="15181F"/>
          <w:sz w:val="18"/>
          <w:szCs w:val="18"/>
        </w:rPr>
        <w:t xml:space="preserve">Avoid radiotherapy that would compromise later protocol eligibility in a patient still under transplant consideration. Isolated SBRT cure evidence is limited, and central bile duct, duodenal and infection risks can require a different fractionation.</w:t>
      </w:r>
    </w:p>
    <w:p>
      <w:pPr>
        <w:spacing w:after="50" w:line="276"/>
        <w:ind w:left="240"/>
      </w:pPr>
      <w:r>
        <w:rPr>
          <w:i/>
          <w:iCs/>
          <w:color w:val="5A6069"/>
          <w:sz w:val="17"/>
          <w:szCs w:val="17"/>
        </w:rPr>
        <w:t>Evidence update 23 October 2026: BSG recommendation 43 supports selected SBRT/PBT after systemic therapy. STRONG is a small prospective feasibility study; ABC-07 did not improve PFS. Retain low-certainty, individualized local-control use with trial preference. See the updated evidence section.</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rPr>
          <w:color w:val="15181F"/>
          <w:sz w:val="19"/>
          <w:szCs w:val="19"/>
        </w:rPr>
        <w:t xml:space="preserve">Second line, FOLFOX after progression on a platinum doublet.</w:t>
      </w:r>
    </w:p>
    <w:p>
      <w:pPr>
        <w:spacing w:after="50" w:line="276"/>
        <w:ind w:left="240"/>
      </w:pPr>
      <w:r>
        <w:rPr>
          <w:color w:val="15181F"/>
          <w:sz w:val="18"/>
          <w:szCs w:val="18"/>
        </w:rPr>
        <w:t xml:space="preserve">A patient who has kept performance status and wants further treatment. ABC-06 (n=162) gave median overall survival 6.2 versus 5.3 months against active symptom control, adjusted hazard ratio 0.69 (95% CI 0.50–0.97), p=0.031; 6-month survival 50.6% versus 35.5% and 12-month survival 25.9% versus 11.4%.</w:t>
      </w:r>
    </w:p>
    <w:p>
      <w:pPr>
        <w:spacing w:after="50"/>
        <w:ind w:left="240"/>
      </w:pPr>
      <w:r>
        <w:rPr>
          <w:b/>
          <w:bCs/>
          <w:color w:val="8C2F26"/>
          <w:sz w:val="18"/>
          <w:szCs w:val="18"/>
        </w:rPr>
        <w:t xml:space="preserve">Caveat. </w:t>
      </w:r>
      <w:r>
        <w:rPr>
          <w:color w:val="15181F"/>
          <w:sz w:val="18"/>
          <w:szCs w:val="18"/>
        </w:rPr>
        <w:t xml:space="preserve">The absolute gain is 0.9 months of median survival, with grade 3–5 events in 69% versus 52% and three chemotherapy-related deaths. Objective response was seen in only 4 of 81 patients (5%), so the benefit is disease stabilisation, not shrinkage. More patients in the FOLFOX arm were platinum resistant or refractory (67% versus 58%), an imbalance in a factor that was itself independently prognostic, and stratification errors found during data cleaning required a post-hoc sensitivity analysis (adjusted HR 0.68, 0.49–0.95). Say both halves out loud.</w:t>
      </w:r>
    </w:p>
    <w:p>
      <w:pPr>
        <w:spacing w:after="60" w:line="276"/>
        <w:ind w:left="240"/>
      </w:pPr>
      <w:r>
        <w:rPr>
          <w:color w:val="5A6069"/>
          <w:sz w:val="16"/>
          <w:szCs w:val="16"/>
        </w:rPr>
        <w:t xml:space="preserve">Sources: ABC-06</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a driver is present, use the agent matched to that specific alteration.</w:t>
      </w:r>
    </w:p>
    <w:p>
      <w:pPr>
        <w:spacing w:after="50" w:line="276"/>
        <w:ind w:left="240"/>
      </w:pPr>
      <w:r>
        <w:rPr>
          <w:color w:val="15181F"/>
          <w:sz w:val="18"/>
          <w:szCs w:val="18"/>
        </w:rPr>
        <w:t xml:space="preserve">FGFR2 fusions or rearrangements, IDH1 mutation, BRAF V600E, HER2 overexpression (IHC 3+), MSI-high or mismatch-repair deficiency, and rare targetable fusions can all occur in this disease.</w:t>
      </w:r>
    </w:p>
    <w:p>
      <w:pPr>
        <w:spacing w:after="50"/>
        <w:ind w:left="240"/>
      </w:pPr>
      <w:r>
        <w:rPr>
          <w:b/>
          <w:bCs/>
          <w:color w:val="8C2F26"/>
          <w:sz w:val="18"/>
          <w:szCs w:val="18"/>
        </w:rPr>
        <w:t xml:space="preserve">Caveat. </w:t>
      </w:r>
      <w:r>
        <w:rPr>
          <w:color w:val="15181F"/>
          <w:sz w:val="18"/>
          <w:szCs w:val="18"/>
        </w:rPr>
        <w:t xml:space="preserve">Except for IDH1, these are single-arm response data rather than comparative survival data, and the matched-therapy trials enrolled almost only intrahepatic tumours — FIGHT-202 cohort A 107 of 108 intrahepatic, FOENIX-CCA2 intrahepatic only, ROAR 39 of 43 (91%) intrahepatic, ClarIDHy 6 of 187 extrahepatic or perihilar — so their effect in perihilar disease is an extrapolation. Every one of these trials was industry sponsored with company employees among the authors, and all of them are second-line or later, so none says anything about conversion to resection. HER2 is the exception worth pursuing here, because it is enriched in extrahepatic disease: in HERIZON-BTC-01 zanidatamab gave a confirmed response rate of 41% overall but 52% (39–65) in immunohistochemistry 3+ tumours against 6% (1 of 18) in 2+, with median overall survival 18.1 versus 5.2 months — so the 3+ restriction is doing the work, and the trial reports no breakdown by anatomical subsite.</w:t>
      </w:r>
    </w:p>
    <w:p>
      <w:pPr>
        <w:spacing w:after="50" w:line="276"/>
        <w:ind w:left="240"/>
      </w:pPr>
      <w:r>
        <w:rPr>
          <w:i/>
          <w:iCs/>
          <w:color w:val="5A6069"/>
          <w:sz w:val="17"/>
          <w:szCs w:val="17"/>
        </w:rPr>
        <w:t xml:space="preserve">Even the randomised case is partial: in ClarIDHy ivosidenib improved progression-free survival (HR 0.37, 95% CI 0.25–0.54) but the intention-to-treat overall-survival difference was not significant (median 10.3 versus 7.5 months, HR 0.79, 0.56–1.12, one-sided P=.09), significance appearing only after a rank-preserving structural failure time adjustment for the 70% of placebo patients who crossed over; objective response was 2%, the comparator was placebo rather than second-line FOLFOX, and the agent will not convert unresectable disease to resectable. No randomised evidence sequences the targeted options.</w:t>
      </w:r>
    </w:p>
    <w:p>
      <w:pPr>
        <w:spacing w:after="60" w:line="276"/>
        <w:ind w:left="240"/>
      </w:pPr>
      <w:r>
        <w:rPr>
          <w:color w:val="5A6069"/>
          <w:sz w:val="16"/>
          <w:szCs w:val="16"/>
        </w:rPr>
        <w:t xml:space="preserve">Sources: ClarIDHy; FIGHT-202; FOENIX-CCA2; ROAR; HERIZON-BTC-01</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Thermal ablation of the perihilar primary.</w:t>
      </w:r>
    </w:p>
    <w:p>
      <w:pPr>
        <w:spacing w:after="50" w:line="276"/>
        <w:ind w:left="240"/>
      </w:pPr>
      <w:r>
        <w:rPr>
          <w:color w:val="15181F"/>
          <w:sz w:val="18"/>
          <w:szCs w:val="18"/>
        </w:rPr>
        <w:t xml:space="preserve">Resection, or protocol neoadjuvant therapy followed by transplantation, should be considered first where the patient is eligible. Graded D: this is a position taken on the absence of evidence in central biliary tumours, not on a comparative study.</w:t>
      </w:r>
    </w:p>
    <w:p>
      <w:pPr>
        <w:spacing w:after="50"/>
        <w:ind w:left="240"/>
      </w:pPr>
      <w:r>
        <w:rPr>
          <w:b/>
          <w:bCs/>
          <w:color w:val="8C2F26"/>
          <w:sz w:val="18"/>
          <w:szCs w:val="18"/>
        </w:rPr>
        <w:t xml:space="preserve">Caveat. </w:t>
      </w:r>
      <w:r>
        <w:rPr>
          <w:color w:val="15181F"/>
          <w:sz w:val="18"/>
          <w:szCs w:val="18"/>
        </w:rPr>
        <w:t xml:space="preserve">Not an established curative option. Central biliary and vascular anatomy and longitudinal tumour spread differ from a small peripheral liver mass, so iCCA ablation selection rules do not transfer. Endobiliary ablation to improve drainage is a different procedure and does not establish cure.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Y90 radioembolisation or TACE for the hilar primary.</w:t>
      </w:r>
    </w:p>
    <w:p>
      <w:pPr>
        <w:spacing w:after="50" w:line="276"/>
        <w:ind w:left="240"/>
      </w:pPr>
      <w:r>
        <w:rPr>
          <w:color w:val="15181F"/>
          <w:sz w:val="18"/>
          <w:szCs w:val="18"/>
        </w:rPr>
        <w:t xml:space="preserve">No standard first- or second-line role for the primary, and graded D because no study in this depot addresses a central perihilar primary. A peripheral intrahepatic recurrence or metastatic target may occasionally be discussed for hepatic control, but that is a different indication and is not the iCCA pathway; in exceptional liver-dominant recurrent disease, use only a specific multidisciplinary rationale or a trial.</w:t>
      </w:r>
    </w:p>
    <w:p>
      <w:pPr>
        <w:spacing w:after="50"/>
        <w:ind w:left="240"/>
      </w:pPr>
      <w:r>
        <w:rPr>
          <w:b/>
          <w:bCs/>
          <w:color w:val="8C2F26"/>
          <w:sz w:val="18"/>
          <w:szCs w:val="18"/>
        </w:rPr>
        <w:t xml:space="preserve">Caveat. </w:t>
      </w:r>
      <w:r>
        <w:rPr>
          <w:color w:val="15181F"/>
          <w:sz w:val="18"/>
          <w:szCs w:val="18"/>
        </w:rPr>
        <w:t xml:space="preserve">Neither is established for curative treatment of a central perihilar primary. Drainage, infection risk and arterial coverage require expert assessment, and prior drainage or instrumentation increases infectious risk.</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Hepatic arterial infusion for the hilar primary, outside a disease-specific trial.</w:t>
      </w:r>
    </w:p>
    <w:p>
      <w:pPr>
        <w:spacing w:after="50" w:line="276"/>
        <w:ind w:left="240"/>
      </w:pPr>
      <w:r>
        <w:rPr>
          <w:color w:val="15181F"/>
          <w:sz w:val="18"/>
          <w:szCs w:val="18"/>
        </w:rPr>
        <w:t xml:space="preserve">Research or exceptional use with an explicit control goal; standard systemic therapy remains the backbone outside curative pathways.</w:t>
      </w:r>
    </w:p>
    <w:p>
      <w:pPr>
        <w:spacing w:after="50"/>
        <w:ind w:left="240"/>
      </w:pPr>
      <w:r>
        <w:rPr>
          <w:b/>
          <w:bCs/>
          <w:color w:val="8C2F26"/>
          <w:sz w:val="18"/>
          <w:szCs w:val="18"/>
        </w:rPr>
        <w:t xml:space="preserve">Caveat. </w:t>
      </w:r>
      <w:r>
        <w:rPr>
          <w:color w:val="15181F"/>
          <w:sz w:val="18"/>
          <w:szCs w:val="18"/>
        </w:rPr>
        <w:t xml:space="preserve">The principal HAI studies are in unresectable intrahepatic cholangiocarcinoma — the phase II trial of HAI floxuridine with systemic gemcitabine–oxaliplatin treated 38 of 84 screened patients with liver-confined iCCA and met its 6-month progression-free survival endpoint at 84.1%, with median overall survival 25.0 months against a historical comparator — and they cannot justify a routine hilar-primary pathway. That trial was single-arm and single-institution, 11% of patients had grade 4 pump or arterial complications and 30% did so in the 10-patient confirmatory cohort, and 11% needed biliary stents, two of them for chemotherapy-induced biliary sclerosis. In a tumour whose problem is central biliary obstruction, that last figure is the relevant one.</w:t>
      </w:r>
    </w:p>
    <w:p>
      <w:pPr>
        <w:spacing w:after="50" w:line="276"/>
        <w:ind w:left="240"/>
      </w:pPr>
      <w:r>
        <w:rPr>
          <w:i/>
          <w:iCs/>
          <w:color w:val="5A6069"/>
          <w:sz w:val="17"/>
          <w:szCs w:val="17"/>
        </w:rPr>
        <w:t xml:space="preserve">Graded D for this page: the evidence is in a different anatomical disease, and the toxicity that matters most here — biliary sclerosis — is the one the iCCA trial reports.</w:t>
      </w:r>
    </w:p>
    <w:p>
      <w:pPr>
        <w:spacing w:after="60" w:line="276"/>
        <w:ind w:left="240"/>
      </w:pPr>
      <w:r>
        <w:rPr>
          <w:color w:val="5A6069"/>
          <w:sz w:val="16"/>
          <w:szCs w:val="16"/>
        </w:rPr>
        <w:t xml:space="preserve">Sources: HAI floxuridine phase II</w:t>
      </w:r>
    </w:p>
    <w:p>
      <w:pPr>
        <w:spacing w:after="60" w:before="180"/>
      </w:pPr>
      <w:r>
        <w:rPr>
          <w:b/>
          <w:bCs/>
          <w:color w:val="8C2F26"/>
          <w:spacing w:val="16"/>
          <w:sz w:val="16"/>
          <w:szCs w:val="16"/>
        </w:rPr>
        <w:t xml:space="preserve">AVOID</w:t>
      </w:r>
      <w:r>
        <w:rPr>
          <w:color w:val="5A6069"/>
          <w:sz w:val="16"/>
          <w:szCs w:val="16"/>
        </w:rPr>
        <w:t xml:space="preserve">   grade D</w:t>
      </w:r>
      <w:r>
        <w:rPr>
          <w:b/>
          <w:bCs/>
          <w:color w:val="8E5008"/>
          <w:spacing w:val="12"/>
          <w:sz w:val="14"/>
          <w:szCs w:val="14"/>
        </w:rPr>
        <w:t xml:space="preserve">   REGISTRY</w:t>
      </w:r>
    </w:p>
    <w:p>
      <w:pPr>
        <w:spacing w:after="60" w:line="276"/>
      </w:pPr>
      <w:r>
        <w:rPr>
          <w:color w:val="15181F"/>
          <w:sz w:val="19"/>
          <w:szCs w:val="19"/>
        </w:rPr>
        <w:t xml:space="preserve">Histotripsy, outside a prospective trial or institutional registry.</w:t>
      </w:r>
    </w:p>
    <w:p>
      <w:pPr>
        <w:spacing w:after="50" w:line="276"/>
        <w:ind w:left="240"/>
      </w:pPr>
      <w:r>
        <w:rPr>
          <w:color w:val="15181F"/>
          <w:sz w:val="18"/>
          <w:szCs w:val="18"/>
        </w:rPr>
        <w:t xml:space="preserve">The roadmap's label here is trial or prospective registry only, with explicit consent about oncologic uncertainty, suitable ultrasound visibility and acoustic access, device-compliant target size and depth, and an independent standard-treatment review. Graded D: there is no perihilar evidence at all.</w:t>
      </w:r>
    </w:p>
    <w:p>
      <w:pPr>
        <w:spacing w:after="50"/>
        <w:ind w:left="240"/>
      </w:pPr>
      <w:r>
        <w:rPr>
          <w:b/>
          <w:bCs/>
          <w:color w:val="8C2F26"/>
          <w:sz w:val="18"/>
          <w:szCs w:val="18"/>
        </w:rPr>
        <w:t xml:space="preserve">Caveat. </w:t>
      </w:r>
      <w:r>
        <w:rPr>
          <w:color w:val="15181F"/>
          <w:sz w:val="18"/>
          <w:szCs w:val="18"/>
        </w:rPr>
        <w:t xml:space="preserve">No tumour-specific curative evidence. FDA device clearance for tumour destruction does not establish survival benefit or equivalence to established ablation; in the one-year HOPE4LIVER update of 47 patients and 52 tumours, local control was 63.4% on the primary assessment against 90% post hoc. A bridge-to-transplant use remains protocol-based, and a technical response does not establish transplant eligibility. Studies must address hilar anatomy, drainage and transplant consequences explicitly.</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6 · Best supportive care</w:t>
      </w:r>
    </w:p>
    <w:p>
      <w:pPr>
        <w:spacing w:after="140"/>
      </w:pPr>
      <w:r>
        <w:rPr>
          <w:b/>
          <w:bCs/>
          <w:color w:val="176A87"/>
          <w:sz w:val="19"/>
          <w:szCs w:val="19"/>
        </w:rPr>
        <w:t xml:space="preserve">The question. </w:t>
      </w:r>
      <w:r>
        <w:rPr>
          <w:sz w:val="19"/>
          <w:szCs w:val="19"/>
        </w:rPr>
        <w:t xml:space="preserve">Is anything I can offer going to help this patient, and has drainage been given its chance first?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Poor performance status that is not explained by jaundice or sepsis</w:t>
      </w:r>
    </w:p>
    <w:p>
      <w:pPr>
        <w:pStyle w:val="ListParagraph"/>
        <w:numPr>
          <w:ilvl w:val="0"/>
          <w:numId w:val="2"/>
        </w:numPr>
        <w:spacing w:after="60" w:line="268"/>
      </w:pPr>
      <w:r>
        <w:rPr>
          <w:color w:val="15181F"/>
          <w:sz w:val="18"/>
          <w:szCs w:val="18"/>
        </w:rPr>
        <w:t xml:space="preserve">Uncontrolled sepsis</w:t>
      </w:r>
    </w:p>
    <w:p>
      <w:pPr>
        <w:pStyle w:val="ListParagraph"/>
        <w:numPr>
          <w:ilvl w:val="0"/>
          <w:numId w:val="2"/>
        </w:numPr>
        <w:spacing w:after="60" w:line="268"/>
      </w:pPr>
      <w:r>
        <w:rPr>
          <w:color w:val="15181F"/>
          <w:sz w:val="18"/>
          <w:szCs w:val="18"/>
        </w:rPr>
        <w:t xml:space="preserve">Patient choice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Effective drainage, pruritus and pain control, nutritional support, and early specialist palliative involvement.</w:t>
      </w:r>
    </w:p>
    <w:p>
      <w:pPr>
        <w:spacing w:after="50" w:line="276"/>
        <w:ind w:left="240"/>
      </w:pPr>
      <w:r>
        <w:rPr>
          <w:color w:val="15181F"/>
          <w:sz w:val="18"/>
          <w:szCs w:val="18"/>
        </w:rPr>
        <w:t xml:space="preserve">Every patient at this gate, and alongside antitumour treatment at the earlier ones. Effective drainage is part of supportive care, not an alternative to it.</w:t>
      </w:r>
    </w:p>
    <w:p>
      <w:pPr>
        <w:spacing w:after="50"/>
        <w:ind w:left="240"/>
      </w:pPr>
      <w:r>
        <w:rPr>
          <w:b/>
          <w:bCs/>
          <w:color w:val="8C2F26"/>
          <w:sz w:val="18"/>
          <w:szCs w:val="18"/>
        </w:rPr>
        <w:t xml:space="preserve">Caveat. </w:t>
      </w:r>
      <w:r>
        <w:rPr>
          <w:color w:val="15181F"/>
          <w:sz w:val="18"/>
          <w:szCs w:val="18"/>
        </w:rPr>
        <w:t xml:space="preserve">Do not let a decision for supportive care become a decision against drainage — a blocked, infected biliary tree is the commonest reversible cause of the state that put the patient here.</w:t>
      </w:r>
    </w:p>
    <w:p>
      <w:pPr>
        <w:spacing w:after="50" w:line="276"/>
        <w:ind w:left="240"/>
      </w:pPr>
      <w:r>
        <w:rPr>
          <w:i/>
          <w:iCs/>
          <w:color w:val="5A6069"/>
          <w:sz w:val="17"/>
          <w:szCs w:val="17"/>
        </w:rPr>
        <w:t xml:space="preserve">Downgraded from A to C, because the package is not one intervention and only part of it has evidence in this depot. Drainage rests on guideline recommendations graded low to very low quality; early specialist palliative involvement rests on trial evidence in other cancers that this reference depot does not contain; pruritus control, pain control and nutritional support are uncontroversial but untested here. The grade should not be read as though a trial had tested the bundle.</w:t>
      </w:r>
    </w:p>
    <w:p>
      <w:pPr>
        <w:spacing w:after="60" w:line="276"/>
        <w:ind w:left="240"/>
      </w:pPr>
      <w:r>
        <w:rPr>
          <w:color w:val="5A6069"/>
          <w:sz w:val="16"/>
          <w:szCs w:val="16"/>
        </w:rPr>
        <w:t xml:space="preserve">Sources: ESGE 2026</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If jaundice and sepsis are driving performance status, re-evaluate after drainage before assigning this gate.</w:t>
      </w:r>
    </w:p>
    <w:p>
      <w:pPr>
        <w:spacing w:after="50" w:line="276"/>
        <w:ind w:left="240"/>
      </w:pPr>
      <w:r>
        <w:rPr>
          <w:color w:val="15181F"/>
          <w:sz w:val="18"/>
          <w:szCs w:val="18"/>
        </w:rPr>
        <w:t xml:space="preserve">The acutely unwell, newly presenting patient. This reverses more often than expected.</w:t>
      </w:r>
    </w:p>
    <w:p>
      <w:pPr>
        <w:spacing w:after="50"/>
        <w:ind w:left="240"/>
      </w:pPr>
      <w:r>
        <w:rPr>
          <w:b/>
          <w:bCs/>
          <w:color w:val="8C2F26"/>
          <w:sz w:val="18"/>
          <w:szCs w:val="18"/>
        </w:rPr>
        <w:t xml:space="preserve">Caveat. </w:t>
      </w:r>
      <w:r>
        <w:rPr>
          <w:color w:val="15181F"/>
          <w:sz w:val="18"/>
          <w:szCs w:val="18"/>
        </w:rPr>
        <w:t xml:space="preserve">Do not assign the gate on a performance status measured during cholangitis.</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Antitumour therapy without realistic benefit, and repeat interventions that cannot change the plan.</w:t>
      </w:r>
    </w:p>
    <w:p>
      <w:pPr>
        <w:spacing w:after="50" w:line="276"/>
        <w:ind w:left="240"/>
      </w:pPr>
      <w:r>
        <w:rPr>
          <w:color w:val="15181F"/>
          <w:sz w:val="18"/>
          <w:szCs w:val="18"/>
        </w:rPr>
        <w:t xml:space="preserve">One recommendation, one owner, one reassessment date — and a documented alternative considered.</w:t>
      </w:r>
    </w:p>
    <w:p>
      <w:pPr>
        <w:spacing w:after="50"/>
        <w:ind w:left="240"/>
      </w:pPr>
      <w:r>
        <w:rPr>
          <w:b/>
          <w:bCs/>
          <w:color w:val="8C2F26"/>
          <w:sz w:val="18"/>
          <w:szCs w:val="18"/>
        </w:rPr>
        <w:t xml:space="preserve">Caveat. </w:t>
      </w:r>
      <w:r>
        <w:rPr>
          <w:color w:val="15181F"/>
          <w:sz w:val="18"/>
          <w:szCs w:val="18"/>
        </w:rPr>
        <w:t xml:space="preserve">Repeating a procedure because it is the procedure that was done last time. After progression or toxicity, restage and reconsider the whole treatment rather than automatically repeating the same intervention.</w:t>
      </w:r>
    </w:p>
    <w:p>
      <w:pPr>
        <w:spacing w:after="50" w:line="276"/>
        <w:ind w:left="240"/>
      </w:pPr>
      <w:r>
        <w:rPr>
          <w:i/>
          <w:iCs/>
          <w:color w:val="5A6069"/>
          <w:sz w:val="17"/>
          <w:szCs w:val="17"/>
        </w:rPr>
        <w:t xml:space="preserve">Graded D: an operating rule the programme has chosen, not a comparative result. Audit it for adherence, not for effectiveness.</w:t>
      </w:r>
    </w:p>
    <w:p>
      <w:pPr>
        <w:pBdr>
          <w:bottom w:val="single" w:color="D3DCE4" w:sz="6" w:space="1"/>
        </w:pBdr>
        <w:spacing w:after="80"/>
      </w:pP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Bismuth-Corlette type and the operation it implies</w:t>
      </w:r>
    </w:p>
    <w:p>
      <w:pPr>
        <w:spacing w:after="120" w:line="276"/>
      </w:pPr>
      <w:r>
        <w:rPr>
          <w:i/>
          <w:iCs/>
          <w:color w:val="5A6069"/>
          <w:sz w:val="18"/>
          <w:szCs w:val="18"/>
        </w:rPr>
        <w:t xml:space="preserve">Where the tumour sits in the duct, and what that commits you to operatively.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Type I — below the confluence</w:t>
            </w:r>
          </w:p>
        </w:tc>
        <w:tc>
          <w:tcPr>
            <w:tcW w:type="dxa" w:w="5260"/>
            <w:tcMar>
              <w:top w:type="dxa" w:w="70"/>
              <w:left w:type="dxa" w:w="110"/>
              <w:bottom w:type="dxa" w:w="70"/>
              <w:right w:type="dxa" w:w="110"/>
            </w:tcMar>
            <w:vAlign w:val="top"/>
          </w:tcPr>
          <w:p>
            <w:pPr>
              <w:spacing w:after="0" w:line="276"/>
            </w:pPr>
            <w:r>
              <w:rPr>
                <w:color w:val="15181F"/>
                <w:sz w:val="17"/>
                <w:szCs w:val="17"/>
              </w:rPr>
              <w:t xml:space="preserve">Local bile duct excision alone (3 patients in the original series)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Type II — reaching the confluence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Local excision plus resection of segment 1 (caudate) (3 patients)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Type IIIa — extending into the right hepatic duct</w:t>
            </w:r>
          </w:p>
        </w:tc>
        <w:tc>
          <w:tcPr>
            <w:tcW w:type="dxa" w:w="5260"/>
            <w:tcMar>
              <w:top w:type="dxa" w:w="70"/>
              <w:left w:type="dxa" w:w="110"/>
              <w:bottom w:type="dxa" w:w="70"/>
              <w:right w:type="dxa" w:w="110"/>
            </w:tcMar>
            <w:vAlign w:val="top"/>
          </w:tcPr>
          <w:p>
            <w:pPr>
              <w:spacing w:after="0" w:line="276"/>
            </w:pPr>
            <w:r>
              <w:rPr>
                <w:color w:val="15181F"/>
                <w:sz w:val="17"/>
                <w:szCs w:val="17"/>
              </w:rPr>
              <w:t xml:space="preserve">Local excision, segment 1 resection and right hepatectomy (9 patients)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Type IIIb — extending into the left hepatic duct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Local excision, segment 1 resection and left hepatectomy (7 patients)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Type IV — secondary ducts involved bilaterally</w:t>
            </w:r>
          </w:p>
        </w:tc>
        <w:tc>
          <w:tcPr>
            <w:tcW w:type="dxa" w:w="5260"/>
            <w:tcMar>
              <w:top w:type="dxa" w:w="70"/>
              <w:left w:type="dxa" w:w="110"/>
              <w:bottom w:type="dxa" w:w="70"/>
              <w:right w:type="dxa" w:w="110"/>
            </w:tcMar>
            <w:vAlign w:val="top"/>
          </w:tcPr>
          <w:p>
            <w:pPr>
              <w:spacing w:after="0" w:line="276"/>
            </w:pPr>
            <w:r>
              <w:rPr>
                <w:color w:val="15181F"/>
                <w:sz w:val="17"/>
                <w:szCs w:val="17"/>
              </w:rPr>
              <w:t xml:space="preserve">Hepatectomy with transplantation in the original series, on 3 patients, one of whom recurred in the hepatic pedicle at 8 months; the Milan consensus favours left trisectionectomy</w:t>
            </w:r>
          </w:p>
        </w:tc>
      </w:tr>
    </w:tbl>
    <w:p>
      <w:pPr>
        <w:spacing w:after="200" w:line="276"/>
      </w:pPr>
      <w:r>
        <w:rPr>
          <w:i/>
          <w:iCs/>
          <w:color w:val="5A6069"/>
          <w:sz w:val="16"/>
          <w:szCs w:val="16"/>
        </w:rPr>
        <w:t xml:space="preserve">Caudate resection is obligatory from type II upward because the ducts draining segment 1 are almost always involved; large type II or IIIa tumours may also need resection of segment 4. All five type II and IIIa patients treated by local excision alone had involved margins and recurred locally. Read the classification with its limits: the type-specific plan rests on 23 resections accumulated over 30 years at one centre, one to four patients per type, with imaging, staging and technique changing throughout and no comparison group. Only 19 of 122 operated patients (15.6%) had a macroscopically curative resection and only 9 of 122 (7.4%) a histologically negative margin. The series shows its own classification understates extent — 4 operative type IV tumours became 9 on histology. The type-IV transplantation recommendation predates portal vein embolisation, remnant volumetry and the Mayo neoadjuvant protocol. The Milan jury declined to endorse Bismuth-Corlette, or any staging system including MSKCC, as a predictor of resectability, and its own resectability criteria are stated to be expert opinion requiring validation; the roadmap says the type does not by itself determine resectability: vascular involvement, lobar atrophy, nodal status and remnant volume do.</w:t>
      </w:r>
    </w:p>
    <w:p>
      <w:pPr>
        <w:pStyle w:val="Heading3"/>
        <w:keepNext/>
        <w:spacing w:after="110" w:before="240"/>
      </w:pPr>
      <w:r>
        <w:rPr>
          <w:rFonts w:ascii="Cambria" w:cs="Cambria" w:eastAsia="Cambria" w:hAnsi="Cambria"/>
          <w:b/>
          <w:bCs/>
          <w:color w:val="17365D"/>
          <w:sz w:val="22"/>
          <w:szCs w:val="22"/>
        </w:rPr>
        <w:t xml:space="preserve">Transplant protocol — eligibility and exclusions</w:t>
      </w:r>
    </w:p>
    <w:p>
      <w:pPr>
        <w:spacing w:after="120" w:line="276"/>
      </w:pPr>
      <w:r>
        <w:rPr>
          <w:i/>
          <w:iCs/>
          <w:color w:val="5A6069"/>
          <w:sz w:val="18"/>
          <w:szCs w:val="18"/>
        </w:rPr>
        <w:t xml:space="preserve">What the standardized adult perihilar CCA MELD exception requires. These are protocol conditions, not evidence-based thresholds.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Unresectable for technical reasons or because of underlying liver disease</w:t>
            </w:r>
          </w:p>
        </w:tc>
        <w:tc>
          <w:tcPr>
            <w:tcW w:type="dxa" w:w="5260"/>
            <w:tcMar>
              <w:top w:type="dxa" w:w="70"/>
              <w:left w:type="dxa" w:w="110"/>
              <w:bottom w:type="dxa" w:w="70"/>
              <w:right w:type="dxa" w:w="110"/>
            </w:tcMar>
            <w:vAlign w:val="top"/>
          </w:tcPr>
          <w:p>
            <w:pPr>
              <w:spacing w:after="0" w:line="276"/>
            </w:pPr>
            <w:r>
              <w:rPr>
                <w:color w:val="15181F"/>
                <w:sz w:val="17"/>
                <w:szCs w:val="17"/>
              </w:rPr>
              <w:t xml:space="preserve">Required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If a mass is present, a single mass under 3 cm in radial diameter</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Required — exactly 3 cm does not meet the gate; longitudinal duct extension is not measured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No intrahepatic or extrahepatic metastases, on chest and abdominal cross-sectional imaging within 90 days before the initial request</w:t>
            </w:r>
          </w:p>
        </w:tc>
        <w:tc>
          <w:tcPr>
            <w:tcW w:type="dxa" w:w="5260"/>
            <w:tcMar>
              <w:top w:type="dxa" w:w="70"/>
              <w:left w:type="dxa" w:w="110"/>
              <w:bottom w:type="dxa" w:w="70"/>
              <w:right w:type="dxa" w:w="110"/>
            </w:tcMar>
            <w:vAlign w:val="top"/>
          </w:tcPr>
          <w:p>
            <w:pPr>
              <w:spacing w:after="0" w:line="276"/>
            </w:pPr>
            <w:r>
              <w:rPr>
                <w:color w:val="15181F"/>
                <w:sz w:val="17"/>
                <w:szCs w:val="17"/>
              </w:rPr>
              <w:t xml:space="preserve">Required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No regional nodal disease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Required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Malignant-appearing hilar stricture plus at least one of: malignant biopsy or cytology; CA 19-9 over 100 U/mL without cholangitis; aneuploidy; a hilar mass under 3 cm</w:t>
            </w:r>
          </w:p>
        </w:tc>
        <w:tc>
          <w:tcPr>
            <w:tcW w:type="dxa" w:w="5260"/>
            <w:tcMar>
              <w:top w:type="dxa" w:w="70"/>
              <w:left w:type="dxa" w:w="110"/>
              <w:bottom w:type="dxa" w:w="70"/>
              <w:right w:type="dxa" w:w="110"/>
            </w:tcMar>
            <w:vAlign w:val="top"/>
          </w:tcPr>
          <w:p>
            <w:pPr>
              <w:spacing w:after="0" w:line="276"/>
            </w:pPr>
            <w:r>
              <w:rPr>
                <w:color w:val="15181F"/>
                <w:sz w:val="17"/>
                <w:szCs w:val="17"/>
              </w:rPr>
              <w:t xml:space="preserve">Required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Transperitoneal biopsy of the primary tumour by percutaneous, operative or EUS route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Exclusion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Operative staging (laparoscopy or laparotomy) after neoadjuvant therapy and before transplantation</w:t>
            </w:r>
          </w:p>
        </w:tc>
        <w:tc>
          <w:tcPr>
            <w:tcW w:type="dxa" w:w="5260"/>
            <w:tcMar>
              <w:top w:type="dxa" w:w="70"/>
              <w:left w:type="dxa" w:w="110"/>
              <w:bottom w:type="dxa" w:w="70"/>
              <w:right w:type="dxa" w:w="110"/>
            </w:tcMar>
            <w:vAlign w:val="top"/>
          </w:tcPr>
          <w:p>
            <w:pPr>
              <w:spacing w:after="0" w:line="276"/>
            </w:pPr>
            <w:r>
              <w:rPr>
                <w:color w:val="15181F"/>
                <w:sz w:val="17"/>
                <w:szCs w:val="17"/>
              </w:rPr>
              <w:t xml:space="preserve">Required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Centre holds a written patient-care protocol approved by the OPTN Liver and Intestinal Organ Transplantation Committee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Required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Score</w:t>
            </w:r>
          </w:p>
        </w:tc>
        <w:tc>
          <w:tcPr>
            <w:tcW w:type="dxa" w:w="5260"/>
            <w:tcMar>
              <w:top w:type="dxa" w:w="70"/>
              <w:left w:type="dxa" w:w="110"/>
              <w:bottom w:type="dxa" w:w="70"/>
              <w:right w:type="dxa" w:w="110"/>
            </w:tcMar>
            <w:vAlign w:val="top"/>
          </w:tcPr>
          <w:p>
            <w:pPr>
              <w:spacing w:after="0" w:line="276"/>
            </w:pPr>
            <w:r>
              <w:rPr>
                <w:color w:val="15181F"/>
                <w:sz w:val="17"/>
                <w:szCs w:val="17"/>
              </w:rPr>
              <w:t xml:space="preserve">MMaT-3 for candidates at least 18 at registration; no HCC six-month delay; extensions generally every 90 days with imaging within 30 days of each request</w:t>
            </w:r>
          </w:p>
        </w:tc>
      </w:tr>
    </w:tbl>
    <w:p>
      <w:pPr>
        <w:spacing w:after="200" w:line="276"/>
      </w:pPr>
      <w:r>
        <w:rPr>
          <w:i/>
          <w:iCs/>
          <w:color w:val="5A6069"/>
          <w:sz w:val="16"/>
          <w:szCs w:val="16"/>
        </w:rPr>
        <w:t xml:space="preserve">Primary sclerosing cholangitis is a recognised setting for this pathway. Prior abdominal radiation, a previous resection attempt violating the tumour plane and another malignancy within 5 years are exclusions in the published protocol and in AASLD. An MMaT-relative exception below 15 is assigned 15 under Policy 9.4.E; a candidate registered between 12 and 18 is assigned MMaT rather than MMaT-3, so confirm the route for anyone listed before adulthood. Outcome context, with the denominators kept apart: in 287 patients across 12 US centres intention-to-treat survival from the start of therapy was 68% at 2 years and 53% at 5 years, while recurrence-free survival of 78% at 2 years and 65% at 5 years is measured among the 214 who reached transplantation, and graft survival among those was 77% and 60%. Excluding the 15 patients (5%) transplanted on clinical suspicion with no histologic proof, 5-year intention-to-treat survival was 50% and recurrence-free survival 62%. Patients transplanted outside these criteria did significantly worse (hazard ratio 2.98, 95% CI 1.79–4.95), with mass size the largest single disparity (5-year recurrence-free survival 32% for a mass over 3 cm versus 69% for 3 cm or smaller); that hazard ratio is for the composite off-criteria group and is not attributable to any one violation. 71 of 287 (25%) dropped out at a median of 4.6 months, averaging 11.5% per 3-month interval (range 7–17%), and 67% of the cohort came from one centre. The frequently quoted 5-year figures of 55–65% in PSC and 35–55% de novo are a 2015 consensus statement, not a result of this series, which found no difference by PSC status. Verify the current OPTN policy text before any listing decision.</w:t>
      </w:r>
    </w:p>
    <w:p>
      <w:pPr>
        <w:pStyle w:val="Heading3"/>
        <w:keepNext/>
        <w:spacing w:after="110" w:before="240"/>
      </w:pPr>
      <w:r>
        <w:rPr>
          <w:rFonts w:ascii="Cambria" w:cs="Cambria" w:eastAsia="Cambria" w:hAnsi="Cambria"/>
          <w:b/>
          <w:bCs/>
          <w:color w:val="17365D"/>
          <w:sz w:val="22"/>
          <w:szCs w:val="22"/>
        </w:rPr>
        <w:t xml:space="preserve">Drainage targets, and the route question</w:t>
      </w:r>
    </w:p>
    <w:p>
      <w:pPr>
        <w:spacing w:after="120" w:line="276"/>
      </w:pPr>
      <w:r>
        <w:rPr>
          <w:i/>
          <w:iCs/>
          <w:color w:val="5A6069"/>
          <w:sz w:val="18"/>
          <w:szCs w:val="18"/>
        </w:rPr>
        <w:t xml:space="preserve">What to drain, how much of it, and what the randomised comparison of routes actually showed.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Which sectors</w:t>
            </w:r>
          </w:p>
        </w:tc>
        <w:tc>
          <w:tcPr>
            <w:tcW w:type="dxa" w:w="5260"/>
            <w:tcMar>
              <w:top w:type="dxa" w:w="70"/>
              <w:left w:type="dxa" w:w="110"/>
              <w:bottom w:type="dxa" w:w="70"/>
              <w:right w:type="dxa" w:w="110"/>
            </w:tcMar>
            <w:vAlign w:val="top"/>
          </w:tcPr>
          <w:p>
            <w:pPr>
              <w:spacing w:after="0" w:line="276"/>
            </w:pPr>
            <w:r>
              <w:rPr>
                <w:color w:val="15181F"/>
                <w:sz w:val="17"/>
                <w:szCs w:val="17"/>
              </w:rPr>
              <w:t xml:space="preserve">Those forming the future liver remnant; generally not atrophic segments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Is drainage routine?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 ESGE 2026 suggests against routine preoperative drainage and accepts severe jaundice, cholangitis or a predicted remnant of 30% or less; the Coelen investigators add that it may be unnecessary when the remnant exceeds 50%</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Volume target in palliative drainage</w:t>
            </w:r>
          </w:p>
        </w:tc>
        <w:tc>
          <w:tcPr>
            <w:tcW w:type="dxa" w:w="5260"/>
            <w:tcMar>
              <w:top w:type="dxa" w:w="70"/>
              <w:left w:type="dxa" w:w="110"/>
              <w:bottom w:type="dxa" w:w="70"/>
              <w:right w:type="dxa" w:w="110"/>
            </w:tcMar>
            <w:vAlign w:val="top"/>
          </w:tcPr>
          <w:p>
            <w:pPr>
              <w:spacing w:after="0" w:line="276"/>
            </w:pPr>
            <w:r>
              <w:rPr>
                <w:color w:val="15181F"/>
                <w:sz w:val="17"/>
                <w:szCs w:val="17"/>
              </w:rPr>
              <w:t xml:space="preserve">More than 50% of viable liver volume including the future liver remnant (NCCN); ESGE 2026 adds ideally 70% or more. No threshold has been derived — grade 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Sector volumes for planning</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Right anterior, right posterior and left about 30% each; segments I and IV about 10%; atrophic segments count as non-viable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Stents by Bismuth type</w:t>
            </w:r>
          </w:p>
        </w:tc>
        <w:tc>
          <w:tcPr>
            <w:tcW w:type="dxa" w:w="5260"/>
            <w:tcMar>
              <w:top w:type="dxa" w:w="70"/>
              <w:left w:type="dxa" w:w="110"/>
              <w:bottom w:type="dxa" w:w="70"/>
              <w:right w:type="dxa" w:w="110"/>
            </w:tcMar>
            <w:vAlign w:val="top"/>
          </w:tcPr>
          <w:p>
            <w:pPr>
              <w:spacing w:after="0" w:line="276"/>
            </w:pPr>
            <w:r>
              <w:rPr>
                <w:color w:val="15181F"/>
                <w:sz w:val="17"/>
                <w:szCs w:val="17"/>
              </w:rPr>
              <w:t xml:space="preserve">Types I, II and IIIb can often be served by one stent in the right main hepatic duct; IIIa and IV need two or more to reach 50%</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Bilateral or unilateral stent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Unsettled, and the page takes no position: ASGE suggests bilateral absent atrophy on a pooled survival gain of 11 days (95% CI −12 to 35) and no pooled patency difference; one randomised trial favours bilateral on patency (252 versus 139 days)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How many drains</w:t>
            </w:r>
          </w:p>
        </w:tc>
        <w:tc>
          <w:tcPr>
            <w:tcW w:type="dxa" w:w="5260"/>
            <w:tcMar>
              <w:top w:type="dxa" w:w="70"/>
              <w:left w:type="dxa" w:w="110"/>
              <w:bottom w:type="dxa" w:w="70"/>
              <w:right w:type="dxa" w:w="110"/>
            </w:tcMar>
            <w:vAlign w:val="top"/>
          </w:tcPr>
          <w:p>
            <w:pPr>
              <w:spacing w:after="0" w:line="276"/>
            </w:pPr>
            <w:r>
              <w:rPr>
                <w:color w:val="15181F"/>
                <w:sz w:val="17"/>
                <w:szCs w:val="17"/>
              </w:rPr>
              <w:t xml:space="preserve">As few as achieve remnant decompression, with one named owner for the strategy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Bilirubin threshold before major hepatectomy, embolic therapy, radiation or systemic therapy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A programme threshold, not an evidence threshold — set locally, recorded, applied consistently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Route</w:t>
            </w:r>
          </w:p>
        </w:tc>
        <w:tc>
          <w:tcPr>
            <w:tcW w:type="dxa" w:w="5260"/>
            <w:tcMar>
              <w:top w:type="dxa" w:w="70"/>
              <w:left w:type="dxa" w:w="110"/>
              <w:bottom w:type="dxa" w:w="70"/>
              <w:right w:type="dxa" w:w="110"/>
            </w:tcMar>
            <w:vAlign w:val="top"/>
          </w:tcPr>
          <w:p>
            <w:pPr>
              <w:spacing w:after="0" w:line="276"/>
            </w:pPr>
            <w:r>
              <w:rPr>
                <w:color w:val="15181F"/>
                <w:sz w:val="17"/>
                <w:szCs w:val="17"/>
              </w:rPr>
              <w:t xml:space="preserve">Unsettled; an anatomy and expertise decision</w:t>
            </w:r>
          </w:p>
        </w:tc>
      </w:tr>
    </w:tbl>
    <w:p>
      <w:pPr>
        <w:spacing w:after="200" w:line="276"/>
      </w:pPr>
      <w:r>
        <w:rPr>
          <w:i/>
          <w:iCs/>
          <w:color w:val="5A6069"/>
          <w:sz w:val="16"/>
          <w:szCs w:val="16"/>
        </w:rPr>
        <w:t xml:space="preserve">The randomised comparison in resectable perihilar disease (DRAINAGE, 54 of a planned 106 patients, 70% Bismuth IIIa, IIIb or IV) was negative on its primary endpoint: one or more severe drainage-related complications in 17 of 27 (63%) after percutaneous drainage versus 18 of 27 (67%) after endoscopic drainage, relative risk 0.94 (95% CI 0.64–1.40), with no difference in the number per patient. It was stopped early because mortality between randomisation and 90 days after surgery was higher after percutaneous drainage: 11 of 27 (41%) versus 3 of 27 (11%), relative risk 3.67 (95% CI 1.15–11.69), p=0.03, cause never identified, the trial underpowered, and the authors themselves calling the signal prone to type I error. Read it against its own context: 90-day all-cause mortality in the trial was 26% overall against 10% among 100 contemporaneous patients with presumed resectable disease at the same four centres, so neither figure is the expected risk of either route; a third of patients entered after a failed stenting attempt elsewhere; and the 16 patients who received both routes had the best outcomes. Technical success favoured the percutaneous route (93% versus 74%) and 15 of 27 endoscopic patients (56%) crossed over to percutaneous against 1 of 27 the other way, so the trial compares initial strategies rather than techniques. Pooled across three randomised trials, ASGE found 30-day mortality only trending lower with endoscopic drainage (RR 0.53, 95% CI 0.28–1.01, p=0.05), with lower technical success (OR 0.21), far more crossover (OR 18.2) and more pancreatitis (OR 3.69) in the endoscopic arm. ESGE 2026 nonetheless recommends ERCP over percutaneous drainage preoperatively (strong, moderate quality), and a 1,085-patient meta-analysis found more implantation metastases after the percutaneous route (OR 0.35, 0.23–0.53) — while ESGE's own section cites a meta-analysis giving percutaneous drainage higher therapeutic success (OR 3.5, 2.1–6.0) and 11.5-fold more reintervention after ERCP, with 10 of 11 studies retrospective. What is not optional is draining the correct sectors.</w:t>
      </w:r>
    </w:p>
    <w:p>
      <w:pPr>
        <w:pStyle w:val="Heading3"/>
        <w:keepNext/>
        <w:spacing w:after="110" w:before="240"/>
      </w:pPr>
      <w:r>
        <w:rPr>
          <w:rFonts w:ascii="Cambria" w:cs="Cambria" w:eastAsia="Cambria" w:hAnsi="Cambria"/>
          <w:b/>
          <w:bCs/>
          <w:color w:val="17365D"/>
          <w:sz w:val="22"/>
          <w:szCs w:val="22"/>
        </w:rPr>
        <w:t xml:space="preserve">Diagnostic yield of the tissue options</w:t>
      </w:r>
    </w:p>
    <w:p>
      <w:pPr>
        <w:spacing w:after="120" w:line="276"/>
      </w:pPr>
      <w:r>
        <w:rPr>
          <w:i/>
          <w:iCs/>
          <w:color w:val="5A6069"/>
          <w:sz w:val="18"/>
          <w:szCs w:val="18"/>
        </w:rPr>
        <w:t xml:space="preserve">For the discussion about how hard to push for tissue, and which route can be used at all.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ERCP brush cytology alone</w:t>
            </w:r>
          </w:p>
        </w:tc>
        <w:tc>
          <w:tcPr>
            <w:tcW w:type="dxa" w:w="5260"/>
            <w:tcMar>
              <w:top w:type="dxa" w:w="70"/>
              <w:left w:type="dxa" w:w="110"/>
              <w:bottom w:type="dxa" w:w="70"/>
              <w:right w:type="dxa" w:w="110"/>
            </w:tcMar>
            <w:vAlign w:val="top"/>
          </w:tcPr>
          <w:p>
            <w:pPr>
              <w:spacing w:after="0" w:line="276"/>
            </w:pPr>
            <w:r>
              <w:rPr>
                <w:color w:val="15181F"/>
                <w:sz w:val="17"/>
                <w:szCs w:val="17"/>
              </w:rPr>
              <w:t xml:space="preserve">Pooled sensitivity 0.40 (ASGE, 21 studies, 2,726 patients); 52% in PSC studies at 99% specificity; 21–56% across the Asia-Pacific range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ERCP brush cytology plus forceps biopsy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Pooled sensitivity 0.66 (ASGE), incremental yield over brushing 20% (9–31); separately, mean sensitivity 49%, specificity 96%, negative predictive value 34% (SD 24.63) in a 294-patient meta-analysis at 77% pretest probability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EUS-guided aspiration of the primary</w:t>
            </w:r>
          </w:p>
        </w:tc>
        <w:tc>
          <w:tcPr>
            <w:tcW w:type="dxa" w:w="5260"/>
            <w:tcMar>
              <w:top w:type="dxa" w:w="70"/>
              <w:left w:type="dxa" w:w="110"/>
              <w:bottom w:type="dxa" w:w="70"/>
              <w:right w:type="dxa" w:w="110"/>
            </w:tcMar>
            <w:vAlign w:val="top"/>
          </w:tcPr>
          <w:p>
            <w:pPr>
              <w:spacing w:after="0" w:line="276"/>
            </w:pPr>
            <w:r>
              <w:rPr>
                <w:color w:val="15181F"/>
                <w:sz w:val="17"/>
                <w:szCs w:val="17"/>
              </w:rPr>
              <w:t xml:space="preserve">Mean sensitivity 75%, specificity 100%, negative predictive value 47% (SD 14.73) — from the same meta-analysis, only 3 of 8 studies paired, and excluded altogether in a protocol candidate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Cholangioscopy-guided targeted biopsy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Pooled 65% (95% CI 35–87) from 4 studies and 128 PSC patients; 15% (0–31) in a real-world cohort of 80 where 88% had had a prior ERCP, 55% had a stent removed at the procedure, 40% had PSC and a median of 3 biopsies were taken with 33% inconclusive — and where brush cytology at the same procedure did better (47%, specificity 95%)</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FISH polysomy, in PSC</w:t>
            </w:r>
          </w:p>
        </w:tc>
        <w:tc>
          <w:tcPr>
            <w:tcW w:type="dxa" w:w="5260"/>
            <w:tcMar>
              <w:top w:type="dxa" w:w="70"/>
              <w:left w:type="dxa" w:w="110"/>
              <w:bottom w:type="dxa" w:w="70"/>
              <w:right w:type="dxa" w:w="110"/>
            </w:tcMar>
            <w:vAlign w:val="top"/>
          </w:tcPr>
          <w:p>
            <w:pPr>
              <w:spacing w:after="0" w:line="276"/>
            </w:pPr>
            <w:r>
              <w:rPr>
                <w:color w:val="15181F"/>
                <w:sz w:val="17"/>
                <w:szCs w:val="17"/>
              </w:rPr>
              <w:t xml:space="preserve">Sensitivity 51% (43–59), specificity 93% (91–95), positive predictive value 0.68; trisomy or tetrasomy alone uninformative (31%, 71%, positive likelihood ratio 1.19). All 8 pooled studies came from one centre with overlapping cohorts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Cytological criteria on a brushing</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3 or more of 11 malignant characteristics gives sensitivity 70%, specificity 97%; 7 of 30 malignant brushings showed none of them, and necrosis and infiltrating inflammation do not distinguish malignancy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Next-generation sequencing of ERCP-obtained specimens</w:t>
            </w:r>
          </w:p>
        </w:tc>
        <w:tc>
          <w:tcPr>
            <w:tcW w:type="dxa" w:w="5260"/>
            <w:tcMar>
              <w:top w:type="dxa" w:w="70"/>
              <w:left w:type="dxa" w:w="110"/>
              <w:bottom w:type="dxa" w:w="70"/>
              <w:right w:type="dxa" w:w="110"/>
            </w:tcMar>
            <w:vAlign w:val="top"/>
          </w:tcPr>
          <w:p>
            <w:pPr>
              <w:spacing w:after="0" w:line="276"/>
            </w:pPr>
            <w:r>
              <w:rPr>
                <w:color w:val="15181F"/>
                <w:sz w:val="17"/>
                <w:szCs w:val="17"/>
              </w:rPr>
              <w:t xml:space="preserve">82% sensitivity, 98% specificity on 1,979 patients with follow-up, against 44% and 99% for pathology on separate specimens; 80% versus 36% in intrahepatic or hilar strictures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Sequencing plus pathology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88% sensitivity at 97% specificity; 86% in intrahepatic or hilar strictures. In the one real-world cohort reporting it, the gain in cholangiocarcinoma itself was not significant (70% versus 60%, P=.72)</w:t>
            </w:r>
          </w:p>
        </w:tc>
      </w:tr>
    </w:tbl>
    <w:p>
      <w:pPr>
        <w:spacing w:after="200" w:line="276"/>
      </w:pPr>
      <w:r>
        <w:rPr>
          <w:i/>
          <w:iCs/>
          <w:color w:val="5A6069"/>
          <w:sz w:val="16"/>
          <w:szCs w:val="16"/>
        </w:rPr>
        <w:t xml:space="preserve">With either conventional modality a negative result does not exclude malignancy: negative predictive values were 34% and 47% in a meta-analysis of 294 patients at a pretest probability of 77%, with standard deviations as large as the estimates, so repeated sampling in pursuit of a negative that will not be believed is a common way to lose time. That pooled ERCP-versus-EUS comparison is not specific to perihilar disease — where the primary may be small, periductal-infiltrating and a poor aspiration target — only 3 of its 8 studies applied both tests to the same patients, three of its proximal-stricture studies enrolled patients only after ERCP sampling had already failed, and QUADAS-2 scored every study at high risk of selection bias. The sequencing endpoint in the multi-institutional study was a neoplastic stricture, which is broader than malignancy, a stricture could be classified neoplastic on 12 months of imaging and clinical progression rather than on tissue, identical specimens were never compared, FISH was never compared head to head, and all testing was done in the laboratory that developed the assay. A negative sequencing result is not reassuring either: negative predictive value was 63% in the developer's prospective series (37 false negatives, 25%) and 74–82% in one real-world cohort. Real-world cohorts reproduce the direction of effect (65% versus 52% alone and 78% combined on 47 biopsies in one; 75% versus 42.9% in 77 patients in the other) but not the primary sclerosing cholangitis result: against 83% versus 8% on 12 malignant cases in the developer's series, and 85% versus 26% on 89 neoplastic strictures in the larger multi-institutional study, one real-world cohort found 20% sensitivity in PSC, worse than brush cytology at 40%. Cholangioscopy is not harm-free: 11% post-procedure cholangitis and 15% procedural failure in PSC ducts, and adverse events in 13% of the real-world cohort including one cardiac arrest. Whether a molecular result satisfies the transplant protocol's confirmed-malignancy condition is an undecided local question.</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Which sectors are drained? Those forming the future liver remnant. This requires the operative plan to exist before the drainage plan, which is why Gate 0 and Gate 1 are discussed together at the first tumour board.</w:t>
      </w:r>
    </w:p>
    <w:p>
      <w:pPr>
        <w:spacing w:after="40" w:line="276"/>
        <w:ind w:left="260"/>
      </w:pPr>
      <w:r>
        <w:rPr>
          <w:color w:val="15181F"/>
          <w:sz w:val="18"/>
          <w:szCs w:val="18"/>
        </w:rPr>
        <w:t xml:space="preserve">Grade D. No trial tests remnant-focused drainage against draining the most accessible duct. The position follows from the physiology of hypertrophy in a cholestatic liver and from a local failure pattern, not from comparative outcome data.</w:t>
      </w:r>
    </w:p>
    <w:p>
      <w:pPr>
        <w:spacing w:after="40" w:line="276"/>
        <w:ind w:left="260"/>
      </w:pPr>
      <w:r>
        <w:rPr>
          <w:color w:val="5A6069"/>
          <w:sz w:val="16"/>
          <w:szCs w:val="16"/>
        </w:rPr>
        <w:t xml:space="preserve">Sources: Milan consensus; ESGE 2026; DRAINAGE</w:t>
      </w:r>
    </w:p>
    <w:p>
      <w:pPr>
        <w:spacing w:after="60" w:before="160"/>
      </w:pPr>
      <w:r>
        <w:rPr>
          <w:b/>
          <w:bCs/>
          <w:color w:val="8E5008"/>
          <w:sz w:val="19"/>
          <w:szCs w:val="19"/>
        </w:rPr>
        <w:t xml:space="preserve">2. </w:t>
      </w:r>
      <w:r>
        <w:rPr>
          <w:b/>
          <w:bCs/>
          <w:sz w:val="19"/>
          <w:szCs w:val="19"/>
        </w:rPr>
        <w:t xml:space="preserve">How many drains? As few as achieve remnant decompression. Multiple uncoordinated drains placed by different services is a recognised failure pattern; one named owner manages the drainage strategy.</w:t>
      </w:r>
    </w:p>
    <w:p>
      <w:pPr>
        <w:spacing w:after="40" w:line="276"/>
        <w:ind w:left="260"/>
      </w:pPr>
      <w:r>
        <w:rPr>
          <w:color w:val="15181F"/>
          <w:sz w:val="18"/>
          <w:szCs w:val="18"/>
        </w:rPr>
        <w:t xml:space="preserve">Grade D. An operating rule, not a comparative result. Audited as drains per patient and cholangitis episodes (§11 item 7).</w:t>
      </w:r>
    </w:p>
    <w:p>
      <w:pPr>
        <w:spacing w:after="60" w:before="160"/>
      </w:pPr>
      <w:r>
        <w:rPr>
          <w:b/>
          <w:bCs/>
          <w:color w:val="8E5008"/>
          <w:sz w:val="19"/>
          <w:szCs w:val="19"/>
        </w:rPr>
        <w:t xml:space="preserve">3. </w:t>
      </w:r>
      <w:r>
        <w:rPr>
          <w:b/>
          <w:bCs/>
          <w:sz w:val="19"/>
          <w:szCs w:val="19"/>
        </w:rPr>
        <w:t xml:space="preserve">When is bilirubin low enough? A programme threshold, not an evidence threshold. Set it locally, record it, and apply it consistently before major hepatectomy, embolic therapy, radiation, and systemic therapy.</w:t>
      </w:r>
    </w:p>
    <w:p>
      <w:pPr>
        <w:spacing w:after="40" w:line="276"/>
        <w:ind w:left="260"/>
      </w:pPr>
      <w:r>
        <w:rPr>
          <w:color w:val="15181F"/>
          <w:sz w:val="18"/>
          <w:szCs w:val="18"/>
        </w:rPr>
        <w:t xml:space="preserve">Grade D. No comparative data define the cut-off; it is a safety convention. §11 item 3 audits post-hepatectomy liver failure by preoperative bilirubin so the local number can eventually be defended.</w:t>
      </w:r>
    </w:p>
    <w:p>
      <w:pPr>
        <w:spacing w:after="60" w:before="160"/>
      </w:pPr>
      <w:r>
        <w:rPr>
          <w:b/>
          <w:bCs/>
          <w:color w:val="8E5008"/>
          <w:sz w:val="19"/>
          <w:szCs w:val="19"/>
        </w:rPr>
        <w:t xml:space="preserve">4. </w:t>
      </w:r>
      <w:r>
        <w:rPr>
          <w:b/>
          <w:bCs/>
          <w:sz w:val="19"/>
          <w:szCs w:val="19"/>
        </w:rPr>
        <w:t xml:space="preserve">Nodal assessment is a different act. EUS evaluation of regional nodes, including aspiration of a suspicious node, addresses a different question from biopsying the primary. Node-positive disease is itself a protocol exclusion, so a positive nodal result does not cost candidacy that existed — it identifies a patient who was never a candidate, before a transplant workup is spent.</w:t>
      </w:r>
    </w:p>
    <w:p>
      <w:pPr>
        <w:spacing w:after="40" w:line="276"/>
        <w:ind w:left="260"/>
      </w:pPr>
      <w:r>
        <w:rPr>
          <w:color w:val="15181F"/>
          <w:sz w:val="18"/>
          <w:szCs w:val="18"/>
        </w:rPr>
        <w:t xml:space="preserve">Grade D. The logic is sound but untested, and AASLD notes there are no clearly identified morphological criteria for a malignant node, which weakens any 'suspicious node' trigger. AASLD requires EUS-FNA of regional nodes in every transplant candidate before neoadjuvant therapy; the roadmap is looser and limits it to suspicious nodes (§11, alignment area 8).</w:t>
      </w:r>
    </w:p>
    <w:p>
      <w:pPr>
        <w:spacing w:after="40" w:line="276"/>
        <w:ind w:left="260"/>
      </w:pPr>
      <w:r>
        <w:rPr>
          <w:color w:val="5A6069"/>
          <w:sz w:val="16"/>
          <w:szCs w:val="16"/>
        </w:rPr>
        <w:t xml:space="preserve">Sources: AASLD 2023; BSG 2023</w:t>
      </w:r>
    </w:p>
    <w:p>
      <w:pPr>
        <w:spacing w:after="60" w:before="160"/>
      </w:pPr>
      <w:r>
        <w:rPr>
          <w:b/>
          <w:bCs/>
          <w:color w:val="8E5008"/>
          <w:sz w:val="19"/>
          <w:szCs w:val="19"/>
        </w:rPr>
        <w:t xml:space="preserve">5. </w:t>
      </w:r>
      <w:r>
        <w:rPr>
          <w:b/>
          <w:bCs/>
          <w:sz w:val="19"/>
          <w:szCs w:val="19"/>
        </w:rPr>
        <w:t xml:space="preserve">If a stent is already in place, do not treat a negative result as reassuring — and do not assume cholangioscopic sampling beats a brush taken after the stent comes out.</w:t>
      </w:r>
    </w:p>
    <w:p>
      <w:pPr>
        <w:spacing w:after="40" w:line="276"/>
        <w:ind w:left="260"/>
      </w:pPr>
      <w:r>
        <w:rPr>
          <w:color w:val="15181F"/>
          <w:sz w:val="18"/>
          <w:szCs w:val="18"/>
        </w:rPr>
        <w:t xml:space="preserve">Local consensus, grade D, and the draft's earlier wording has been withdrawn. No study quantifies sampling yield stratified by prior stent placement in biliary strictures; targeted searches for it return nothing. The one real-world cohort that tested both found the opposite of the draft's assumption: cholangioscopy-guided biopsy was 15% sensitive while brush cytology at the same procedure was 47% sensitive with 95% specificity and a diagnostic odds ratio of 19.6 against 6.6. In that cohort 55% had a plastic stent removed at the start of the procedure, 40% had PSC, a median of 3 biopsies were taken with 33% inconclusive, and 66 of 80 procedures used a first-generation device — so the low figure is as much about sampling technique and population as about the stent, and the authors' own remedy is at least four biopsies, not a different instrument.</w:t>
      </w:r>
    </w:p>
    <w:p>
      <w:pPr>
        <w:spacing w:after="40" w:line="276"/>
        <w:ind w:left="260"/>
      </w:pPr>
      <w:r>
        <w:rPr>
          <w:color w:val="5A6069"/>
          <w:sz w:val="16"/>
          <w:szCs w:val="16"/>
        </w:rPr>
        <w:t xml:space="preserve">Sources: de Vries 2020; Njei 2016</w:t>
      </w:r>
    </w:p>
    <w:p>
      <w:pPr>
        <w:spacing w:after="60" w:before="160"/>
      </w:pPr>
      <w:r>
        <w:rPr>
          <w:b/>
          <w:bCs/>
          <w:color w:val="8E5008"/>
          <w:sz w:val="19"/>
          <w:szCs w:val="19"/>
        </w:rPr>
        <w:t xml:space="preserve">6. </w:t>
      </w:r>
      <w:r>
        <w:rPr>
          <w:b/>
          <w:bCs/>
          <w:sz w:val="19"/>
          <w:szCs w:val="19"/>
        </w:rPr>
        <w:t xml:space="preserve">Is molecular testing more robust after stenting? Mechanistically it should be, because sequencing detects tumour-specific alterations rather than interpreting morphology, so reactive atypia has no obvious route to a false positive.</w:t>
      </w:r>
    </w:p>
    <w:p>
      <w:pPr>
        <w:spacing w:after="40" w:line="276"/>
        <w:ind w:left="260"/>
      </w:pPr>
      <w:r>
        <w:rPr>
          <w:color w:val="15181F"/>
          <w:sz w:val="18"/>
          <w:szCs w:val="18"/>
        </w:rPr>
        <w:t xml:space="preserve">Mechanism only — not demonstrated. None of the sequencing studies report performance stratified by prior stenting, so this is reasoning, not data. A countervailing concern also has no data: an inflamed, stented duct may shed more non-neoplastic epithelium and dilute the tumour fraction.</w:t>
      </w:r>
    </w:p>
    <w:p>
      <w:pPr>
        <w:spacing w:after="40" w:line="276"/>
        <w:ind w:left="260"/>
      </w:pPr>
      <w:r>
        <w:rPr>
          <w:color w:val="5A6069"/>
          <w:sz w:val="16"/>
          <w:szCs w:val="16"/>
        </w:rPr>
        <w:t xml:space="preserve">Sources: BiliSeq multi-institutional; BiliSeq validation</w:t>
      </w:r>
    </w:p>
    <w:p>
      <w:pPr>
        <w:spacing w:after="60" w:before="160"/>
      </w:pPr>
      <w:r>
        <w:rPr>
          <w:b/>
          <w:bCs/>
          <w:color w:val="8E5008"/>
          <w:sz w:val="19"/>
          <w:szCs w:val="19"/>
        </w:rPr>
        <w:t xml:space="preserve">7. </w:t>
      </w:r>
      <w:r>
        <w:rPr>
          <w:b/>
          <w:bCs/>
          <w:sz w:val="19"/>
          <w:szCs w:val="19"/>
        </w:rPr>
        <w:t xml:space="preserve">Resection may proceed on imaging plus the clinical picture where the operative plan would not change. A malignant-appearing stricture with no alternative explanation is treated as cancer.</w:t>
      </w:r>
    </w:p>
    <w:p>
      <w:pPr>
        <w:spacing w:after="40" w:line="276"/>
        <w:ind w:left="260"/>
      </w:pPr>
      <w:r>
        <w:rPr>
          <w:color w:val="15181F"/>
          <w:sz w:val="18"/>
          <w:szCs w:val="18"/>
        </w:rPr>
        <w:t xml:space="preserve">Grade C, and concordant with NCCN and BSG — but it means a benign aetiology is found in about 10% of resections done on a presumptive diagnosis by the AHPBA panel's figure and about 15% in a 30-year tertiary series, in an operation whose 90-day mortality reaches 13% and whose severe-complication rate reaches 70% even in benchmark patients at expert centres. BSG also carries this as a STRONG recommendation resting on LOW-quality evidence.</w:t>
      </w:r>
    </w:p>
    <w:p>
      <w:pPr>
        <w:spacing w:after="40" w:line="276"/>
        <w:ind w:left="260"/>
      </w:pPr>
      <w:r>
        <w:rPr>
          <w:color w:val="5A6069"/>
          <w:sz w:val="16"/>
          <w:szCs w:val="16"/>
        </w:rPr>
        <w:t xml:space="preserve">Sources: AHPBA 2015; Milan consensus</w:t>
      </w:r>
    </w:p>
    <w:p>
      <w:pPr>
        <w:spacing w:after="60" w:before="160"/>
      </w:pPr>
      <w:r>
        <w:rPr>
          <w:b/>
          <w:bCs/>
          <w:color w:val="8E5008"/>
          <w:sz w:val="19"/>
          <w:szCs w:val="19"/>
        </w:rPr>
        <w:t xml:space="preserve">8. </w:t>
      </w:r>
      <w:r>
        <w:rPr>
          <w:b/>
          <w:bCs/>
          <w:sz w:val="19"/>
          <w:szCs w:val="19"/>
        </w:rPr>
        <w:t xml:space="preserve">Transperitoneal biopsy of the primary must be avoided in any patient who may be protocol-eligible. Whether the same constraint should extend to resection-only candidates is a genuine local decision and is unresolved.</w:t>
      </w:r>
    </w:p>
    <w:p>
      <w:pPr>
        <w:spacing w:after="40" w:line="276"/>
        <w:ind w:left="260"/>
      </w:pPr>
      <w:r>
        <w:rPr>
          <w:color w:val="15181F"/>
          <w:sz w:val="18"/>
          <w:szCs w:val="18"/>
        </w:rPr>
        <w:t xml:space="preserve">The avoidance rule for protocol candidates is a policy condition, not a weighing of evidence, and needs no vote. The scope question does: the roadmap's §4 Resection row says the route is unconstrained, while its own ESGE callout says not to pass a needle toward a perihilar tumour in any patient who still has a curative option, which includes resection. BSG states the stricter rule, and a resection candidate judged unresectable before any operative violation of the tumour plane may become a protocol candidate.</w:t>
      </w:r>
    </w:p>
    <w:p>
      <w:pPr>
        <w:spacing w:after="40" w:line="276"/>
        <w:ind w:left="260"/>
      </w:pPr>
      <w:r>
        <w:rPr>
          <w:color w:val="5A6069"/>
          <w:sz w:val="16"/>
          <w:szCs w:val="16"/>
        </w:rPr>
        <w:t xml:space="preserve">Sources: Heimbach 2011; BSG 2023</w:t>
      </w:r>
    </w:p>
    <w:p>
      <w:pPr>
        <w:spacing w:after="60" w:before="160"/>
      </w:pPr>
      <w:r>
        <w:rPr>
          <w:b/>
          <w:bCs/>
          <w:color w:val="8E5008"/>
          <w:sz w:val="19"/>
          <w:szCs w:val="19"/>
        </w:rPr>
        <w:t xml:space="preserve">9. </w:t>
      </w:r>
      <w:r>
        <w:rPr>
          <w:b/>
          <w:bCs/>
          <w:sz w:val="19"/>
          <w:szCs w:val="19"/>
        </w:rPr>
        <w:t xml:space="preserve">The transplant pathway rests on retrospective multicentre protocol experience, not randomised comparison; its eligibility criteria are protocol conditions, not evidence-based thresholds.</w:t>
      </w:r>
    </w:p>
    <w:p>
      <w:pPr>
        <w:spacing w:after="40" w:line="276"/>
        <w:ind w:left="260"/>
      </w:pPr>
      <w:r>
        <w:rPr>
          <w:color w:val="15181F"/>
          <w:sz w:val="18"/>
          <w:szCs w:val="18"/>
        </w:rPr>
        <w:t xml:space="preserve">The roadmap states this about its own §6. There is no arm of transplantation without neoadjuvant therapy and no randomised comparison with resection, the authors of the multicentre series argue such a trial is now unethical, and 67% of its patients came from one centre. Graft stewardship is an institutional judgement (§11 item 1).</w:t>
      </w:r>
    </w:p>
    <w:p>
      <w:pPr>
        <w:spacing w:after="40" w:line="276"/>
        <w:ind w:left="260"/>
      </w:pPr>
      <w:r>
        <w:rPr>
          <w:color w:val="5A6069"/>
          <w:sz w:val="16"/>
          <w:szCs w:val="16"/>
        </w:rPr>
        <w:t xml:space="preserve">Sources: 12-centre protocol series; Rea 2005</w:t>
      </w:r>
    </w:p>
    <w:p>
      <w:pPr>
        <w:spacing w:after="60" w:before="160"/>
      </w:pPr>
      <w:r>
        <w:rPr>
          <w:b/>
          <w:bCs/>
          <w:color w:val="8E5008"/>
          <w:sz w:val="19"/>
          <w:szCs w:val="19"/>
        </w:rPr>
        <w:t xml:space="preserve">10. </w:t>
      </w:r>
      <w:r>
        <w:rPr>
          <w:b/>
          <w:bCs/>
          <w:sz w:val="19"/>
          <w:szCs w:val="19"/>
        </w:rPr>
        <w:t xml:space="preserve">The tumour board operating model is reproduced unchanged across every disease roadmap so the programme has one operating standard rather than five. It is evidence grade D by construction and is labelled Standard because the programme has chosen it, not because trials support it. Audit it for adherence, not for effectiveness.</w:t>
      </w:r>
    </w:p>
    <w:p>
      <w:pPr>
        <w:spacing w:after="40" w:line="276"/>
        <w:ind w:left="260"/>
      </w:pPr>
      <w:r>
        <w:rPr>
          <w:color w:val="15181F"/>
          <w:sz w:val="18"/>
          <w:szCs w:val="18"/>
        </w:rPr>
        <w:t xml:space="preserve">The roadmap says so in §10. These are stakeholder-derived operating requirements.</w:t>
      </w:r>
    </w:p>
    <w:p>
      <w:pPr>
        <w:spacing w:after="60" w:before="160"/>
      </w:pPr>
      <w:r>
        <w:rPr>
          <w:b/>
          <w:bCs/>
          <w:color w:val="8E5008"/>
          <w:sz w:val="19"/>
          <w:szCs w:val="19"/>
        </w:rPr>
        <w:t xml:space="preserve">11. </w:t>
      </w:r>
      <w:r>
        <w:rPr>
          <w:b/>
          <w:bCs/>
          <w:sz w:val="19"/>
          <w:szCs w:val="19"/>
        </w:rPr>
        <w:t xml:space="preserve">A minimum annual volume for extended hepatectomy with biliary reconstruction at this centre has not been set.</w:t>
      </w:r>
    </w:p>
    <w:p>
      <w:pPr>
        <w:spacing w:after="40" w:line="276"/>
        <w:ind w:left="260"/>
      </w:pPr>
      <w:r>
        <w:rPr>
          <w:color w:val="15181F"/>
          <w:sz w:val="18"/>
          <w:szCs w:val="18"/>
        </w:rPr>
        <w:t xml:space="preserve">Volume-outcome relationships in this operation are observational but consistent; the threshold itself is a governance choice, not a measurable one (§11 item 4). [EXPERTISE]</w:t>
      </w:r>
    </w:p>
    <w:p>
      <w:pPr>
        <w:spacing w:after="40" w:line="276"/>
        <w:ind w:left="260"/>
      </w:pPr>
      <w:r>
        <w:rPr>
          <w:color w:val="5A6069"/>
          <w:sz w:val="16"/>
          <w:szCs w:val="16"/>
        </w:rPr>
        <w:t xml:space="preserve">Sources: Milan consensus</w:t>
      </w:r>
    </w:p>
    <w:p>
      <w:pPr>
        <w:spacing w:after="60" w:before="160"/>
      </w:pPr>
      <w:r>
        <w:rPr>
          <w:b/>
          <w:bCs/>
          <w:color w:val="8E5008"/>
          <w:sz w:val="19"/>
          <w:szCs w:val="19"/>
        </w:rPr>
        <w:t xml:space="preserve">12. </w:t>
      </w:r>
      <w:r>
        <w:rPr>
          <w:b/>
          <w:bCs/>
          <w:sz w:val="19"/>
          <w:szCs w:val="19"/>
        </w:rPr>
        <w:t xml:space="preserve">Gate 0 is named 'Biliary drainage comes first', and that is a sequencing rule, not an indication. ESGE 2026 suggests against routine preoperative drainage in malignant hilar obstruction.</w:t>
      </w:r>
    </w:p>
    <w:p>
      <w:pPr>
        <w:spacing w:after="40" w:line="276"/>
        <w:ind w:left="260"/>
      </w:pPr>
      <w:r>
        <w:rPr>
          <w:color w:val="15181F"/>
          <w:sz w:val="18"/>
          <w:szCs w:val="18"/>
        </w:rPr>
        <w:t xml:space="preserve">The guidelines accept drainage for severe jaundice, cholangitis or a predicted remnant of 30% or less; the Milan consensus restricts it to a small remnant needing hypertrophy, cholangitis, renal or hepatic failure, severe malnutrition or pruritus; and the Coelen investigators' own conclusion was that drainage should follow resectability assessment and may be unnecessary when the remnant exceeds 50% of liver volume. The Asia-Pacific panel reached only 56% full agreement on its own preoperative-drainage statement. What Gate 0 establishes is that </w:t>
      </w:r>
      <w:r>
        <w:rPr>
          <w:i/>
          <w:iCs/>
          <w:color w:val="15181F"/>
          <w:sz w:val="18"/>
          <w:szCs w:val="18"/>
        </w:rPr>
        <w:t xml:space="preserve">if</w:t>
      </w:r>
      <w:r>
        <w:rPr>
          <w:color w:val="15181F"/>
          <w:sz w:val="18"/>
          <w:szCs w:val="18"/>
        </w:rPr>
        <w:t xml:space="preserve"> you drain, you drain the remnant and you do it before anything that depends on hypertrophy — not that every jaundiced patient is drained.</w:t>
      </w:r>
    </w:p>
    <w:p>
      <w:pPr>
        <w:spacing w:after="40" w:line="276"/>
        <w:ind w:left="260"/>
      </w:pPr>
      <w:r>
        <w:rPr>
          <w:color w:val="5A6069"/>
          <w:sz w:val="16"/>
          <w:szCs w:val="16"/>
        </w:rPr>
        <w:t xml:space="preserve">Sources: ESGE 2026; Milan consensus; DRAINAGE; Asia-Pacific 2024</w:t>
      </w:r>
    </w:p>
    <w:p>
      <w:pPr>
        <w:spacing w:after="60" w:before="160"/>
      </w:pPr>
      <w:r>
        <w:rPr>
          <w:b/>
          <w:bCs/>
          <w:color w:val="8E5008"/>
          <w:sz w:val="19"/>
          <w:szCs w:val="19"/>
        </w:rPr>
        <w:t xml:space="preserve">13. </w:t>
      </w:r>
      <w:r>
        <w:rPr>
          <w:b/>
          <w:bCs/>
          <w:sz w:val="19"/>
          <w:szCs w:val="19"/>
        </w:rPr>
        <w:t xml:space="preserve">The drainage-route position is weaker than its grade suggested, and the page has been downgraded from B to C.</w:t>
      </w:r>
    </w:p>
    <w:p>
      <w:pPr>
        <w:spacing w:after="40" w:line="276"/>
        <w:ind w:left="260"/>
      </w:pPr>
      <w:r>
        <w:rPr>
          <w:color w:val="15181F"/>
          <w:sz w:val="18"/>
          <w:szCs w:val="18"/>
        </w:rPr>
        <w:t xml:space="preserve">The only randomised comparison was negative on its primary endpoint — severe drainage-related complications 63% after percutaneous versus 67% after endoscopic drainage, relative risk 0.94 (0.64–1.40) — and was stopped at 54 of a planned 106 patients for a mortality difference whose cause the safety board never identified and which the authors call prone to type I error. Pooled across three trials, 30-day mortality only trended lower with endoscopic drainage (RR 0.53, 0.28–1.01). Trial mortality was 26% against 10% in contemporaneous non-trial patients at the same centres, so neither arm's figure is the expected risk of either route. And ESGE's own section prints a meta-analysis giving percutaneous drainage higher therapeutic success (OR 3.5, 2.1–6.0) and 11.5-fold more reintervention after ERCP, 10 of its 11 studies retrospective — its strong recommendation runs against the best comparative data beside it. The 7.8%-versus-17.1% seeding differential that drives the ASGE recommendation is, by that panel's own assessment, the weakest evidence in its document: a six-study meta-analysis with high heterogeneity (I² 66%) and very few events, plus one adjusted single-centre cohort giving percutaneous drainage as the only independent predictor of peritoneal recurrence (OR 6.9, 1.9–25.7), both graded very low quality behind a conditional recommendation. Treat it as a reason to prefer the endoscopic route where a curative option survives, not as a measured seeding rate.</w:t>
      </w:r>
    </w:p>
    <w:p>
      <w:pPr>
        <w:spacing w:after="40" w:line="276"/>
        <w:ind w:left="260"/>
      </w:pPr>
      <w:r>
        <w:rPr>
          <w:color w:val="5A6069"/>
          <w:sz w:val="16"/>
          <w:szCs w:val="16"/>
        </w:rPr>
        <w:t xml:space="preserve">Sources: DRAINAGE; ESGE 2026; ASGE hilar</w:t>
      </w:r>
    </w:p>
    <w:p>
      <w:pPr>
        <w:spacing w:after="60" w:before="160"/>
      </w:pPr>
      <w:r>
        <w:rPr>
          <w:b/>
          <w:bCs/>
          <w:color w:val="8E5008"/>
          <w:sz w:val="19"/>
          <w:szCs w:val="19"/>
        </w:rPr>
        <w:t xml:space="preserve">14. </w:t>
      </w:r>
      <w:r>
        <w:rPr>
          <w:b/>
          <w:bCs/>
          <w:sz w:val="19"/>
          <w:szCs w:val="19"/>
        </w:rPr>
        <w:t xml:space="preserve">The drainage volume targets — more than 50%, ideally 70% or more, and better still above 80% — have never been derived, and this page now grades them D.</w:t>
      </w:r>
    </w:p>
    <w:p>
      <w:pPr>
        <w:spacing w:after="40" w:line="276"/>
        <w:ind w:left="260"/>
      </w:pPr>
      <w:r>
        <w:rPr>
          <w:color w:val="15181F"/>
          <w:sz w:val="18"/>
          <w:szCs w:val="18"/>
        </w:rPr>
        <w:t xml:space="preserve">No meta-analysis or comparative trial has tested any percentage threshold. The supporting cohorts disagree among themselves (50%, 71%, 80%), the 50% and 80% figures come from single-centre retrospective series, both guideline statements are graded low or very low quality, and ESGE lists prospective volumetry against survival and access to chemotherapy as an unmet need. The sector arithmetic (30/30/30/10) is a planning convention, not a measurement.</w:t>
      </w:r>
    </w:p>
    <w:p>
      <w:pPr>
        <w:spacing w:after="40" w:line="276"/>
        <w:ind w:left="260"/>
      </w:pPr>
      <w:r>
        <w:rPr>
          <w:color w:val="5A6069"/>
          <w:sz w:val="16"/>
          <w:szCs w:val="16"/>
        </w:rPr>
        <w:t xml:space="preserve">Sources: ESGE 2026; Asia-Pacific 2024; ASGE hilar</w:t>
      </w:r>
    </w:p>
    <w:p>
      <w:pPr>
        <w:spacing w:after="60" w:before="160"/>
      </w:pPr>
      <w:r>
        <w:rPr>
          <w:b/>
          <w:bCs/>
          <w:color w:val="8E5008"/>
          <w:sz w:val="19"/>
          <w:szCs w:val="19"/>
        </w:rPr>
        <w:t xml:space="preserve">15. </w:t>
      </w:r>
      <w:r>
        <w:rPr>
          <w:b/>
          <w:bCs/>
          <w:sz w:val="19"/>
          <w:szCs w:val="19"/>
        </w:rPr>
        <w:t xml:space="preserve">Two stent choices are unsettled and the page takes a position on neither: bilateral versus unilateral, and metal versus plastic.</w:t>
      </w:r>
    </w:p>
    <w:p>
      <w:pPr>
        <w:spacing w:after="40" w:line="276"/>
        <w:ind w:left="260"/>
      </w:pPr>
      <w:r>
        <w:rPr>
          <w:color w:val="15181F"/>
          <w:sz w:val="18"/>
          <w:szCs w:val="18"/>
        </w:rPr>
        <w:t xml:space="preserve">ASGE suggests bilateral stenting absent lobar atrophy, but its pooled survival gain was 11 days (95% CI −12 to 35), pooled patency showed no difference (SMD 0.38, −0.22 to 0.99, I² 78%), technical success was lower, and the panel worried a strong recommendation would burden endoscopists without the expertise. ESGE 2026 cites one randomised trial favouring bilateral stenting on clinical success (95.3% versus 84.9%) and patency (252 versus 139 days). Both panels carry declared relationships with stent manufacturers. This needs a local default rather than per-case improvisation. The metal-versus-plastic comparison is separately confounded: the pooled advantage for metal stents — 56 days more survival (12–101), better patency, fewer reinterventions (OR 0.34) — comes from trials that waited for plastic stents to occlude rather than exchanging them on schedule, which is why the ASGE panel declined a strong recommendation. If this programme exchanges plastic stents on schedule, the comparator arm in those trials is not the practice being compared against.</w:t>
      </w:r>
    </w:p>
    <w:p>
      <w:pPr>
        <w:spacing w:after="40" w:line="276"/>
        <w:ind w:left="260"/>
      </w:pPr>
      <w:r>
        <w:rPr>
          <w:color w:val="5A6069"/>
          <w:sz w:val="16"/>
          <w:szCs w:val="16"/>
        </w:rPr>
        <w:t xml:space="preserve">Sources: ASGE hilar; ESGE 2026</w:t>
      </w:r>
    </w:p>
    <w:p>
      <w:pPr>
        <w:spacing w:after="60" w:before="160"/>
      </w:pPr>
      <w:r>
        <w:rPr>
          <w:b/>
          <w:bCs/>
          <w:color w:val="8E5008"/>
          <w:sz w:val="19"/>
          <w:szCs w:val="19"/>
        </w:rPr>
        <w:t xml:space="preserve">16. </w:t>
      </w:r>
      <w:r>
        <w:rPr>
          <w:b/>
          <w:bCs/>
          <w:sz w:val="19"/>
          <w:szCs w:val="19"/>
        </w:rPr>
        <w:t xml:space="preserve">The transplant protocol's intention-to-treat result and its per-protocol result are different numbers on different denominators, and the draft blurred them.</w:t>
      </w:r>
    </w:p>
    <w:p>
      <w:pPr>
        <w:spacing w:after="40" w:line="276"/>
        <w:ind w:left="260"/>
      </w:pPr>
      <w:r>
        <w:rPr>
          <w:color w:val="15181F"/>
          <w:sz w:val="18"/>
          <w:szCs w:val="18"/>
        </w:rPr>
        <w:t xml:space="preserve">Intention-to-treat survival from the start of therapy was 68% at 2 years and 53% at 5 years in all 287 patients. Recurrence-free survival of 78% and 65% is measured among the 214 who reached transplantation, after 71 of 287 (25%) had dropped out at a median of 4.6 months. Excluding the 15 patients (5%) transplanted on clinical suspicion with no histologic proof, 5-year intention-to-treat survival was 50% and recurrence-free survival 62%. A patient entering this pathway should be quoted the first set, not the second. Two further figures from the same series are routinely misread. The hazard ratio of 2.98 (95% CI 1.79–4.95) for patients transplanted off criteria is for a composite group — 21 patients with a mass over 3 cm, 16 with a direct tumour biopsy, 4 with metastases and 7 with a prior malignancy, analysed together, with mass size producing the largest single disparity (5-year recurrence-free survival 32% versus 69%) — so it is not attributable to any one violation and in particular not to biopsy alone. And the widely quoted 5-year figures of 55–65% in primary sclerosing cholangitis and 35–55% in de novo disease are an ungraded 2015 expert consensus written by six people from four institutions, not a result of this series, which found no difference in outcome by PSC status at all; the page no longer quotes them as protocol outcomes.</w:t>
      </w:r>
    </w:p>
    <w:p>
      <w:pPr>
        <w:spacing w:after="40" w:line="276"/>
        <w:ind w:left="260"/>
      </w:pPr>
      <w:r>
        <w:rPr>
          <w:color w:val="5A6069"/>
          <w:sz w:val="16"/>
          <w:szCs w:val="16"/>
        </w:rPr>
        <w:t xml:space="preserve">Sources: 12-centre protocol series; AHPBA 2015; Heimbach 2011</w:t>
      </w:r>
    </w:p>
    <w:p>
      <w:pPr>
        <w:spacing w:after="60" w:before="160"/>
      </w:pPr>
      <w:r>
        <w:rPr>
          <w:b/>
          <w:bCs/>
          <w:color w:val="8E5008"/>
          <w:sz w:val="19"/>
          <w:szCs w:val="19"/>
        </w:rPr>
        <w:t xml:space="preserve">17. </w:t>
      </w:r>
      <w:r>
        <w:rPr>
          <w:b/>
          <w:bCs/>
          <w:sz w:val="19"/>
          <w:szCs w:val="19"/>
        </w:rPr>
        <w:t xml:space="preserve">The seeding evidence behind the biopsy prohibition is six exposed patients and five events, and reverse causation is not excluded.</w:t>
      </w:r>
    </w:p>
    <w:p>
      <w:pPr>
        <w:spacing w:after="40" w:line="276"/>
        <w:ind w:left="260"/>
      </w:pPr>
      <w:r>
        <w:rPr>
          <w:color w:val="15181F"/>
          <w:sz w:val="18"/>
          <w:szCs w:val="18"/>
        </w:rPr>
        <w:t xml:space="preserve">Of 191 protocol patients, 16 had an outside transperitoneal aspirate; 5 of the 6 whose aspirate was positive had peritoneal metastases at staging against 8% (14 of 175) of those not biopsied, while all 9 with non-diagnostic aspirates were metastasis-free. Because only diagnostic aspirates carried the excess, a positive aspirate may be marking a tumour bulky and cell-rich enough to hit with a needle. The groups could not be matched on tumour differentiation or perineural invasion because the diagnostic tissue was too limited, and only patients already accepted onto the protocol were counted, so anyone whose outside aspirate removed them from consideration is invisible. The prohibition stands as a policy condition; it is not a measured risk.</w:t>
      </w:r>
    </w:p>
    <w:p>
      <w:pPr>
        <w:spacing w:after="40" w:line="276"/>
        <w:ind w:left="260"/>
      </w:pPr>
      <w:r>
        <w:rPr>
          <w:color w:val="5A6069"/>
          <w:sz w:val="16"/>
          <w:szCs w:val="16"/>
        </w:rPr>
        <w:t xml:space="preserve">Sources: Heimbach 2011</w:t>
      </w:r>
    </w:p>
    <w:p>
      <w:pPr>
        <w:spacing w:after="60" w:before="160"/>
      </w:pPr>
      <w:r>
        <w:rPr>
          <w:b/>
          <w:bCs/>
          <w:color w:val="8E5008"/>
          <w:sz w:val="19"/>
          <w:szCs w:val="19"/>
        </w:rPr>
        <w:t xml:space="preserve">18. </w:t>
      </w:r>
      <w:r>
        <w:rPr>
          <w:b/>
          <w:bCs/>
          <w:sz w:val="19"/>
          <w:szCs w:val="19"/>
        </w:rPr>
        <w:t xml:space="preserve">Two of the protocol's alternative diagnostic criteria — FISH polysomy and CA 19-9 above 100 U/mL — are weaker than their place in a listing decision implies.</w:t>
      </w:r>
    </w:p>
    <w:p>
      <w:pPr>
        <w:spacing w:after="40" w:line="276"/>
        <w:ind w:left="260"/>
      </w:pPr>
      <w:r>
        <w:rPr>
          <w:color w:val="15181F"/>
          <w:sz w:val="18"/>
          <w:szCs w:val="18"/>
        </w:rPr>
        <w:t xml:space="preserve">Pooled polysomy sensitivity is 51% (43–59) at 93% specificity (91–95), but roughly three in ten benign PSC strictures test positive on any FISH result, and polysomy alone can qualify a patient for neoadjuvant chemoradiation and transplantation. All eight studies in that meta-analysis came from one centre with overlapping recruitment windows, so the pooled estimate is effectively one institution's experience, and verification bias is likely because a FISH-positive patient is more likely to reach the surgery that classifies them. Trisomy or tetrasomy alone is uninformative and must not be counted (positive likelihood ratio 1.19, 0.65–2.21). CA 19-9 is the other: pooled accuracy for separating benign from malignant stricture is 81% (76–87) with a 15% false-positive rate, from a recommendation graded very low quality, and the marker rises in primary sclerosing cholangitis, cirrhosis and obstructive jaundice — all three of which describe this population. Record the bilirubin and drainage status with every value, and do not let an undrained or cholangitic measurement count toward candidacy.</w:t>
      </w:r>
    </w:p>
    <w:p>
      <w:pPr>
        <w:spacing w:after="40" w:line="276"/>
        <w:ind w:left="260"/>
      </w:pPr>
      <w:r>
        <w:rPr>
          <w:color w:val="5A6069"/>
          <w:sz w:val="16"/>
          <w:szCs w:val="16"/>
        </w:rPr>
        <w:t xml:space="preserve">Sources: FISH meta-analysis; Njei 2016; ESGE 2025; 12-centre protocol series</w:t>
      </w:r>
    </w:p>
    <w:p>
      <w:pPr>
        <w:spacing w:after="60" w:before="160"/>
      </w:pPr>
      <w:r>
        <w:rPr>
          <w:b/>
          <w:bCs/>
          <w:color w:val="8E5008"/>
          <w:sz w:val="19"/>
          <w:szCs w:val="19"/>
        </w:rPr>
        <w:t xml:space="preserve">19. </w:t>
      </w:r>
      <w:r>
        <w:rPr>
          <w:b/>
          <w:bCs/>
          <w:sz w:val="19"/>
          <w:szCs w:val="19"/>
        </w:rPr>
        <w:t xml:space="preserve">The sampling numbers on this page were cited from the smaller and more favourable pooled estimate, and how much tissue to take is itself unsettled.</w:t>
      </w:r>
    </w:p>
    <w:p>
      <w:pPr>
        <w:spacing w:after="40" w:line="276"/>
        <w:ind w:left="260"/>
      </w:pPr>
      <w:r>
        <w:rPr>
          <w:color w:val="15181F"/>
          <w:sz w:val="18"/>
          <w:szCs w:val="18"/>
        </w:rPr>
        <w:t xml:space="preserve">ESGE's 25% (11–38, OR 2.7) comes from two retrospective cohorts totalling 101 patients. ASGE's 20% (9–31) comes from 21 studies and 2,726 patients, with combined sensitivity 0.66 against 0.52 for biopsy and 0.40 for brushing. The page now leads with the larger estimate. Both recommendations are conditional on very low quality evidence and neither panel found a randomised trial for any perihilar question. The quantity question is live and the two sources disagree in a way that matters: ESGE says three to four intraductal biopsies appear sufficient, while the real-world cholangioscopy cohort took a median of three and had 33% of specimens inconclusive, and its authors recommend a minimum of four with a pathologist on site, noting that series reporting under 6% inconclusive took at least four. Cytology sensitivity rises monotonically with brush passes — 38% at 10, 47% at 20, 57% at 30. A local minimum for passes and biopsies would convert this from technique to policy.</w:t>
      </w:r>
    </w:p>
    <w:p>
      <w:pPr>
        <w:spacing w:after="40" w:line="276"/>
        <w:ind w:left="260"/>
      </w:pPr>
      <w:r>
        <w:rPr>
          <w:color w:val="5A6069"/>
          <w:sz w:val="16"/>
          <w:szCs w:val="16"/>
        </w:rPr>
        <w:t xml:space="preserve">Sources: ESGE 2025; ASGE 2023; de Vries 2020</w:t>
      </w:r>
    </w:p>
    <w:p>
      <w:pPr>
        <w:spacing w:after="60" w:before="160"/>
      </w:pPr>
      <w:r>
        <w:rPr>
          <w:b/>
          <w:bCs/>
          <w:color w:val="8E5008"/>
          <w:sz w:val="19"/>
          <w:szCs w:val="19"/>
        </w:rPr>
        <w:t xml:space="preserve">20. </w:t>
      </w:r>
      <w:r>
        <w:rPr>
          <w:b/>
          <w:bCs/>
          <w:sz w:val="19"/>
          <w:szCs w:val="19"/>
        </w:rPr>
        <w:t xml:space="preserve">Cholangioscopy is presented in the guidelines as having no excess adverse events. In practice it has them.</w:t>
      </w:r>
    </w:p>
    <w:p>
      <w:pPr>
        <w:spacing w:after="40" w:line="276"/>
        <w:ind w:left="260"/>
      </w:pPr>
      <w:r>
        <w:rPr>
          <w:color w:val="15181F"/>
          <w:sz w:val="18"/>
          <w:szCs w:val="18"/>
        </w:rPr>
        <w:t xml:space="preserve">The pooled guideline statement found no difference in adverse events, specimen adequacy or technical success. The PSC meta-analysis records post-procedure cholangitis in 11% and procedural failure in 15% of PSC ducts against 2% of controls, because the cholangioscope often cannot pass a tight stricture without dilation and mucosal trauma. The real-world cohort had adverse events in 10 of 80 (13%): two episodes of bacterial cholangitis, one post-ERCP pancreatitis, and one cardiac arrest during the procedure followed by stroke. The pooled cholangioscopy advantage also rests on 4 studies and 128 patients, with study quality itself contributing significantly to the heterogeneity, and the senior authors declaring consultancy for the manufacturers of the platforms that came out best.</w:t>
      </w:r>
    </w:p>
    <w:p>
      <w:pPr>
        <w:spacing w:after="40" w:line="276"/>
        <w:ind w:left="260"/>
      </w:pPr>
      <w:r>
        <w:rPr>
          <w:color w:val="5A6069"/>
          <w:sz w:val="16"/>
          <w:szCs w:val="16"/>
        </w:rPr>
        <w:t xml:space="preserve">Sources: ASGE 2023; Njei 2016; de Vries 2020</w:t>
      </w:r>
    </w:p>
    <w:p>
      <w:pPr>
        <w:spacing w:after="60" w:before="160"/>
      </w:pPr>
      <w:r>
        <w:rPr>
          <w:b/>
          <w:bCs/>
          <w:color w:val="8E5008"/>
          <w:sz w:val="19"/>
          <w:szCs w:val="19"/>
        </w:rPr>
        <w:t xml:space="preserve">21. </w:t>
      </w:r>
      <w:r>
        <w:rPr>
          <w:b/>
          <w:bCs/>
          <w:sz w:val="19"/>
          <w:szCs w:val="19"/>
        </w:rPr>
        <w:t xml:space="preserve">The sequencing panel's headline figures come from a study in which sequencing and pathology were never run on the same specimen, and all testing was done in the laboratory that developed the assay.</w:t>
      </w:r>
    </w:p>
    <w:p>
      <w:pPr>
        <w:spacing w:after="40" w:line="276"/>
        <w:ind w:left="260"/>
      </w:pPr>
      <w:r>
        <w:rPr>
          <w:color w:val="15181F"/>
          <w:sz w:val="18"/>
          <w:szCs w:val="18"/>
        </w:rPr>
        <w:t xml:space="preserve">Specimens were submitted at the endoscopist's discretion rather than consecutively, 5% of patients had no follow-up and were dropped, FISH — the adjunct many units actually use in PSC — was never compared head to head, and a stricture could be classified as neoplastic on imaging plus 12 months of clinical or radiographic progression rather than on tissue, which tends to flatter the test that often prompted the work-up. Only 2% of neoplastic strictures were purely dysplastic, so outside PSC this is earlier diagnosis of established cancer rather than early detection, and no survival or resectability benefit has been shown. The test is a laboratory-developed test from a single CLIA-certified laboratory, not FDA cleared. And in the one real-world cohort that reported this disease separately, the gain in cholangiocarcinoma itself was not significant: 75% versus 42.9% overall in 77 patients, but 70% versus 60% (P=.72) in the 20 with cholangiocarcinoma, with the headline improvement driven partly by pancreatic and ampullary cancers; in that cohort's PSC subgroup sensitivity was 20% against 40% for brush cytology, and the panel was run only on brush and bile aspirate, never on transpapillary or cholangioscopy-guided tissue. A negative sequencing result does not stand a resection decision down — negative predictive value was 63% in the developer's prospective series (37 false negatives, 25%) and 74–82% in a small real-world cohort whose benign cases rested on six months of follow-up.</w:t>
      </w:r>
    </w:p>
    <w:p>
      <w:pPr>
        <w:spacing w:after="40" w:line="276"/>
        <w:ind w:left="260"/>
      </w:pPr>
      <w:r>
        <w:rPr>
          <w:color w:val="5A6069"/>
          <w:sz w:val="16"/>
          <w:szCs w:val="16"/>
        </w:rPr>
        <w:t xml:space="preserve">Sources: BiliSeq multi-institutional; BiliSeq validation; Bardhi 2025; Gillmeister 2026</w:t>
      </w:r>
    </w:p>
    <w:p>
      <w:pPr>
        <w:spacing w:after="60" w:before="160"/>
      </w:pPr>
      <w:r>
        <w:rPr>
          <w:b/>
          <w:bCs/>
          <w:color w:val="8E5008"/>
          <w:sz w:val="19"/>
          <w:szCs w:val="19"/>
        </w:rPr>
        <w:t xml:space="preserve">22. </w:t>
      </w:r>
      <w:r>
        <w:rPr>
          <w:b/>
          <w:bCs/>
          <w:sz w:val="19"/>
          <w:szCs w:val="19"/>
        </w:rPr>
        <w:t xml:space="preserve">The resection recommendation's margin data come from 23 resections over 30 years, in a series where only 9 of 122 operated patients achieved a histologically negative margin.</w:t>
      </w:r>
    </w:p>
    <w:p>
      <w:pPr>
        <w:spacing w:after="40" w:line="276"/>
        <w:ind w:left="260"/>
      </w:pPr>
      <w:r>
        <w:rPr>
          <w:color w:val="15181F"/>
          <w:sz w:val="18"/>
          <w:szCs w:val="18"/>
        </w:rPr>
        <w:t xml:space="preserve">Downgraded from B to C. There was no comparison group — patients treated by bypass or intubation were never analysed — follow-up averaged 26 months, and the 3-year figures rest on very few patients at risk. The R0 ranges the page quotes alongside (median survival 27–58 months, 5-year 27–45%) are ungraded expert consensus. What survives this reading is the direction, which is unambiguous and consistent across every later series: margin status drives outcome, and local excision alone above type I does not achieve it.</w:t>
      </w:r>
    </w:p>
    <w:p>
      <w:pPr>
        <w:spacing w:after="40" w:line="276"/>
        <w:ind w:left="260"/>
      </w:pPr>
      <w:r>
        <w:rPr>
          <w:color w:val="5A6069"/>
          <w:sz w:val="16"/>
          <w:szCs w:val="16"/>
        </w:rPr>
        <w:t xml:space="preserve">Sources: Bismuth-Corlette; AHPBA 2015</w:t>
      </w:r>
    </w:p>
    <w:p>
      <w:pPr>
        <w:spacing w:after="60" w:before="160"/>
      </w:pPr>
      <w:r>
        <w:rPr>
          <w:b/>
          <w:bCs/>
          <w:color w:val="8E5008"/>
          <w:sz w:val="19"/>
          <w:szCs w:val="19"/>
        </w:rPr>
        <w:t xml:space="preserve">23. </w:t>
      </w:r>
      <w:r>
        <w:rPr>
          <w:b/>
          <w:bCs/>
          <w:sz w:val="19"/>
          <w:szCs w:val="19"/>
        </w:rPr>
        <w:t xml:space="preserve">The Milan consensus prefers left-sided to right-sided hemihepatectomy where both would clear the tumour, and the page previously said nothing about laterality.</w:t>
      </w:r>
    </w:p>
    <w:p>
      <w:pPr>
        <w:spacing w:after="40" w:line="276"/>
        <w:ind w:left="260"/>
      </w:pPr>
      <w:r>
        <w:rPr>
          <w:color w:val="15181F"/>
          <w:sz w:val="18"/>
          <w:szCs w:val="18"/>
        </w:rPr>
        <w:t xml:space="preserve">Right-sided resection carries more morbidity, post-hepatectomy liver failure and mortality at equal oncological outcome in the jury's reading, and left trisectionectomy is favoured in Bismuth-Corlette type 4. That recommendation sits at level-4 expert opinion in a document where 84% of 570 reviewed studies were observational and 83.5% only of acceptable quality. It belongs in the operative conversation as a preference to be argued, not a rule.</w:t>
      </w:r>
    </w:p>
    <w:p>
      <w:pPr>
        <w:spacing w:after="40" w:line="276"/>
        <w:ind w:left="260"/>
      </w:pPr>
      <w:r>
        <w:rPr>
          <w:color w:val="5A6069"/>
          <w:sz w:val="16"/>
          <w:szCs w:val="16"/>
        </w:rPr>
        <w:t xml:space="preserve">Sources: Milan consensus</w:t>
      </w:r>
    </w:p>
    <w:p>
      <w:pPr>
        <w:spacing w:after="60" w:before="160"/>
      </w:pPr>
      <w:r>
        <w:rPr>
          <w:b/>
          <w:bCs/>
          <w:color w:val="8E5008"/>
          <w:sz w:val="19"/>
          <w:szCs w:val="19"/>
        </w:rPr>
        <w:t xml:space="preserve">24. </w:t>
      </w:r>
      <w:r>
        <w:rPr>
          <w:b/>
          <w:bCs/>
          <w:sz w:val="19"/>
          <w:szCs w:val="19"/>
        </w:rPr>
        <w:t xml:space="preserve">Perihilar cholangiocarcinoma has no validated resectability tool, and the body that said so most clearly is the one whose criteria the page relies on.</w:t>
      </w:r>
    </w:p>
    <w:p>
      <w:pPr>
        <w:spacing w:after="40" w:line="276"/>
        <w:ind w:left="260"/>
      </w:pPr>
      <w:r>
        <w:rPr>
          <w:color w:val="15181F"/>
          <w:sz w:val="18"/>
          <w:szCs w:val="18"/>
        </w:rPr>
        <w:t xml:space="preserve">The Milan jury declined to endorse any staging system — Bismuth-Corlette and MSKCC included — as a predictor of resectability, and states that the resectability criteria it adopted are expert-opinion-based and require validation. Only 32 of its 570 reviewed studies (5.6%) concerned transplantation. Resectability at this board is therefore a judgement by experienced surgeons looking at the same images, and should be recorded as such.</w:t>
      </w:r>
    </w:p>
    <w:p>
      <w:pPr>
        <w:spacing w:after="40" w:line="276"/>
        <w:ind w:left="260"/>
      </w:pPr>
      <w:r>
        <w:rPr>
          <w:color w:val="5A6069"/>
          <w:sz w:val="16"/>
          <w:szCs w:val="16"/>
        </w:rPr>
        <w:t xml:space="preserve">Sources: Milan consensus; AHPBA 2015</w:t>
      </w:r>
    </w:p>
    <w:p>
      <w:pPr>
        <w:spacing w:after="60" w:before="160"/>
      </w:pPr>
      <w:r>
        <w:rPr>
          <w:b/>
          <w:bCs/>
          <w:color w:val="8E5008"/>
          <w:sz w:val="19"/>
          <w:szCs w:val="19"/>
        </w:rPr>
        <w:t xml:space="preserve">25. </w:t>
      </w:r>
      <w:r>
        <w:rPr>
          <w:b/>
          <w:bCs/>
          <w:sz w:val="19"/>
          <w:szCs w:val="19"/>
        </w:rPr>
        <w:t xml:space="preserve">The adjuvant evidence in this disease is a trial that missed its primary endpoint and a trial that was null, and both need reading in full.</w:t>
      </w:r>
    </w:p>
    <w:p>
      <w:pPr>
        <w:spacing w:after="40" w:line="276"/>
        <w:ind w:left="260"/>
      </w:pPr>
      <w:r>
        <w:rPr>
          <w:color w:val="15181F"/>
          <w:sz w:val="18"/>
          <w:szCs w:val="18"/>
        </w:rPr>
        <w:t xml:space="preserve">BILCAP missed its intention-to-treat primary endpoint (HR 0.81, 0.63–1.04, p=0.097); significance came from a per-protocol analysis and a model adjusted for nodal status, grade and sex. Recurrence-free survival favoured capecitabine over the first 24 months (HR 0.75, 0.58–0.98) and not at all from 24 to 60 months (HR 1.48, 0.80–2.77). 128 of 447 patients (29%) had hilar tumours, the trial was not powered for site, and the Milan consensus records no benefit in the perihilar subgroup. Grade 3 events in 44%, 46% dose-reduced, 32% stopped for toxicity. Offer it with those numbers, not as an obligation. The one adjuvant randomised trial confined to this population, BCAT, enrolled perihilar and distal bile duct cancer only and found nothing for gemcitabine (overall survival HR 1.01, 0.70–1.45), with no subgroup benefiting including node-positive and R1 patients — but its null is also underpowered: recruitment stopped at 226 of a planned 300 because most patients wanted adjuvant chemotherapy, the authors calculate only a 2.8% probability of significance even with the planned events, and observed 5-year survival was about 50% against an assumed 30% in a cohort from which R2 resections, metastases, severe complications and in-hospital deaths were all excluded. It rules out gemcitabine; it does not rule out adjuvant therapy.</w:t>
      </w:r>
    </w:p>
    <w:p>
      <w:pPr>
        <w:spacing w:after="40" w:line="276"/>
        <w:ind w:left="260"/>
      </w:pPr>
      <w:r>
        <w:rPr>
          <w:color w:val="5A6069"/>
          <w:sz w:val="16"/>
          <w:szCs w:val="16"/>
        </w:rPr>
        <w:t xml:space="preserve">Sources: BILCAP; Milan consensus; BCAT</w:t>
      </w:r>
    </w:p>
    <w:p>
      <w:pPr>
        <w:spacing w:after="60" w:before="160"/>
      </w:pPr>
      <w:r>
        <w:rPr>
          <w:b/>
          <w:bCs/>
          <w:color w:val="8E5008"/>
          <w:sz w:val="19"/>
          <w:szCs w:val="19"/>
        </w:rPr>
        <w:t xml:space="preserve">26. </w:t>
      </w:r>
      <w:r>
        <w:rPr>
          <w:b/>
          <w:bCs/>
          <w:sz w:val="19"/>
          <w:szCs w:val="19"/>
        </w:rPr>
        <w:t xml:space="preserve">First-line chemo-immunotherapy is graded B rather than A on this page, because the subgroup that contains perihilar disease showed no effect.</w:t>
      </w:r>
    </w:p>
    <w:p>
      <w:pPr>
        <w:spacing w:after="40" w:line="276"/>
        <w:ind w:left="260"/>
      </w:pPr>
      <w:r>
        <w:rPr>
          <w:color w:val="15181F"/>
          <w:sz w:val="18"/>
          <w:szCs w:val="18"/>
        </w:rPr>
        <w:t xml:space="preserve">Both trials are properly conducted positive phase 3 trials in biliary tract cancer as a whole, but KEYNOTE-966 was enriched for intrahepatic disease (59%, because tumour tissue was mandatory) and its extrahepatic subgroup hazard ratio was 0.99 (95% CI 0.73–1.35), with the gallbladder subgroup at 0.96 (0.73–1.26); the authors state both are underpowered. KEYNOTE-966 also missed its progression-free survival boundary and showed identical response rates (29% versus 29%). TOPAZ-1 was a prespecified interim analysis at 424 of 496 planned deaths, powered to about 75%, with a formally violated proportional hazards assumption and a 1.3-month median gain concentrated after 6 months. The regimen remains the standard; the effect size in this disease is an extrapolation and should be described as one.</w:t>
      </w:r>
    </w:p>
    <w:p>
      <w:pPr>
        <w:spacing w:after="40" w:line="276"/>
        <w:ind w:left="260"/>
      </w:pPr>
      <w:r>
        <w:rPr>
          <w:color w:val="5A6069"/>
          <w:sz w:val="16"/>
          <w:szCs w:val="16"/>
        </w:rPr>
        <w:t xml:space="preserve">Sources: KEYNOTE-966; TOPAZ-1; ESMO 2024 interim</w:t>
      </w:r>
    </w:p>
    <w:p>
      <w:pPr>
        <w:spacing w:after="60" w:before="160"/>
      </w:pPr>
      <w:r>
        <w:rPr>
          <w:b/>
          <w:bCs/>
          <w:color w:val="8E5008"/>
          <w:sz w:val="19"/>
          <w:szCs w:val="19"/>
        </w:rPr>
        <w:t xml:space="preserve">27. </w:t>
      </w:r>
      <w:r>
        <w:rPr>
          <w:b/>
          <w:bCs/>
          <w:sz w:val="19"/>
          <w:szCs w:val="19"/>
        </w:rPr>
        <w:t xml:space="preserve">The matched-therapy trials are not trials in this disease, with one instructive exception.</w:t>
      </w:r>
    </w:p>
    <w:p>
      <w:pPr>
        <w:spacing w:after="40" w:line="276"/>
        <w:ind w:left="260"/>
      </w:pPr>
      <w:r>
        <w:rPr>
          <w:color w:val="15181F"/>
          <w:sz w:val="18"/>
          <w:szCs w:val="18"/>
        </w:rPr>
        <w:t xml:space="preserve">FIGHT-202 cohort A was 107 of 108 intrahepatic, FOENIX-CCA2 intrahepatic only, ROAR 39 of 43 (91%) intrahepatic, ClarIDHy 6 of 187 extrahepatic or perihilar. All are single-arm or, in ClarIDHy's case, randomised against placebo with a non-significant intention-to-treat overall survival (HR 0.79, 0.56–1.12) and a 2% response rate. All were industry sponsored with company employees as authors, and all sit second line or later. HER2 is the exception, because it is enriched in extrahepatic disease: zanidatamab gave a 52% response rate in immunohistochemistry 3+ tumours against 6% (1 of 18) in 2+, with median overall survival 18.1 versus 5.2 months — so the assay threshold carries the result, and ESMO concedes there are no standardised criteria for assessing HER2 in this disease and no specific test it can recommend.</w:t>
      </w:r>
    </w:p>
    <w:p>
      <w:pPr>
        <w:spacing w:after="40" w:line="276"/>
        <w:ind w:left="260"/>
      </w:pPr>
      <w:r>
        <w:rPr>
          <w:color w:val="5A6069"/>
          <w:sz w:val="16"/>
          <w:szCs w:val="16"/>
        </w:rPr>
        <w:t xml:space="preserve">Sources: FIGHT-202; FOENIX-CCA2; ROAR; ClarIDHy; HERIZON-BTC-01; ESMO 2024 interim</w:t>
      </w:r>
    </w:p>
    <w:p>
      <w:pPr>
        <w:spacing w:after="60" w:before="160"/>
      </w:pPr>
      <w:r>
        <w:rPr>
          <w:b/>
          <w:bCs/>
          <w:color w:val="8E5008"/>
          <w:sz w:val="19"/>
          <w:szCs w:val="19"/>
        </w:rPr>
        <w:t xml:space="preserve">28. </w:t>
      </w:r>
      <w:r>
        <w:rPr>
          <w:b/>
          <w:bCs/>
          <w:sz w:val="19"/>
          <w:szCs w:val="19"/>
        </w:rPr>
        <w:t xml:space="preserve">The liver-directed avoid rows are graded D, not C: they rest on the absence of perihilar evidence rather than on comparative studies.</w:t>
      </w:r>
    </w:p>
    <w:p>
      <w:pPr>
        <w:spacing w:after="40" w:line="276"/>
        <w:ind w:left="260"/>
      </w:pPr>
      <w:r>
        <w:rPr>
          <w:color w:val="15181F"/>
          <w:sz w:val="18"/>
          <w:szCs w:val="18"/>
        </w:rPr>
        <w:t xml:space="preserve">No study in this depot addresses ablation, radioembolisation, chemoembolisation or histotripsy of a central perihilar primary. The hepatic arterial infusion data are from a single-arm, single-institution trial in liver-confined intrahepatic disease that treated 38 of 84 screened patients, with grade 4 pump or arterial complications in 11% and biliary stents needed in 11%, two for chemotherapy-induced biliary sclerosis — the one toxicity that matters most in a tumour whose problem is central biliary obstruction. The roadmap's positions stand; what changes is that they are honest absences of evidence rather than graded comparisons.</w:t>
      </w:r>
    </w:p>
    <w:p>
      <w:pPr>
        <w:spacing w:after="40" w:line="276"/>
        <w:ind w:left="260"/>
      </w:pPr>
      <w:r>
        <w:rPr>
          <w:color w:val="5A6069"/>
          <w:sz w:val="16"/>
          <w:szCs w:val="16"/>
        </w:rPr>
        <w:t xml:space="preserve">Sources: HAI floxuridine phase II</w:t>
      </w:r>
    </w:p>
    <w:p>
      <w:pPr>
        <w:spacing w:after="60" w:before="160"/>
      </w:pPr>
      <w:r>
        <w:rPr>
          <w:b/>
          <w:bCs/>
          <w:color w:val="8E5008"/>
          <w:sz w:val="19"/>
          <w:szCs w:val="19"/>
        </w:rPr>
        <w:t xml:space="preserve">29. </w:t>
      </w:r>
      <w:r>
        <w:rPr>
          <w:b/>
          <w:bCs/>
          <w:sz w:val="19"/>
          <w:szCs w:val="19"/>
        </w:rPr>
        <w:t xml:space="preserve">The best-supportive-care bundle was graded A. It is not one intervention and only part of it has evidence in this depot.</w:t>
      </w:r>
    </w:p>
    <w:p>
      <w:pPr>
        <w:spacing w:after="40" w:line="276"/>
        <w:ind w:left="260"/>
      </w:pPr>
      <w:r>
        <w:rPr>
          <w:color w:val="15181F"/>
          <w:sz w:val="18"/>
          <w:szCs w:val="18"/>
        </w:rPr>
        <w:t xml:space="preserve">Downgraded to C. Drainage rests on guideline recommendations graded low to very low quality; early specialist palliative involvement rests on randomised evidence in other cancers that this reference depot does not contain; pruritus control, pain control and nutritional support are uncontroversial but untested here. The bundle is right; the grade was reading as though a trial had tested it.</w:t>
      </w:r>
    </w:p>
    <w:p>
      <w:pPr>
        <w:spacing w:after="40" w:line="276"/>
        <w:ind w:left="260"/>
      </w:pPr>
      <w:r>
        <w:rPr>
          <w:color w:val="5A6069"/>
          <w:sz w:val="16"/>
          <w:szCs w:val="16"/>
        </w:rPr>
        <w:t xml:space="preserve">Sources: ESGE 2026</w:t>
      </w:r>
    </w:p>
    <w:p>
      <w:pPr>
        <w:spacing w:after="60" w:before="160"/>
      </w:pPr>
      <w:r>
        <w:rPr>
          <w:b/>
          <w:bCs/>
          <w:color w:val="8E5008"/>
          <w:sz w:val="19"/>
          <w:szCs w:val="19"/>
        </w:rPr>
        <w:t xml:space="preserve">30. </w:t>
      </w:r>
      <w:r>
        <w:rPr>
          <w:b/>
          <w:bCs/>
          <w:sz w:val="19"/>
          <w:szCs w:val="19"/>
        </w:rPr>
        <w:t xml:space="preserve">Device-industry relationships run through most of the evidence this page depends on for drainage, stenting and cholangioscopy.</w:t>
      </w:r>
    </w:p>
    <w:p>
      <w:pPr>
        <w:spacing w:after="40" w:line="276"/>
        <w:ind w:left="260"/>
      </w:pPr>
      <w:r>
        <w:rPr>
          <w:color w:val="15181F"/>
          <w:sz w:val="18"/>
          <w:szCs w:val="18"/>
        </w:rPr>
        <w:t xml:space="preserve">Five ESGE 2026 authors declare consultancy, advisory or lecture relationships with stent manufacturers; many ASGE panel members declare the same across both the hilar-obstruction and the stricture-diagnosis guidelines; multiple ESGE 2025 panel members declare relationships with endoscopy device manufacturers; and the senior authors of the PSC meta-analysis that puts cholangioscopy first declare consultancy for the manufacturers of the cholangioscopy platforms. None of these guidelines was industry funded. This is not a reason to discount them, but it is a reason to read a strong recommendation on moderate evidence carefully, and it should be on the table when the programme ratifies a route or a stent default. One ASGE panel member on the hilar-obstruction guideline is at this institution.</w:t>
      </w:r>
    </w:p>
    <w:p>
      <w:pPr>
        <w:spacing w:after="40" w:line="276"/>
        <w:ind w:left="260"/>
      </w:pPr>
      <w:r>
        <w:rPr>
          <w:color w:val="5A6069"/>
          <w:sz w:val="16"/>
          <w:szCs w:val="16"/>
        </w:rPr>
        <w:t xml:space="preserve">Sources: ESGE 2026; ASGE hilar; ESGE 2025; Njei 2016</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programme open a perihilar transplant protocol, and under whose governance?</w:t>
            </w:r>
          </w:p>
        </w:tc>
        <w:tc>
          <w:tcPr>
            <w:tcW w:type="dxa" w:w="4740"/>
            <w:tcMar>
              <w:top w:type="dxa" w:w="70"/>
              <w:left w:type="dxa" w:w="110"/>
              <w:bottom w:type="dxa" w:w="70"/>
              <w:right w:type="dxa" w:w="110"/>
            </w:tcMar>
            <w:vAlign w:val="top"/>
          </w:tcPr>
          <w:p>
            <w:pPr>
              <w:spacing w:after="0" w:line="276"/>
            </w:pPr>
            <w:r>
              <w:rPr>
                <w:color w:val="15181F"/>
                <w:sz w:val="17"/>
                <w:szCs w:val="17"/>
              </w:rPr>
              <w:t xml:space="preserve">Supporting data are retrospective multicentre protocol experience with heavy selection. Graft stewardship is an institutional judgement.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Endoscopic or percutaneous drainage as the default first route?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randomised trial was negative on its primary endpoint (severe drainage-related complications 63% versus 67%, RR 0.94), enrolled 54 of a planned 106 patients and stopped early because mortality was higher after percutaneous drainage (41% versus 11%; cause unexplained, authors call the signal prone to type I error). Pooled across three trials 30-day mortality only trended lower with the endoscopic route (RR 0.53, 0.28–1.01). ESGE's own section gives percutaneous drainage higher therapeutic success (OR 3.5) and 11.5-fold less reintervention. Local endoscopic and interventional radiology expertise decides.</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Bilirubin threshold before major hepatectomy, embolic therapy, radiation, and systemic therapy.</w:t>
            </w:r>
          </w:p>
        </w:tc>
        <w:tc>
          <w:tcPr>
            <w:tcW w:type="dxa" w:w="4740"/>
            <w:tcMar>
              <w:top w:type="dxa" w:w="70"/>
              <w:left w:type="dxa" w:w="110"/>
              <w:bottom w:type="dxa" w:w="70"/>
              <w:right w:type="dxa" w:w="110"/>
            </w:tcMar>
            <w:vAlign w:val="top"/>
          </w:tcPr>
          <w:p>
            <w:pPr>
              <w:spacing w:after="0" w:line="276"/>
            </w:pPr>
            <w:r>
              <w:rPr>
                <w:color w:val="15181F"/>
                <w:sz w:val="17"/>
                <w:szCs w:val="17"/>
              </w:rPr>
              <w:t xml:space="preserve">No comparative data define the cut-off; it is a safety convention.</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Minimum annual volume for extended hepatectomy with biliary reconstruction at this centre.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Volume-outcome relationships are observational but consistent. The threshold is a governance choice. [EXPERTISE]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Adjuvant capecitabine — offered routinely, or case-by-case?</w:t>
            </w:r>
          </w:p>
        </w:tc>
        <w:tc>
          <w:tcPr>
            <w:tcW w:type="dxa" w:w="4740"/>
            <w:tcMar>
              <w:top w:type="dxa" w:w="70"/>
              <w:left w:type="dxa" w:w="110"/>
              <w:bottom w:type="dxa" w:w="70"/>
              <w:right w:type="dxa" w:w="110"/>
            </w:tcMar>
            <w:vAlign w:val="top"/>
          </w:tcPr>
          <w:p>
            <w:pPr>
              <w:spacing w:after="0" w:line="276"/>
            </w:pPr>
            <w:r>
              <w:rPr>
                <w:color w:val="15181F"/>
                <w:sz w:val="17"/>
                <w:szCs w:val="17"/>
              </w:rPr>
              <w:t xml:space="preserve">BILCAP's primary analysis was not significant and BCAT was null for gemcitabine in bile duct cancer specifically.</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How is tissue obtained in a potentially protocol-eligible patient?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A protocol condition, not an evidence question, but it requires a standing agreement so no one disqualifies a candidate inadvertently.</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Who owns drain management across services?</w:t>
            </w:r>
          </w:p>
        </w:tc>
        <w:tc>
          <w:tcPr>
            <w:tcW w:type="dxa" w:w="4740"/>
            <w:tcMar>
              <w:top w:type="dxa" w:w="70"/>
              <w:left w:type="dxa" w:w="110"/>
              <w:bottom w:type="dxa" w:w="70"/>
              <w:right w:type="dxa" w:w="110"/>
            </w:tcMar>
            <w:vAlign w:val="top"/>
          </w:tcPr>
          <w:p>
            <w:pPr>
              <w:spacing w:after="0" w:line="276"/>
            </w:pPr>
            <w:r>
              <w:rPr>
                <w:color w:val="15181F"/>
                <w:sz w:val="17"/>
                <w:szCs w:val="17"/>
              </w:rPr>
              <w:t xml:space="preserve">Not an evidence question. Uncoordinated drainage is a recognised failure pattern and needs a named owner.</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a molecular (next-generation sequencing) result on an ERCP-obtained specimen satisfy the transplant protocol's confirmed-malignancy condition?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published protocol criteria predate these data and do not address molecular confirmation. Diagnostic performance is now supported by a prospective multi-institutional study, but the protocol question is a governance decision, not an evidence one. [PAYER]</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9</w:t>
            </w:r>
          </w:p>
        </w:tc>
        <w:tc>
          <w:tcPr>
            <w:tcW w:type="dxa" w:w="4100"/>
            <w:tcMar>
              <w:top w:type="dxa" w:w="70"/>
              <w:left w:type="dxa" w:w="110"/>
              <w:bottom w:type="dxa" w:w="70"/>
              <w:right w:type="dxa" w:w="110"/>
            </w:tcMar>
            <w:vAlign w:val="top"/>
          </w:tcPr>
          <w:p>
            <w:pPr>
              <w:spacing w:after="0" w:line="276"/>
            </w:pPr>
            <w:r>
              <w:rPr>
                <w:color w:val="15181F"/>
                <w:sz w:val="17"/>
                <w:szCs w:val="17"/>
              </w:rPr>
              <w:t xml:space="preserve">Who owns subsequent NCCN and OPTN update checks, and on what cycle?</w:t>
            </w:r>
          </w:p>
        </w:tc>
        <w:tc>
          <w:tcPr>
            <w:tcW w:type="dxa" w:w="4740"/>
            <w:tcMar>
              <w:top w:type="dxa" w:w="70"/>
              <w:left w:type="dxa" w:w="110"/>
              <w:bottom w:type="dxa" w:w="70"/>
              <w:right w:type="dxa" w:w="110"/>
            </w:tcMar>
            <w:vAlign w:val="top"/>
          </w:tcPr>
          <w:p>
            <w:pPr>
              <w:spacing w:after="0" w:line="276"/>
            </w:pPr>
            <w:r>
              <w:rPr>
                <w:color w:val="15181F"/>
                <w:sz w:val="17"/>
                <w:szCs w:val="17"/>
              </w:rPr>
              <w:t xml:space="preserve">Source reconciliation is complete in this version. Assign an owner to verify subsequent editions and current allocation requirements, ratify the documented institutional positions, and maintain the update cycle.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Adjuvant chemoradiation after R0 resection with nodal metastases?</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NCCN places nodal involvement alongside margin status as a trigger for discussing chemoradiation; BSG 2023 limits its recommendation to R1 resection, and the node-positive benefit rests on retrospective meta-analysis.</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palliative drainage volume target does the programme adopt — NCCN's more than 50%, or ESGE 2026's ideally 70% or more?</w:t>
            </w:r>
          </w:p>
        </w:tc>
        <w:tc>
          <w:tcPr>
            <w:tcW w:type="dxa" w:w="4740"/>
            <w:tcMar>
              <w:top w:type="dxa" w:w="70"/>
              <w:left w:type="dxa" w:w="110"/>
              <w:bottom w:type="dxa" w:w="70"/>
              <w:right w:type="dxa" w:w="110"/>
            </w:tcMar>
            <w:vAlign w:val="top"/>
          </w:tcPr>
          <w:p>
            <w:pPr>
              <w:spacing w:after="0" w:line="276"/>
            </w:pPr>
            <w:r>
              <w:rPr>
                <w:color w:val="15181F"/>
                <w:sz w:val="17"/>
                <w:szCs w:val="17"/>
              </w:rPr>
              <w:t xml:space="preserve">Neither was derived. No comparative trial or meta-analysis has tested a percentage threshold, the supporting cohorts disagree (50%, 71%, 80%), and both guideline statements are graded low or very low quality. The choice is a planning convention and should be written down rather than left to the endoscopist at the index ERCP.</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first-line chemo-immunotherapy offered on the biliary-tract-wide result, given that the extrahepatic subgroup showed no effect?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KEYNOTE-966's extrahepatic subgroup hazard ratio was 0.99 (0.73–1.35) and the trial was enriched for intrahepatic disease; TOPAZ-1 was an interim analysis with a violated proportional hazards assumption and a 1.3-month median gain. The roadmap's position is to offer it; the group should agree how it is described to a perihilar patient, because the honest answer is an extrapolation.</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Bilateral or unilateral stenting as the default in palliative hilar obstruction?</w:t>
            </w:r>
          </w:p>
        </w:tc>
        <w:tc>
          <w:tcPr>
            <w:tcW w:type="dxa" w:w="4740"/>
            <w:tcMar>
              <w:top w:type="dxa" w:w="70"/>
              <w:left w:type="dxa" w:w="110"/>
              <w:bottom w:type="dxa" w:w="70"/>
              <w:right w:type="dxa" w:w="110"/>
            </w:tcMar>
            <w:vAlign w:val="top"/>
          </w:tcPr>
          <w:p>
            <w:pPr>
              <w:spacing w:after="0" w:line="276"/>
            </w:pPr>
            <w:r>
              <w:rPr>
                <w:color w:val="15181F"/>
                <w:sz w:val="17"/>
                <w:szCs w:val="17"/>
              </w:rPr>
              <w:t xml:space="preserve">ASGE suggests bilateral absent lobar atrophy on a pooled survival gain of 11 days (95% CI −12 to 35) and no pooled patency difference; one randomised trial reported in ESGE 2026 favours bilateral on patency. Both panels carry declared stent-manufacturer relationships. Without a default this is decided case by case by whoever is holding the scope.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FISH polysomy alone satisfy the programme's diagnostic threshold for entering a patient on the transplant protocol?</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Polysomy is a named protocol criterion, but its positive predictive value in primary sclerosing cholangitis is 0.68, roughly three in ten benign PSC strictures are positive on any FISH result, and all eight studies in the pooled estimate came from one centre with overlapping cohorts. Trisomy and tetrasomy alone must be excluded explicitly, since their positive likelihood ratio is 1.19. A written local rule prevents a benign stricture entering neoadjuvant chemoradiation.</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15</w:t>
            </w:r>
          </w:p>
        </w:tc>
        <w:tc>
          <w:tcPr>
            <w:tcW w:type="dxa" w:w="4100"/>
            <w:tcMar>
              <w:top w:type="dxa" w:w="70"/>
              <w:left w:type="dxa" w:w="110"/>
              <w:bottom w:type="dxa" w:w="70"/>
              <w:right w:type="dxa" w:w="110"/>
            </w:tcMar>
            <w:vAlign w:val="top"/>
          </w:tcPr>
          <w:p>
            <w:pPr>
              <w:spacing w:after="0" w:line="276"/>
            </w:pPr>
            <w:r>
              <w:rPr>
                <w:color w:val="15181F"/>
                <w:sz w:val="17"/>
                <w:szCs w:val="17"/>
              </w:rPr>
              <w:t xml:space="preserve">A written minimum for brush passes and intraductal biopsies at the index ERCP.</w:t>
            </w:r>
          </w:p>
        </w:tc>
        <w:tc>
          <w:tcPr>
            <w:tcW w:type="dxa" w:w="4740"/>
            <w:tcMar>
              <w:top w:type="dxa" w:w="70"/>
              <w:left w:type="dxa" w:w="110"/>
              <w:bottom w:type="dxa" w:w="70"/>
              <w:right w:type="dxa" w:w="110"/>
            </w:tcMar>
            <w:vAlign w:val="top"/>
          </w:tcPr>
          <w:p>
            <w:pPr>
              <w:spacing w:after="0" w:line="276"/>
            </w:pPr>
            <w:r>
              <w:rPr>
                <w:color w:val="15181F"/>
                <w:sz w:val="17"/>
                <w:szCs w:val="17"/>
              </w:rPr>
              <w:t xml:space="preserve">ESGE says three to four biopsies appear sufficient; the real-world cohort that took a median of three had 33% inconclusive specimens and 15% biopsy sensitivity, and its authors recommend at least four. Cytology sensitivity rises with passes — 38% at 10, 47% at 20, 57% at 30. This is the cheapest available improvement in yield on the one sampling route that does not jeopardise protocol candidacy.</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Left-sided versus right-sided hepatectomy where both would achieve R0.</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Milan consensus prefers left-sided hemihepatectomy on the grounds of lower morbidity, liver failure and mortality at equal oncological outcome, and favours left trisectionectomy in Bismuth-Corlette type 4. That sits at level-4 expert opinion, so it is a preference for the group to accept or decline rather than a rule to import.</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spacing w:after="120" w:line="276"/>
      </w:pPr>
      <w:r>
        <w:rPr>
          <w:color w:val="15181F"/>
          <w:sz w:val="20"/>
          <w:szCs w:val="20"/>
        </w:rPr>
        <w:t xml:space="preserve">Revised on 7 October 2026 (Batch 08) after a full-text read of this page's reference depot. All 39 PubMed-indexed references were read in full and abstracted with an independent critique: 19 from the perihilar cholangiocarcinoma depot and 20 shared papers drawn from the intrahepatic CCA depot, which supplies the biliary systemic-therapy trials (ABC-02, TOPAZ-1, KEYNOTE-966, ABC-06, BILCAP, BCAT, PRODIGE-12, ASCOT), the targeted-therapy trials (ClarIDHy, FIGHT-202, FOENIX-CCA2, ROAR, HERIZON-BTC-01), the hepatic arterial infusion trial, the AASLD, BSG, ESMO 2023 and ESMO 2024 interim guidelines, and the two next-generation sequencing studies from the developing centre. Three limits of that read should be named rather than implied. First, one reference is effectively abstract-level: in Gillmeister 2026 (PMID 42698384, a brief report) the Results section did not survive text extraction, so every figure quoted from it comes from its Table 1, abstract and Discussion and is expressed per biopsy rather than per patient, and its patient count, malignancy prevalence and PSC subgroup size could not be read. Second, several linked editorials and correspondence were identified in PubMed but not obtained in full, so no critique point on this page is attributed to them: Alipour's editorial on Bardhi 2025 (PMID 40518235), Bridgewater, Webster and Amin's comment on the DRAINAGE trial (PMID 30122357), the four ABC-06 correspondence letters, and the paywalled Lancet Oncology comments on ClarIDHy, where the cost-of-benefit point is reported second-hand and should be treated as provisional. Third, SWOG S0809 was first cited as quoted by BSG 2023; its primary report (Ben-Josef, J Clin Oncol 2015, PMID 25964250) was read in full on 29 October 2026, and the non-PubMed sources — NCCN Biliary Tract Cancers v1.2026, OPTN Policy 9, the OPTN review-board guidance, the UTHealth protocol v2, the HOPE4LIVER one-year update, the roadmap itself and its alignment worksheet — were read as documents but not abstracted or critiqued in the same way. Where a figure in the earlier draft could not be traced to any of these sources it has been replaced with one that can, and the removals are visible in the text: the reported incidence split for IDH1 between intrahepatic and extrahepatic disease, and a per-site adjuvant hazard ratio for hilar tumours, are both gone. Built from the Memorial Hermann Perihilar Cholangiocarcinoma System Roadmap, Draft v0.6, dated 4 October 2026 (with the liver-directed treatment revision of 3 October 2026), and its companion Guideline alignment worksheet of the same version and date, which compares AASLD 2023, BSG 2023, the ESMO 2024 interim update, the Asia-Pacific 2024 consensus, OPTN policy and review-board guidance, and NCCN Biliary Tract Cancers v1.2026 (10 March 2026) across sixteen areas. The gates follow the roadmap's own sequence: §2 (its Gate 0, drainage), §3 (define the extent), §4 and §4.1 (tissue and route), §5 (its Gate 1, resectable disease), §6 (its Gate 2, the transplant protocol), and §7 (its Gates 3 and 4). Allocation criteria are from OPTN Policy 9.5.A and 9.4.C–E, official PDF checked 1 October 2026, with the programme's own standard perihilar CCA protocol v2 (policy review 16 July 2026). Perihilar cholangiocarcinoma has no column in the liver-directed therapy matrix, so that section is omitted and the modality positions appear as explicit avoid items instead. This revision changed grades as well as numbers. Forty-five evidence strings were rewritten and twenty-seven of them were regraded downward where the full-text critique did not support the grade assigned from study design, and the reason is given in each string's note; the page now carries one grade-A string where it previously carried seven. No recommendation was removed: the roadmap's positions stand, and the page's job is to say how well supported each one is. This page reproduces a draft pending multidisciplinary and institutional governance review: it is not active clinical policy, it does not replace clinician judgement, and every numeric criterion must be verified against the current source before use.</w:t>
      </w:r>
    </w:p>
    <w:p>
      <w:pPr>
        <w:pStyle w:val="Heading1"/>
        <w:widowControl/>
        <w:keepNext/>
      </w:pPr>
      <w:r>
        <w:t xml:space="preserve">Systemic treatment matrix</w:t>
      </w:r>
    </w:p>
    <w:p>
      <w:pPr>
        <w:pStyle w:val="Normal"/>
        <w:widowControl/>
        <w:spacing w:after="120"/>
      </w:pPr>
      <w:r>
        <w:t xml:space="preserve">These systemic studies inform advanced biliary cancer care, not the established pCCA transplant-neoadjuvant regimen. Preserve biopsy-route precautions and existing staging, neoadjuvant and operative gates. ICI exposure requires prospective transplant safety review.</w:t>
      </w:r>
    </w:p>
    <w:p>
      <w:pPr>
        <w:pStyle w:val="Heading2"/>
        <w:widowControl/>
        <w:keepNext/>
      </w:pPr>
      <w:r>
        <w:t xml:space="preserve">Regimen, setting and 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Capecitabine</w:t>
            </w:r>
          </w:p>
          <w:p>
            <w:pPr>
              <w:pStyle w:val="Normal"/>
              <w:widowControl/>
              <w:spacing w:after="55" w:line="240" w:lineRule="auto"/>
              <w:keepNext w:val="0"/>
              <w:keepLines/>
            </w:pPr>
            <w:r>
              <w:rPr>
                <w:sz w:val="21"/>
                <w:szCs w:val="21"/>
              </w:rPr>
              <w:t xml:space="preserve">After curative resection</w:t>
            </w:r>
          </w:p>
        </w:tc>
        <w:tc>
          <w:tcPr>
            <w:tcW w:w="4000" w:type="dxa"/>
            <w:vAlign w:val="top"/>
            <w:shd w:fill="F1F5F8"/>
          </w:tcPr>
          <w:p>
            <w:pPr>
              <w:pStyle w:val="Normal"/>
              <w:widowControl/>
              <w:spacing w:after="55" w:line="240" w:lineRule="auto"/>
              <w:keepNext w:val="0"/>
              <w:keepLines/>
            </w:pPr>
            <w:r>
              <w:rPr>
                <w:sz w:val="21"/>
                <w:szCs w:val="21"/>
              </w:rPr>
              <w:t xml:space="preserve">Consider approximately six months after R0/R1 resection of biliary tract cancer when recovery and organ function permit. Separate margin-directed radiation discussion from systemic treatment.</w:t>
            </w:r>
          </w:p>
        </w:tc>
        <w:tc>
          <w:tcPr>
            <w:tcW w:w="4180" w:type="dxa"/>
            <w:vAlign w:val="top"/>
            <w:shd w:fill="F1F5F8"/>
          </w:tcPr>
          <w:p>
            <w:pPr>
              <w:pStyle w:val="Normal"/>
              <w:widowControl/>
              <w:spacing w:after="55" w:line="240" w:lineRule="auto"/>
              <w:keepNext w:val="0"/>
              <w:keepLines/>
            </w:pPr>
            <w:r>
              <w:rPr>
                <w:sz w:val="21"/>
                <w:szCs w:val="21"/>
              </w:rPr>
              <w:t xml:space="preserve">BILCAP did not meet its primary intention-to-treat OS endpoint; sensitivity and per-protocol analyses supported the guideline recommendation. Not proof that every resected subgroup benefits equally.</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UzE0NzAtMjA0NSgxOCkzMDkxNS1Y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2RjYzU4MDktMGI3OC01NzljLWI2YTQtYzAzMzBjMzU4ODky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br/>
            </w:r>
            <w:hyperlink r:id="rId9">
              <w:r>
                <w:rPr>
                  <w:color w:val="0563C1"/>
                  <w:u w:val="single"/>
                </w:rPr>
                <w:t>Source</w:t>
              </w:r>
            </w:hyperlink>
            <w:r>
              <w:t xml:space="preserve"> · </w:t>
            </w:r>
            <w:hyperlink r:id="rId10">
              <w:r>
                <w:rPr>
                  <w:color w:val="0563C1"/>
                  <w:u w:val="single"/>
                </w:rPr>
                <w:t>PDF</w:t>
              </w:r>
            </w:hyperlink>
            <w:r>
              <w:br/>
            </w:r>
            <w:hyperlink r:id="rId11">
              <w:r>
                <w:rPr>
                  <w:color w:val="0563C1"/>
                  <w:u w:val="single"/>
                </w:rPr>
                <w:t>Source</w:t>
              </w:r>
            </w:hyperlink>
            <w:r>
              <w:t xml:space="preserve"> · </w:t>
            </w:r>
            <w:hyperlink r:id="rId12">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Gemcitabine cisplatin durvalumab</w:t>
            </w:r>
          </w:p>
          <w:p>
            <w:pPr>
              <w:pStyle w:val="Normal"/>
              <w:widowControl/>
              <w:spacing w:after="55" w:line="240" w:lineRule="auto"/>
              <w:keepNext w:val="0"/>
              <w:keepLines/>
            </w:pPr>
            <w:r>
              <w:rPr>
                <w:sz w:val="21"/>
                <w:szCs w:val="21"/>
              </w:rPr>
              <w:t xml:space="preserve">Advanced first line</w:t>
            </w:r>
          </w:p>
        </w:tc>
        <w:tc>
          <w:tcPr>
            <w:tcW w:w="4000" w:type="dxa"/>
            <w:vAlign w:val="top"/>
            <w:shd w:fill="FFFFFF"/>
          </w:tcPr>
          <w:p>
            <w:pPr>
              <w:pStyle w:val="Normal"/>
              <w:widowControl/>
              <w:spacing w:after="55" w:line="240" w:lineRule="auto"/>
              <w:keepNext w:val="0"/>
              <w:keepLines/>
            </w:pPr>
            <w:r>
              <w:rPr>
                <w:sz w:val="21"/>
                <w:szCs w:val="21"/>
              </w:rPr>
              <w:t xml:space="preserve">Fit patient with unresectable or metastatic BTC, adequate drainage, no uncontrolled cholangitis and acceptable renal and immune status. Durvalumab maintenance follows the induction plan.</w:t>
            </w:r>
          </w:p>
        </w:tc>
        <w:tc>
          <w:tcPr>
            <w:tcW w:w="4180" w:type="dxa"/>
            <w:vAlign w:val="top"/>
            <w:shd w:fill="FFFFFF"/>
          </w:tcPr>
          <w:p>
            <w:pPr>
              <w:pStyle w:val="Normal"/>
              <w:widowControl/>
              <w:spacing w:after="55" w:line="240" w:lineRule="auto"/>
              <w:keepNext w:val="0"/>
              <w:keepLines/>
            </w:pPr>
            <w:r>
              <w:rPr>
                <w:sz w:val="21"/>
                <w:szCs w:val="21"/>
              </w:rPr>
              <w:t xml:space="preserve">TOPAZ-1 randomized phase III evidence improved OS versus GemCis alone. This is not the neoadjuvant chemoradiation regimen for a pCCA transplant candidate.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NTYvRVZJRG9hMjIwMDAx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2RjYzU4MDktMGI3OC01NzljLWI2YTQtYzAzMzBjMzU4ODky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3ZGNjNTgwOS0wYjc4LTU3OWMtYjZhNC1jMDMzMGMzNTg4OTI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13">
              <w:r>
                <w:rPr>
                  <w:color w:val="0563C1"/>
                  <w:u w:val="single"/>
                </w:rPr>
                <w:t>Source</w:t>
              </w:r>
            </w:hyperlink>
            <w:r>
              <w:t xml:space="preserve"> · </w:t>
            </w:r>
            <w:hyperlink r:id="rId14">
              <w:r>
                <w:rPr>
                  <w:color w:val="0563C1"/>
                  <w:u w:val="single"/>
                </w:rPr>
                <w:t>PDF</w:t>
              </w:r>
            </w:hyperlink>
            <w:r>
              <w:br/>
            </w:r>
            <w:hyperlink r:id="rId15">
              <w:r>
                <w:rPr>
                  <w:color w:val="0563C1"/>
                  <w:u w:val="single"/>
                </w:rPr>
                <w:t>Source</w:t>
              </w:r>
            </w:hyperlink>
            <w:r>
              <w:t xml:space="preserve"> · </w:t>
            </w:r>
            <w:hyperlink r:id="rId16">
              <w:r>
                <w:rPr>
                  <w:color w:val="0563C1"/>
                  <w:u w:val="single"/>
                </w:rPr>
                <w:t>PDF</w:t>
              </w:r>
            </w:hyperlink>
            <w:r>
              <w:br/>
            </w:r>
            <w:hyperlink r:id="rId17">
              <w:r>
                <w:rPr>
                  <w:color w:val="0563C1"/>
                  <w:u w:val="single"/>
                </w:rPr>
                <w:t>Source</w:t>
              </w:r>
            </w:hyperlink>
            <w:r>
              <w:t xml:space="preserve"> · </w:t>
            </w:r>
            <w:hyperlink r:id="rId18">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Gemcitabine cisplatin pembrolizumab</w:t>
            </w:r>
          </w:p>
          <w:p>
            <w:pPr>
              <w:pStyle w:val="Normal"/>
              <w:widowControl/>
              <w:spacing w:after="55" w:line="240" w:lineRule="auto"/>
              <w:keepNext w:val="0"/>
              <w:keepLines/>
            </w:pPr>
            <w:r>
              <w:rPr>
                <w:sz w:val="21"/>
                <w:szCs w:val="21"/>
              </w:rPr>
              <w:t xml:space="preserve">Advanced first line</w:t>
            </w:r>
          </w:p>
        </w:tc>
        <w:tc>
          <w:tcPr>
            <w:tcW w:w="4000" w:type="dxa"/>
            <w:vAlign w:val="top"/>
            <w:shd w:fill="F1F5F8"/>
          </w:tcPr>
          <w:p>
            <w:pPr>
              <w:pStyle w:val="Normal"/>
              <w:widowControl/>
              <w:spacing w:after="55" w:line="240" w:lineRule="auto"/>
              <w:keepNext w:val="0"/>
              <w:keepLines/>
            </w:pPr>
            <w:r>
              <w:rPr>
                <w:sz w:val="21"/>
                <w:szCs w:val="21"/>
              </w:rPr>
              <w:t xml:space="preserve">An alternative chemo-immunotherapy backbone under the same drainage, renal and immune assessment. Do not combine the two checkpoint agents or assume identical chemotherapy duration.</w:t>
            </w:r>
          </w:p>
        </w:tc>
        <w:tc>
          <w:tcPr>
            <w:tcW w:w="4180" w:type="dxa"/>
            <w:vAlign w:val="top"/>
            <w:shd w:fill="F1F5F8"/>
          </w:tcPr>
          <w:p>
            <w:pPr>
              <w:pStyle w:val="Normal"/>
              <w:widowControl/>
              <w:spacing w:after="55" w:line="240" w:lineRule="auto"/>
              <w:keepNext w:val="0"/>
              <w:keepLines/>
            </w:pPr>
            <w:r>
              <w:rPr>
                <w:sz w:val="21"/>
                <w:szCs w:val="21"/>
              </w:rPr>
              <w:t xml:space="preserve">KEYNOTE-966: OS 12.7 versus 10.9 months, HR 0.83. No head-to-head comparison with TOPAZ-1; treatment duration and populations differ.</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1MwMTQwLTY3MzYoMjMpMDA3MjctN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2RjYzU4MDktMGI3OC01NzljLWI2YTQtYzAzMzBjMzU4ODky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3ZGNjNTgwOS0wYjc4LTU3OWMtYjZhNC1jMDMzMGMzNTg4OTI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19">
              <w:r>
                <w:rPr>
                  <w:color w:val="0563C1"/>
                  <w:u w:val="single"/>
                </w:rPr>
                <w:t>Source</w:t>
              </w:r>
            </w:hyperlink>
            <w:r>
              <w:t xml:space="preserve"> · </w:t>
            </w:r>
            <w:hyperlink r:id="rId20">
              <w:r>
                <w:rPr>
                  <w:color w:val="0563C1"/>
                  <w:u w:val="single"/>
                </w:rPr>
                <w:t>PDF</w:t>
              </w:r>
            </w:hyperlink>
            <w:r>
              <w:br/>
            </w:r>
            <w:hyperlink r:id="rId21">
              <w:r>
                <w:rPr>
                  <w:color w:val="0563C1"/>
                  <w:u w:val="single"/>
                </w:rPr>
                <w:t>Source</w:t>
              </w:r>
            </w:hyperlink>
            <w:r>
              <w:t xml:space="preserve"> · </w:t>
            </w:r>
            <w:hyperlink r:id="rId22">
              <w:r>
                <w:rPr>
                  <w:color w:val="0563C1"/>
                  <w:u w:val="single"/>
                </w:rPr>
                <w:t>PDF</w:t>
              </w:r>
            </w:hyperlink>
            <w:r>
              <w:br/>
            </w:r>
            <w:hyperlink r:id="rId23">
              <w:r>
                <w:rPr>
                  <w:color w:val="0563C1"/>
                  <w:u w:val="single"/>
                </w:rPr>
                <w:t>Source</w:t>
              </w:r>
            </w:hyperlink>
            <w:r>
              <w:t xml:space="preserve"> · </w:t>
            </w:r>
            <w:hyperlink r:id="rId24">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Gemcitabine cisplatin without ICI</w:t>
            </w:r>
          </w:p>
          <w:p>
            <w:pPr>
              <w:pStyle w:val="Normal"/>
              <w:widowControl/>
              <w:spacing w:after="55" w:line="240" w:lineRule="auto"/>
              <w:keepNext w:val="0"/>
              <w:keepLines/>
            </w:pPr>
            <w:r>
              <w:rPr>
                <w:sz w:val="21"/>
                <w:szCs w:val="21"/>
              </w:rPr>
              <w:t xml:space="preserve">Selected first line</w:t>
            </w:r>
          </w:p>
        </w:tc>
        <w:tc>
          <w:tcPr>
            <w:tcW w:w="4000" w:type="dxa"/>
            <w:vAlign w:val="top"/>
            <w:shd w:fill="FFFFFF"/>
          </w:tcPr>
          <w:p>
            <w:pPr>
              <w:pStyle w:val="Normal"/>
              <w:widowControl/>
              <w:spacing w:after="55" w:line="240" w:lineRule="auto"/>
              <w:keepNext w:val="0"/>
              <w:keepLines/>
            </w:pPr>
            <w:r>
              <w:rPr>
                <w:sz w:val="21"/>
                <w:szCs w:val="21"/>
              </w:rPr>
              <w:t xml:space="preserve">When checkpoint therapy is unsuitable, including selected transplant-intent situations after joint review. Renal dysfunction or hearing impairment may require a different platinum plan; frailty may favor gemcitabine alone or symptom-focused care.</w:t>
            </w:r>
          </w:p>
        </w:tc>
        <w:tc>
          <w:tcPr>
            <w:tcW w:w="4180" w:type="dxa"/>
            <w:vAlign w:val="top"/>
            <w:shd w:fill="FFFFFF"/>
          </w:tcPr>
          <w:p>
            <w:pPr>
              <w:pStyle w:val="Normal"/>
              <w:widowControl/>
              <w:spacing w:after="55" w:line="240" w:lineRule="auto"/>
              <w:keepNext w:val="0"/>
              <w:keepLines/>
            </w:pPr>
            <w:r>
              <w:rPr>
                <w:sz w:val="21"/>
                <w:szCs w:val="21"/>
              </w:rPr>
              <w:t xml:space="preserve">ABC-02 established GemCis over gemcitabine alone. Substitution with oxaliplatin or carboplatin is not the exact TOPAZ-1 or KEYNOTE-966 regimen and requires an explicit rationale.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A5MDg3MjE8L3VybD48L3JlbGF0ZWQtdXJscz48cGRmLXVybHMvPjwvdXJscz48L3JlY29yZD48L0NpdGU+PC9FbmROb3RlPg==</w:fldData>
              </w:fldChar>
            </w:r>
            <w:r>
              <w:instrText xml:space="preserve"> ADDIN EN.CITE.DATA </w:instrText>
            </w:r>
            <w:r>
              <w:fldChar w:fldCharType="end"/>
            </w:r>
            <w:r>
              <w:fldChar w:fldCharType="separate"/>
            </w:r>
            <w:r>
              <w:t xml:space="preserve">[V16-6]</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2RjYzU4MDktMGI3OC01NzljLWI2YTQtYzAzMzBjMzU4ODky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3ZGNjNTgwOS0wYjc4LTU3OWMtYjZhNC1jMDMzMGMzNTg4OTI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25">
              <w:r>
                <w:rPr>
                  <w:color w:val="0563C1"/>
                  <w:u w:val="single"/>
                </w:rPr>
                <w:t>Source</w:t>
              </w:r>
            </w:hyperlink>
            <w:r>
              <w:t xml:space="preserve"> · </w:t>
            </w:r>
            <w:hyperlink r:id="rId26">
              <w:r>
                <w:rPr>
                  <w:color w:val="0563C1"/>
                  <w:u w:val="single"/>
                </w:rPr>
                <w:t>PDF</w:t>
              </w:r>
            </w:hyperlink>
            <w:r>
              <w:br/>
            </w:r>
            <w:hyperlink r:id="rId27">
              <w:r>
                <w:rPr>
                  <w:color w:val="0563C1"/>
                  <w:u w:val="single"/>
                </w:rPr>
                <w:t>Source</w:t>
              </w:r>
            </w:hyperlink>
            <w:r>
              <w:t xml:space="preserve"> · </w:t>
            </w:r>
            <w:hyperlink r:id="rId28">
              <w:r>
                <w:rPr>
                  <w:color w:val="0563C1"/>
                  <w:u w:val="single"/>
                </w:rPr>
                <w:t>PDF</w:t>
              </w:r>
            </w:hyperlink>
            <w:r>
              <w:br/>
            </w:r>
            <w:hyperlink r:id="rId29">
              <w:r>
                <w:rPr>
                  <w:color w:val="0563C1"/>
                  <w:u w:val="single"/>
                </w:rPr>
                <w:t>Source</w:t>
              </w:r>
            </w:hyperlink>
            <w:r>
              <w:t xml:space="preserve"> · </w:t>
            </w:r>
            <w:hyperlink r:id="rId30">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FOLFOX</w:t>
            </w:r>
          </w:p>
          <w:p>
            <w:pPr>
              <w:pStyle w:val="Normal"/>
              <w:widowControl/>
              <w:spacing w:after="55" w:line="240" w:lineRule="auto"/>
              <w:keepNext w:val="0"/>
              <w:keepLines/>
            </w:pPr>
            <w:r>
              <w:rPr>
                <w:sz w:val="21"/>
                <w:szCs w:val="21"/>
              </w:rPr>
              <w:t xml:space="preserve">After progression</w:t>
            </w:r>
          </w:p>
        </w:tc>
        <w:tc>
          <w:tcPr>
            <w:tcW w:w="4000" w:type="dxa"/>
            <w:vAlign w:val="top"/>
            <w:shd w:fill="F1F5F8"/>
          </w:tcPr>
          <w:p>
            <w:pPr>
              <w:pStyle w:val="Normal"/>
              <w:widowControl/>
              <w:spacing w:after="55" w:line="240" w:lineRule="auto"/>
              <w:keepNext w:val="0"/>
              <w:keepLines/>
            </w:pPr>
            <w:r>
              <w:rPr>
                <w:sz w:val="21"/>
                <w:szCs w:val="21"/>
              </w:rPr>
              <w:t xml:space="preserve">For a fit patient after GemCis-based treatment without a preferable molecular option. Recheck performance status, neuropathy, biliary sepsis and goals before second-line treatment.</w:t>
            </w:r>
          </w:p>
          <w:p>
            <w:pPr>
              <w:pStyle w:val="Normal"/>
              <w:widowControl/>
              <w:spacing w:after="55" w:line="240" w:lineRule="auto"/>
              <w:keepNext w:val="0"/>
              <w:keepLines/>
            </w:pPr>
            <w:r>
              <w:rPr>
                <w:sz w:val="21"/>
                <w:szCs w:val="21"/>
              </w:rP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p>
        </w:tc>
        <w:tc>
          <w:tcPr>
            <w:tcW w:w="4180" w:type="dxa"/>
            <w:vAlign w:val="top"/>
            <w:shd w:fill="F1F5F8"/>
          </w:tcPr>
          <w:p>
            <w:pPr>
              <w:pStyle w:val="Normal"/>
              <w:widowControl/>
              <w:spacing w:after="55" w:line="240" w:lineRule="auto"/>
              <w:keepNext w:val="0"/>
              <w:keepLines/>
            </w:pPr>
            <w:r>
              <w:rPr>
                <w:sz w:val="21"/>
                <w:szCs w:val="21"/>
              </w:rPr>
              <w:t xml:space="preserve">Broad tissue DNA/RNA profiling, MMR and HER2 testing at diagnosis. For eligible MSS/pMMR disease: GemCis plus durvalumab or pembrolizumab (high-quality/strong); GemCis without ICI if unsuitable (conditional). After progression without an actionable target: FOLFOX plus active symptom control or active symptom control alone (conditional). For oxaliplatin-ineligible patients, irinotecan/nal-IRI-based options have low-quality conditional support, not equal default status. Rare targets often rely on small basket cohorts. Accepted-manuscript tables/narrative contain inconsistent estimates; primary trial results govern this update.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TMTQ3MC0yMDQ1KDIxKTAwMDI3LTk8L3VybD48L3JlbGF0ZWQtdXJscz48cGRmLXVybHMvPjwvdXJscz48L3JlY29yZD48L0NpdGU+PC9FbmROb3RlPg==</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3ZGNjNTgwOS0wYjc4LTU3OWMtYjZhNC1jMDMzMGMzNTg4OTI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31">
              <w:r>
                <w:rPr>
                  <w:color w:val="0563C1"/>
                  <w:u w:val="single"/>
                </w:rPr>
                <w:t>Source</w:t>
              </w:r>
            </w:hyperlink>
            <w:r>
              <w:t xml:space="preserve"> · </w:t>
            </w:r>
            <w:hyperlink r:id="rId32">
              <w:r>
                <w:rPr>
                  <w:color w:val="0563C1"/>
                  <w:u w:val="single"/>
                </w:rPr>
                <w:t>PDF</w:t>
              </w:r>
            </w:hyperlink>
            <w:r>
              <w:br/>
            </w:r>
            <w:hyperlink r:id="rId33">
              <w:r>
                <w:rPr>
                  <w:color w:val="0563C1"/>
                  <w:u w:val="single"/>
                </w:rPr>
                <w:t>Source</w:t>
              </w:r>
            </w:hyperlink>
            <w:r>
              <w:t xml:space="preserve"> · </w:t>
            </w:r>
            <w:hyperlink r:id="rId34">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Liposomal irinotecan plus fluorouracil leucovorin</w:t>
            </w:r>
          </w:p>
          <w:p>
            <w:pPr>
              <w:pStyle w:val="Normal"/>
              <w:widowControl/>
              <w:spacing w:after="55" w:line="240" w:lineRule="auto"/>
              <w:keepNext w:val="0"/>
              <w:keepLines/>
            </w:pPr>
            <w:r>
              <w:rPr>
                <w:sz w:val="21"/>
                <w:szCs w:val="21"/>
              </w:rPr>
              <w:t xml:space="preserve">Selected later line</w:t>
            </w:r>
          </w:p>
        </w:tc>
        <w:tc>
          <w:tcPr>
            <w:tcW w:w="4000" w:type="dxa"/>
            <w:vAlign w:val="top"/>
            <w:shd w:fill="FFFFFF"/>
          </w:tcPr>
          <w:p>
            <w:pPr>
              <w:pStyle w:val="Normal"/>
              <w:widowControl/>
              <w:spacing w:after="55" w:line="240" w:lineRule="auto"/>
              <w:keepNext w:val="0"/>
              <w:keepLines/>
            </w:pPr>
            <w:r>
              <w:rPr>
                <w:sz w:val="21"/>
                <w:szCs w:val="21"/>
              </w:rPr>
              <w:t xml:space="preserve">Discuss only with an explicit explanation of the inconsistent randomized evidence, prior irinotecan exposure, bilirubin and diarrhea risk. Not an interchangeable default with FOLFOX.</w:t>
            </w:r>
          </w:p>
          <w:p>
            <w:pPr>
              <w:pStyle w:val="Normal"/>
              <w:widowControl/>
              <w:spacing w:after="55" w:line="240" w:lineRule="auto"/>
              <w:keepNext w:val="0"/>
              <w:keepLines/>
            </w:pPr>
            <w:r>
              <w:rPr>
                <w:sz w:val="21"/>
                <w:szCs w:val="21"/>
              </w:rPr>
              <w:t xml:space="preserve">Show NALIRICC alongside NIFTY. Do not call nal-IRI/5-FU an unqualified preferred second-line BTC regimen. Consider only a qualified alternative after target review, especially if oxaliplatin is unsuitable, with explicit benefit/toxicity discussion.</w:t>
            </w:r>
          </w:p>
        </w:tc>
        <w:tc>
          <w:tcPr>
            <w:tcW w:w="4180" w:type="dxa"/>
            <w:vAlign w:val="top"/>
            <w:shd w:fill="FFFFFF"/>
          </w:tcPr>
          <w:p>
            <w:pPr>
              <w:pStyle w:val="Normal"/>
              <w:widowControl/>
              <w:spacing w:after="55" w:line="240" w:lineRule="auto"/>
              <w:keepNext w:val="0"/>
              <w:keepLines/>
            </w:pPr>
            <w:r>
              <w:rPr>
                <w:sz w:val="21"/>
                <w:szCs w:val="21"/>
              </w:rPr>
              <w:t xml:space="preserve">PFS 2.6 versus 2.3 months, HR 0.87 (0.56–1.35); OS 6.9 versus 8.2 months, HR 1.08 (0.68–1.72). ORR 14% versus 4% did not translate into PFS/OS benefit. Grade ≥3 events 71% versus 50%; treatment-related serious events 33% versus 2%. Small phase II trial; subsequent therapy differed (more control patients received later therapy). This does not erase the negative primary PFS result. Contrasts with positive NIFTY; population and treatment differences do not resolve the inconsistency.</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2RjYzU4MDktMGI3OC01NzljLWI2YTQtYzAzMzBjMzU4ODky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3ZGNjNTgwOS0wYjc4LTU3OWMtYjZhNC1jMDMzMGMzNTg4OTI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35">
              <w:r>
                <w:rPr>
                  <w:color w:val="0563C1"/>
                  <w:u w:val="single"/>
                </w:rPr>
                <w:t>Source</w:t>
              </w:r>
            </w:hyperlink>
            <w:r>
              <w:t xml:space="preserve"> · </w:t>
            </w:r>
            <w:hyperlink r:id="rId36">
              <w:r>
                <w:rPr>
                  <w:color w:val="0563C1"/>
                  <w:u w:val="single"/>
                </w:rPr>
                <w:t>PDF</w:t>
              </w:r>
            </w:hyperlink>
            <w:r>
              <w:br/>
            </w:r>
            <w:hyperlink r:id="rId37">
              <w:r>
                <w:rPr>
                  <w:color w:val="0563C1"/>
                  <w:u w:val="single"/>
                </w:rPr>
                <w:t>Source</w:t>
              </w:r>
            </w:hyperlink>
            <w:r>
              <w:t xml:space="preserve"> · </w:t>
            </w:r>
            <w:hyperlink r:id="rId38">
              <w:r>
                <w:rPr>
                  <w:color w:val="0563C1"/>
                  <w:u w:val="single"/>
                </w:rPr>
                <w:t>PDF</w:t>
              </w:r>
            </w:hyperlink>
            <w:r>
              <w:br/>
            </w:r>
            <w:hyperlink r:id="rId39">
              <w:r>
                <w:rPr>
                  <w:color w:val="0563C1"/>
                  <w:u w:val="single"/>
                </w:rPr>
                <w:t>Source</w:t>
              </w:r>
            </w:hyperlink>
            <w:r>
              <w:t xml:space="preserve"> · </w:t>
            </w:r>
            <w:hyperlink r:id="rId40">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Pemigatinib or futibatinib</w:t>
            </w:r>
          </w:p>
          <w:p>
            <w:pPr>
              <w:pStyle w:val="Normal"/>
              <w:widowControl/>
              <w:spacing w:after="55" w:line="240" w:lineRule="auto"/>
              <w:keepNext w:val="0"/>
              <w:keepLines/>
            </w:pPr>
            <w:r>
              <w:rPr>
                <w:sz w:val="21"/>
                <w:szCs w:val="21"/>
              </w:rPr>
              <w:t xml:space="preserve">FGFR2 fusion or rearrangement</w:t>
            </w:r>
          </w:p>
        </w:tc>
        <w:tc>
          <w:tcPr>
            <w:tcW w:w="4000" w:type="dxa"/>
            <w:vAlign w:val="top"/>
            <w:shd w:fill="F1F5F8"/>
          </w:tcPr>
          <w:p>
            <w:pPr>
              <w:pStyle w:val="Normal"/>
              <w:widowControl/>
              <w:spacing w:after="55" w:line="240" w:lineRule="auto"/>
              <w:keepNext w:val="0"/>
              <w:keepLines/>
            </w:pPr>
            <w:r>
              <w:rPr>
                <w:sz w:val="21"/>
                <w:szCs w:val="21"/>
              </w:rPr>
              <w:t xml:space="preserve">After prior systemic therapy in the eligible molecular population; the futibatinib indication is iCCA. Confirm a qualifying fusion or rearrangement, not an arbitrary FGFR mutation. Monitor phosphate and ocular toxicity.</w:t>
            </w:r>
          </w:p>
        </w:tc>
        <w:tc>
          <w:tcPr>
            <w:tcW w:w="4180" w:type="dxa"/>
            <w:vAlign w:val="top"/>
            <w:shd w:fill="F1F5F8"/>
          </w:tcPr>
          <w:p>
            <w:pPr>
              <w:pStyle w:val="Normal"/>
              <w:widowControl/>
              <w:spacing w:after="55" w:line="240" w:lineRule="auto"/>
              <w:keepNext w:val="0"/>
              <w:keepLines/>
            </w:pPr>
            <w:r>
              <w:rPr>
                <w:sz w:val="21"/>
                <w:szCs w:val="21"/>
              </w:rPr>
              <w:t xml:space="preserve">FIGHT-202 and FOENIX-CCA2 are single-arm studies. Response and disease-control evidence do not establish a preferred FGFR drug, first-line superiority or efficacy after every prior FGFR inhibitor.</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ai5lc21vb3AuMjAyNC4xMDM0ODg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r>
              <w:t xml:space="preserve"> </w:t>
            </w:r>
            <w:r>
              <w:t xml:space="preserve"> </w:t>
            </w:r>
            <w:r>
              <w:fldChar w:fldCharType="begin"/>
            </w:r>
            <w:r>
              <w:instrText xml:space="preserve"> ADDIN EN.CITE </w:instrText>
            </w:r>
            <w:r>
              <w:fldChar w:fldCharType="begin">
                <w:fldData>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NTYvTkVKTW9hMjIwNjgzND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3ZGNjNTgwOS0wYjc4LTU3OWMtYjZhNC1jMDMzMGMzNTg4OTI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41">
              <w:r>
                <w:rPr>
                  <w:color w:val="0563C1"/>
                  <w:u w:val="single"/>
                </w:rPr>
                <w:t>Source</w:t>
              </w:r>
            </w:hyperlink>
            <w:r>
              <w:t xml:space="preserve"> · </w:t>
            </w:r>
            <w:hyperlink r:id="rId42">
              <w:r>
                <w:rPr>
                  <w:color w:val="0563C1"/>
                  <w:u w:val="single"/>
                </w:rPr>
                <w:t>PDF</w:t>
              </w:r>
            </w:hyperlink>
            <w:r>
              <w:br/>
            </w:r>
            <w:hyperlink r:id="rId43">
              <w:r>
                <w:rPr>
                  <w:color w:val="0563C1"/>
                  <w:u w:val="single"/>
                </w:rPr>
                <w:t>Source</w:t>
              </w:r>
            </w:hyperlink>
            <w:r>
              <w:t xml:space="preserve"> · </w:t>
            </w:r>
            <w:hyperlink r:id="rId44">
              <w:r>
                <w:rPr>
                  <w:color w:val="0563C1"/>
                  <w:u w:val="single"/>
                </w:rPr>
                <w:t>PDF</w:t>
              </w:r>
            </w:hyperlink>
            <w:r>
              <w:br/>
            </w:r>
            <w:hyperlink r:id="rId45">
              <w:r>
                <w:rPr>
                  <w:color w:val="0563C1"/>
                  <w:u w:val="single"/>
                </w:rPr>
                <w:t>Source</w:t>
              </w:r>
            </w:hyperlink>
            <w:r>
              <w:t xml:space="preserve"> · </w:t>
            </w:r>
            <w:hyperlink r:id="rId46">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Ivosidenib</w:t>
            </w:r>
          </w:p>
          <w:p>
            <w:pPr>
              <w:pStyle w:val="Normal"/>
              <w:widowControl/>
              <w:spacing w:after="55" w:line="240" w:lineRule="auto"/>
              <w:keepNext w:val="0"/>
              <w:keepLines/>
            </w:pPr>
            <w:r>
              <w:rPr>
                <w:sz w:val="21"/>
                <w:szCs w:val="21"/>
              </w:rPr>
              <w:t xml:space="preserve">IDH1 mutated CCA</w:t>
            </w:r>
          </w:p>
        </w:tc>
        <w:tc>
          <w:tcPr>
            <w:tcW w:w="4000" w:type="dxa"/>
            <w:vAlign w:val="top"/>
            <w:shd w:fill="FFFFFF"/>
          </w:tcPr>
          <w:p>
            <w:pPr>
              <w:pStyle w:val="Normal"/>
              <w:widowControl/>
              <w:spacing w:after="55" w:line="240" w:lineRule="auto"/>
              <w:keepNext w:val="0"/>
              <w:keepLines/>
            </w:pPr>
            <w:r>
              <w:rPr>
                <w:sz w:val="21"/>
                <w:szCs w:val="21"/>
              </w:rPr>
              <w:t xml:space="preserve">Previously treated advanced CCA with a susceptible IDH1 mutation. Review QT interval, interacting drugs and ability to take oral therapy.</w:t>
            </w:r>
          </w:p>
        </w:tc>
        <w:tc>
          <w:tcPr>
            <w:tcW w:w="4180" w:type="dxa"/>
            <w:vAlign w:val="top"/>
            <w:shd w:fill="FFFFFF"/>
          </w:tcPr>
          <w:p>
            <w:pPr>
              <w:pStyle w:val="Normal"/>
              <w:widowControl/>
              <w:spacing w:after="55" w:line="240" w:lineRule="auto"/>
              <w:keepNext w:val="0"/>
              <w:keepLines/>
            </w:pPr>
            <w:r>
              <w:rPr>
                <w:sz w:val="21"/>
                <w:szCs w:val="21"/>
              </w:rPr>
              <w:t xml:space="preserve">ClarIDHy randomized evidence improved PFS. Crossover complicates OS interpretation; do not equate a disease-control benefit with a high tumor-shrinkage rate.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AxL2phbWFvbmNvbC4yMDIxLjM4MzY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2RjYzU4MDktMGI3OC01NzljLWI2YTQtYzAzMzBjMzU4ODky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3ZGNjNTgwOS0wYjc4LTU3OWMtYjZhNC1jMDMzMGMzNTg4OTI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47">
              <w:r>
                <w:rPr>
                  <w:color w:val="0563C1"/>
                  <w:u w:val="single"/>
                </w:rPr>
                <w:t>Source</w:t>
              </w:r>
            </w:hyperlink>
            <w:r>
              <w:t xml:space="preserve"> · </w:t>
            </w:r>
            <w:hyperlink r:id="rId48">
              <w:r>
                <w:rPr>
                  <w:color w:val="0563C1"/>
                  <w:u w:val="single"/>
                </w:rPr>
                <w:t>PDF</w:t>
              </w:r>
            </w:hyperlink>
            <w:r>
              <w:br/>
            </w:r>
            <w:hyperlink r:id="rId49">
              <w:r>
                <w:rPr>
                  <w:color w:val="0563C1"/>
                  <w:u w:val="single"/>
                </w:rPr>
                <w:t>Source</w:t>
              </w:r>
            </w:hyperlink>
            <w:r>
              <w:t xml:space="preserve"> · </w:t>
            </w:r>
            <w:hyperlink r:id="rId50">
              <w:r>
                <w:rPr>
                  <w:color w:val="0563C1"/>
                  <w:u w:val="single"/>
                </w:rPr>
                <w:t>PDF</w:t>
              </w:r>
            </w:hyperlink>
            <w:r>
              <w:br/>
            </w:r>
            <w:hyperlink r:id="rId51">
              <w:r>
                <w:rPr>
                  <w:color w:val="0563C1"/>
                  <w:u w:val="single"/>
                </w:rPr>
                <w:t>Source</w:t>
              </w:r>
            </w:hyperlink>
            <w:r>
              <w:t xml:space="preserve"> · </w:t>
            </w:r>
            <w:hyperlink r:id="rId52">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Dabrafenib trametinib</w:t>
            </w:r>
          </w:p>
          <w:p>
            <w:pPr>
              <w:pStyle w:val="Normal"/>
              <w:widowControl/>
              <w:spacing w:after="55" w:line="240" w:lineRule="auto"/>
              <w:keepNext w:val="0"/>
              <w:keepLines/>
            </w:pPr>
            <w:r>
              <w:rPr>
                <w:sz w:val="21"/>
                <w:szCs w:val="21"/>
              </w:rPr>
              <w:t xml:space="preserve">BRAF V600E</w:t>
            </w:r>
          </w:p>
        </w:tc>
        <w:tc>
          <w:tcPr>
            <w:tcW w:w="4000" w:type="dxa"/>
            <w:vAlign w:val="top"/>
            <w:shd w:fill="F1F5F8"/>
          </w:tcPr>
          <w:p>
            <w:pPr>
              <w:pStyle w:val="Normal"/>
              <w:widowControl/>
              <w:spacing w:after="55" w:line="240" w:lineRule="auto"/>
              <w:keepNext w:val="0"/>
              <w:keepLines/>
            </w:pPr>
            <w:r>
              <w:rPr>
                <w:sz w:val="21"/>
                <w:szCs w:val="21"/>
              </w:rPr>
              <w:t xml:space="preserve">Selected previously treated BRAF V600E BTC under the applicable tumor-agnostic indication and molecular review. Monitor fever, cardiac function and ocular toxicity.</w:t>
            </w:r>
          </w:p>
        </w:tc>
        <w:tc>
          <w:tcPr>
            <w:tcW w:w="4180" w:type="dxa"/>
            <w:vAlign w:val="top"/>
            <w:shd w:fill="F1F5F8"/>
          </w:tcPr>
          <w:p>
            <w:pPr>
              <w:pStyle w:val="Normal"/>
              <w:widowControl/>
              <w:spacing w:after="55" w:line="240" w:lineRule="auto"/>
              <w:keepNext w:val="0"/>
              <w:keepLines/>
            </w:pPr>
            <w:r>
              <w:rPr>
                <w:sz w:val="21"/>
                <w:szCs w:val="21"/>
              </w:rPr>
              <w:t xml:space="preserve">ROAR supports activity in a biomarker-selected single-arm cohort. BRAF non-V600E mutations are not equivalent; this is not the colorectal BRAF regimen.</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UzE0NzAtMjA0NSgyMCkzMDMyMS0x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2RjYzU4MDktMGI3OC01NzljLWI2YTQtYzAzMzBjMzU4ODky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3ZGNjNTgwOS0wYjc4LTU3OWMtYjZhNC1jMDMzMGMzNTg4OTI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53">
              <w:r>
                <w:rPr>
                  <w:color w:val="0563C1"/>
                  <w:u w:val="single"/>
                </w:rPr>
                <w:t>Source</w:t>
              </w:r>
            </w:hyperlink>
            <w:r>
              <w:t xml:space="preserve"> · </w:t>
            </w:r>
            <w:hyperlink r:id="rId54">
              <w:r>
                <w:rPr>
                  <w:color w:val="0563C1"/>
                  <w:u w:val="single"/>
                </w:rPr>
                <w:t>PDF</w:t>
              </w:r>
            </w:hyperlink>
            <w:r>
              <w:br/>
            </w:r>
            <w:hyperlink r:id="rId55">
              <w:r>
                <w:rPr>
                  <w:color w:val="0563C1"/>
                  <w:u w:val="single"/>
                </w:rPr>
                <w:t>Source</w:t>
              </w:r>
            </w:hyperlink>
            <w:r>
              <w:t xml:space="preserve"> · </w:t>
            </w:r>
            <w:hyperlink r:id="rId56">
              <w:r>
                <w:rPr>
                  <w:color w:val="0563C1"/>
                  <w:u w:val="single"/>
                </w:rPr>
                <w:t>PDF</w:t>
              </w:r>
            </w:hyperlink>
            <w:r>
              <w:br/>
            </w:r>
            <w:hyperlink r:id="rId57">
              <w:r>
                <w:rPr>
                  <w:color w:val="0563C1"/>
                  <w:u w:val="single"/>
                </w:rPr>
                <w:t>Source</w:t>
              </w:r>
            </w:hyperlink>
            <w:r>
              <w:t xml:space="preserve"> · </w:t>
            </w:r>
            <w:hyperlink r:id="rId58">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Zanidatamab</w:t>
            </w:r>
          </w:p>
          <w:p>
            <w:pPr>
              <w:pStyle w:val="Normal"/>
              <w:widowControl/>
              <w:spacing w:after="55" w:line="240" w:lineRule="auto"/>
              <w:keepNext w:val="0"/>
              <w:keepLines/>
            </w:pPr>
            <w:r>
              <w:rPr>
                <w:sz w:val="21"/>
                <w:szCs w:val="21"/>
              </w:rPr>
              <w:t xml:space="preserve">HER2 positive BTC</w:t>
            </w:r>
          </w:p>
        </w:tc>
        <w:tc>
          <w:tcPr>
            <w:tcW w:w="4000" w:type="dxa"/>
            <w:vAlign w:val="top"/>
            <w:shd w:fill="FFFFFF"/>
          </w:tcPr>
          <w:p>
            <w:pPr>
              <w:pStyle w:val="Normal"/>
              <w:widowControl/>
              <w:spacing w:after="55" w:line="240" w:lineRule="auto"/>
              <w:keepNext w:val="0"/>
              <w:keepLines/>
            </w:pPr>
            <w:r>
              <w:rPr>
                <w:sz w:val="21"/>
                <w:szCs w:val="21"/>
              </w:rPr>
              <w:t xml:space="preserve">Previously treated unresectable or metastatic HER2 IHC 3+ BTC under the US indication. Confirm assay and cardiac suitability; monitor infusion reactions and diarrhea.</w:t>
            </w:r>
          </w:p>
        </w:tc>
        <w:tc>
          <w:tcPr>
            <w:tcW w:w="4180" w:type="dxa"/>
            <w:vAlign w:val="top"/>
            <w:shd w:fill="FFFFFF"/>
          </w:tcPr>
          <w:p>
            <w:pPr>
              <w:pStyle w:val="Normal"/>
              <w:widowControl/>
              <w:spacing w:after="55" w:line="240" w:lineRule="auto"/>
              <w:keepNext w:val="0"/>
              <w:keepLines/>
            </w:pPr>
            <w:r>
              <w:rPr>
                <w:sz w:val="21"/>
                <w:szCs w:val="21"/>
              </w:rPr>
              <w:t xml:space="preserve">FDA accelerated approval based on HERIZON-BTC-01: ORR 52%, median response duration 14.9 months in 62 IHC 3+ patients. HER2 amplification alone or IHC 2+ is not the same label population.</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</w:fldData>
              </w:fldChar>
            </w:r>
            <w:r>
              <w:instrText xml:space="preserve"> ADDIN EN.CITE.DATA </w:instrText>
            </w:r>
            <w:r>
              <w:fldChar w:fldCharType="end"/>
            </w:r>
            <w:r>
              <w:fldChar w:fldCharType="separate"/>
            </w:r>
            <w:r>
              <w:t xml:space="preserve">[V16-13]</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2RjYzU4MDktMGI3OC01NzljLWI2YTQtYzAzMzBjMzU4ODky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3ZGNjNTgwOS0wYjc4LTU3OWMtYjZhNC1jMDMzMGMzNTg4OTI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59">
              <w:r>
                <w:rPr>
                  <w:color w:val="0563C1"/>
                  <w:u w:val="single"/>
                </w:rPr>
                <w:t>Source</w:t>
              </w:r>
            </w:hyperlink>
            <w:r>
              <w:t xml:space="preserve"> · </w:t>
            </w:r>
            <w:r>
              <w:t xml:space="preserve">full PDF pending</w:t>
            </w:r>
            <w:r>
              <w:br/>
            </w:r>
            <w:hyperlink r:id="rId60">
              <w:r>
                <w:rPr>
                  <w:color w:val="0563C1"/>
                  <w:u w:val="single"/>
                </w:rPr>
                <w:t>Source</w:t>
              </w:r>
            </w:hyperlink>
            <w:r>
              <w:t xml:space="preserve"> · </w:t>
            </w:r>
            <w:hyperlink r:id="rId61">
              <w:r>
                <w:rPr>
                  <w:color w:val="0563C1"/>
                  <w:u w:val="single"/>
                </w:rPr>
                <w:t>PDF</w:t>
              </w:r>
            </w:hyperlink>
            <w:r>
              <w:br/>
            </w:r>
            <w:hyperlink r:id="rId62">
              <w:r>
                <w:rPr>
                  <w:color w:val="0563C1"/>
                  <w:u w:val="single"/>
                </w:rPr>
                <w:t>Source</w:t>
              </w:r>
            </w:hyperlink>
            <w:r>
              <w:t xml:space="preserve"> · </w:t>
            </w:r>
            <w:hyperlink r:id="rId63">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Zenocutuzumab</w:t>
            </w:r>
          </w:p>
          <w:p>
            <w:pPr>
              <w:pStyle w:val="Normal"/>
              <w:widowControl/>
              <w:spacing w:after="55" w:line="240" w:lineRule="auto"/>
              <w:keepNext w:val="0"/>
              <w:keepLines/>
            </w:pPr>
            <w:r>
              <w:rPr>
                <w:sz w:val="21"/>
                <w:szCs w:val="21"/>
              </w:rPr>
              <w:t xml:space="preserve">NRG1 fusion CCA</w:t>
            </w:r>
          </w:p>
        </w:tc>
        <w:tc>
          <w:tcPr>
            <w:tcW w:w="4000" w:type="dxa"/>
            <w:vAlign w:val="top"/>
            <w:shd w:fill="F1F5F8"/>
          </w:tcPr>
          <w:p>
            <w:pPr>
              <w:pStyle w:val="Normal"/>
              <w:widowControl/>
              <w:spacing w:after="55" w:line="240" w:lineRule="auto"/>
              <w:keepNext w:val="0"/>
              <w:keepLines/>
            </w:pPr>
            <w:r>
              <w:rPr>
                <w:sz w:val="21"/>
                <w:szCs w:val="21"/>
              </w:rPr>
              <w:t xml:space="preserve">Advanced unresectable or metastatic NRG1 fusion-positive CCA after progression on prior systemic therapy. RNA-capable fusion testing can be important. Assess cardiac and pulmonary risks.</w:t>
            </w:r>
          </w:p>
        </w:tc>
        <w:tc>
          <w:tcPr>
            <w:tcW w:w="4180" w:type="dxa"/>
            <w:vAlign w:val="top"/>
            <w:shd w:fill="F1F5F8"/>
          </w:tcPr>
          <w:p>
            <w:pPr>
              <w:pStyle w:val="Normal"/>
              <w:widowControl/>
              <w:spacing w:after="55" w:line="240" w:lineRule="auto"/>
              <w:keepNext w:val="0"/>
              <w:keepLines/>
            </w:pPr>
            <w:r>
              <w:rPr>
                <w:sz w:val="21"/>
                <w:szCs w:val="21"/>
              </w:rPr>
              <w:t xml:space="preserve">US approval May 2026. eNRGy had 19 efficacy-evaluable CCA patients; ORR 36.8%. Rare-disease single-arm evidence, not a comparison with chemotherapy or other targets.</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</w:fldData>
              </w:fldChar>
            </w:r>
            <w:r>
              <w:instrText xml:space="preserve"> ADDIN EN.CITE.DATA </w:instrText>
            </w:r>
            <w:r>
              <w:fldChar w:fldCharType="end"/>
            </w:r>
            <w:r>
              <w:fldChar w:fldCharType="separate"/>
            </w:r>
            <w:r>
              <w:t xml:space="preserve">[V16-14]</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3ZGNjNTgwOS0wYjc4LTU3OWMtYjZhNC1jMDMzMGMzNTg4OTI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64">
              <w:r>
                <w:rPr>
                  <w:color w:val="0563C1"/>
                  <w:u w:val="single"/>
                </w:rPr>
                <w:t>Source</w:t>
              </w:r>
            </w:hyperlink>
            <w:r>
              <w:t xml:space="preserve"> · </w:t>
            </w:r>
            <w:r>
              <w:t xml:space="preserve">full PDF pending</w:t>
            </w:r>
            <w:r>
              <w:br/>
            </w:r>
            <w:hyperlink r:id="rId65">
              <w:r>
                <w:rPr>
                  <w:color w:val="0563C1"/>
                  <w:u w:val="single"/>
                </w:rPr>
                <w:t>Source</w:t>
              </w:r>
            </w:hyperlink>
            <w:r>
              <w:t xml:space="preserve"> · </w:t>
            </w:r>
            <w:hyperlink r:id="rId66">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Checkpoint or other molecular treatment</w:t>
            </w:r>
          </w:p>
          <w:p>
            <w:pPr>
              <w:pStyle w:val="Normal"/>
              <w:widowControl/>
              <w:spacing w:after="55" w:line="240" w:lineRule="auto"/>
              <w:keepNext w:val="0"/>
              <w:keepLines/>
            </w:pPr>
            <w:r>
              <w:rPr>
                <w:sz w:val="21"/>
                <w:szCs w:val="21"/>
              </w:rPr>
              <w:t xml:space="preserve">Rare biomarkers</w:t>
            </w:r>
          </w:p>
        </w:tc>
        <w:tc>
          <w:tcPr>
            <w:tcW w:w="4000" w:type="dxa"/>
            <w:vAlign w:val="top"/>
            <w:shd w:fill="FFFFFF"/>
          </w:tcPr>
          <w:p>
            <w:pPr>
              <w:pStyle w:val="Normal"/>
              <w:widowControl/>
              <w:spacing w:after="55" w:line="240" w:lineRule="auto"/>
              <w:keepNext w:val="0"/>
              <w:keepLines/>
            </w:pPr>
            <w:r>
              <w:rPr>
                <w:sz w:val="21"/>
                <w:szCs w:val="21"/>
              </w:rPr>
              <w:t xml:space="preserve">For dMMR/MSI-H, consider an appropriate checkpoint strategy, accounting for prior ICI. NTRK, RET and eligible HER2-directed tumor-agnostic options require exact assay and label review.</w:t>
            </w:r>
          </w:p>
          <w:p>
            <w:pPr>
              <w:pStyle w:val="Normal"/>
              <w:widowControl/>
              <w:spacing w:after="55" w:line="240" w:lineRule="auto"/>
              <w:keepNext w:val="0"/>
              <w:keepLines/>
            </w:pPr>
            <w:r>
              <w:rPr>
                <w:sz w:val="21"/>
                <w:szCs w:val="21"/>
              </w:rP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p>
        </w:tc>
        <w:tc>
          <w:tcPr>
            <w:tcW w:w="4180" w:type="dxa"/>
            <w:vAlign w:val="top"/>
            <w:shd w:fill="FFFFFF"/>
          </w:tcPr>
          <w:p>
            <w:pPr>
              <w:pStyle w:val="Normal"/>
              <w:widowControl/>
              <w:spacing w:after="55" w:line="240" w:lineRule="auto"/>
              <w:keepNext w:val="0"/>
              <w:keepLines/>
            </w:pPr>
            <w:r>
              <w:rPr>
                <w:sz w:val="21"/>
                <w:szCs w:val="21"/>
              </w:rPr>
              <w:t xml:space="preserve">Broad tissue DNA/RNA profiling, MMR and HER2 testing at diagnosis. For eligible MSS/pMMR disease: GemCis plus durvalumab or pembrolizumab (high-quality/strong); GemCis without ICI if unsuitable (conditional). After progression without an actionable target: FOLFOX plus active symptom control or active symptom control alone (conditional). For oxaliplatin-ineligible patients, irinotecan/nal-IRI-based options have low-quality conditional support, not equal default status. Rare targets often rely on small basket cohorts. Accepted-manuscript tables/narrative contain inconsistent estimates; primary trial results govern this update.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3ZGNjNTgwOS0wYjc4LTU3OWMtYjZhNC1jMDMzMGMzNTg4OTI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2RjYzU4MDktMGI3OC01NzljLWI2YTQtYzAzMzBjMzU4ODky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br/>
            </w:r>
            <w:hyperlink r:id="rId67">
              <w:r>
                <w:rPr>
                  <w:color w:val="0563C1"/>
                  <w:u w:val="single"/>
                </w:rPr>
                <w:t>Source</w:t>
              </w:r>
            </w:hyperlink>
            <w:r>
              <w:t xml:space="preserve"> · </w:t>
            </w:r>
            <w:hyperlink r:id="rId68">
              <w:r>
                <w:rPr>
                  <w:color w:val="0563C1"/>
                  <w:u w:val="single"/>
                </w:rPr>
                <w:t>PDF</w:t>
              </w:r>
            </w:hyperlink>
            <w:r>
              <w:br/>
            </w:r>
            <w:hyperlink r:id="rId69">
              <w:r>
                <w:rPr>
                  <w:color w:val="0563C1"/>
                  <w:u w:val="single"/>
                </w:rPr>
                <w:t>Source</w:t>
              </w:r>
            </w:hyperlink>
            <w:r>
              <w:t xml:space="preserve"> · </w:t>
            </w:r>
            <w:hyperlink r:id="rId70">
              <w:r>
                <w:rPr>
                  <w:color w:val="0563C1"/>
                  <w:u w:val="single"/>
                </w:rPr>
                <w:t>PDF</w:t>
              </w:r>
            </w:hyperlink>
          </w:p>
        </w:tc>
      </w:tr>
    </w:tbl>
    <w:p>
      <w:pPr>
        <w:pStyle w:val="Heading2"/>
        <w:widowControl/>
        <w:keepNext/>
      </w:pPr>
      <w:r>
        <w:t xml:space="preserve">Supporting study appraisals</w:t>
      </w:r>
    </w:p>
    <w:p>
      <w:pPr>
        <w:pStyle w:val="Heading2"/>
        <w:widowControl/>
        <w:keepNext/>
      </w:pPr>
      <w:r>
        <w:t xml:space="preserve">ASCO BTC living guideline 2026.1.0</w:t>
      </w:r>
    </w:p>
    <w:p>
      <w:pPr>
        <w:pStyle w:val="Normal"/>
        <w:widowControl/>
        <w:spacing w:after="120"/>
      </w:pPr>
      <w: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3ZGNjNTgwOS0wYjc4LTU3OWMtYjZhNC1jMDMzMGMzNTg4OTI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71">
        <w:r>
          <w:rPr>
            <w:color w:val="0563C1"/>
            <w:u w:val="single"/>
          </w:rPr>
          <w:t>Source</w:t>
        </w:r>
      </w:hyperlink>
      <w:r>
        <w:t xml:space="preserve"> · </w:t>
      </w:r>
      <w:hyperlink r:id="rId72">
        <w:r>
          <w:rPr>
            <w:color w:val="0563C1"/>
            <w:u w:val="single"/>
          </w:rPr>
          <w:t>PDF</w:t>
        </w:r>
      </w:hyperlink>
    </w:p>
    <w:p>
      <w:pPr>
        <w:pStyle w:val="Normal"/>
        <w:widowControl/>
        <w:spacing w:after="120"/>
      </w:pPr>
      <w:r>
        <w:t xml:space="preserve">Population and design: Full 56-page accepted, unedited living-guideline manuscript (October 2026). Advanced BTC systemic care, not pCCA transplant-neoadjuvant therapy or a transplant eligibility guideline.</w:t>
      </w:r>
    </w:p>
    <w:p>
      <w:pPr>
        <w:pStyle w:val="Normal"/>
        <w:widowControl/>
        <w:spacing w:after="120"/>
      </w:pPr>
      <w:r>
        <w:t xml:space="preserve">Results: Broad tissue DNA/RNA profiling, MMR and HER2 testing at diagnosis. For eligible MSS/pMMR disease: GemCis plus durvalumab or pembrolizumab (high-quality/strong); GemCis without ICI if unsuitable (conditional). After progression without an actionable target: FOLFOX plus active symptom control or active symptom control alone (conditional).</w:t>
      </w:r>
    </w:p>
    <w:p>
      <w:pPr>
        <w:pStyle w:val="Normal"/>
        <w:widowControl/>
        <w:spacing w:after="120"/>
      </w:pPr>
      <w:r>
        <w:t xml:space="preserve">Limits: For oxaliplatin-ineligible patients, irinotecan/nal-IRI-based options have low-quality conditional support, not equal default status. Rare targets often rely on small basket cohorts. Accepted-manuscript tables/narrative contain inconsistent estimates; primary trial results govern this update.</w:t>
      </w:r>
    </w:p>
    <w:p>
      <w:pPr>
        <w:pStyle w:val="Heading2"/>
        <w:widowControl/>
        <w:keepNext/>
      </w:pPr>
      <w:r>
        <w:t xml:space="preserve">NALIRICC: negative BTC randomized trial</w:t>
      </w:r>
    </w:p>
    <w:p>
      <w:pPr>
        <w:pStyle w:val="Normal"/>
        <w:widowControl/>
        <w:spacing w:after="120"/>
      </w:pPr>
      <w:r>
        <w:t xml:space="preserve">Show NALIRICC alongside NIFTY. Do not call nal-IRI/5-FU an unqualified preferred second-line BTC regimen. Consider only a qualified alternative after target review, especially if oxaliplatin is unsuitable, with explicit benefit/toxicity discussion.</w:t>
      </w:r>
      <w:r>
        <w:t xml:space="preserve"> </w:t>
      </w:r>
      <w:r>
        <w:t xml:space="preserve"> </w:t>
      </w:r>
      <w:r>
        <w:fldChar w:fldCharType="begin"/>
      </w:r>
      <w:r>
        <w:instrText xml:space="preserve"> ADDIN EN.CITE </w:instrText>
      </w:r>
      <w:r>
        <w:fldChar w:fldCharType="begin">
          <w:fldData>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r>
        <w:br/>
      </w:r>
      <w:hyperlink r:id="rId73">
        <w:r>
          <w:rPr>
            <w:color w:val="0563C1"/>
            <w:u w:val="single"/>
          </w:rPr>
          <w:t>Source</w:t>
        </w:r>
      </w:hyperlink>
      <w:r>
        <w:t xml:space="preserve"> · </w:t>
      </w:r>
      <w:hyperlink r:id="rId74">
        <w:r>
          <w:rPr>
            <w:color w:val="0563C1"/>
            <w:u w:val="single"/>
          </w:rPr>
          <w:t>PDF</w:t>
        </w:r>
      </w:hyperlink>
    </w:p>
    <w:p>
      <w:pPr>
        <w:pStyle w:val="Normal"/>
        <w:widowControl/>
        <w:spacing w:after="120"/>
      </w:pPr>
      <w:r>
        <w:t xml:space="preserve">Population and design: German randomized phase II, 100 patients (49 versus 51), ECOG 0–1, after gemcitabine-based therapy; 64% iCCA. nal-IRI plus 5-FU/LV versus 5-FU/LV.</w:t>
      </w:r>
    </w:p>
    <w:p>
      <w:pPr>
        <w:pStyle w:val="Normal"/>
        <w:widowControl/>
        <w:spacing w:after="120"/>
      </w:pPr>
      <w:r>
        <w:t xml:space="preserve">Results: PFS 2.6 versus 2.3 months, HR 0.87 (0.56–1.35); OS 6.9 versus 8.2 months, HR 1.08 (0.68–1.72). ORR 14% versus 4% did not translate into PFS/OS benefit. Grade ≥3 events 71% versus 50%; treatment-related serious events 33% versus 2%.</w:t>
      </w:r>
    </w:p>
    <w:p>
      <w:pPr>
        <w:pStyle w:val="Normal"/>
        <w:widowControl/>
        <w:spacing w:after="120"/>
      </w:pPr>
      <w:r>
        <w:t xml:space="preserve">Limits: Small phase II trial; subsequent therapy differed (more control patients received later therapy). This does not erase the negative primary PFS result. Contrasts with positive NIFTY; population and treatment differences do not resolve the inconsistency.</w:t>
      </w:r>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How this roadmap handles extrahepatic disease that has been treated or has responded. Transplant questions are answered in the transplant pathway, not here.</w:t>
      </w:r>
    </w:p>
    <w:p>
      <w:pPr>
        <w:pStyle w:val="Heading2"/>
        <w:widowControl/>
        <w:keepNext/>
      </w:pPr>
      <w:bookmarkStart w:id="16010" w:name="pCCA_R1"/>
      <w:r>
        <w:t xml:space="preserve">pCCA-R1 — Resection after nodal or distant disease responds</w:t>
      </w:r>
      <w:bookmarkEnd w:id="16010"/>
    </w:p>
    <w:p>
      <w:pPr>
        <w:pStyle w:val="Normal"/>
        <w:widowControl/>
        <w:spacing w:after="120"/>
      </w:pPr>
      <w:r>
        <w:t xml:space="preserve">Status: Proposed. OPEN proposal for multidisciplinary review; not activated.</w:t>
      </w:r>
    </w:p>
    <w:p>
      <w:pPr>
        <w:pStyle w:val="Normal"/>
        <w:widowControl/>
        <w:spacing w:after="120"/>
      </w:pPr>
      <w:r>
        <w:t xml:space="preserve">Question: When perihilar cholangiocarcinoma has regional, para-aortic or distant disease that responds, when is resection reasonable?</w:t>
      </w:r>
    </w:p>
    <w:p>
      <w:pPr>
        <w:pStyle w:val="Normal"/>
        <w:widowControl/>
        <w:spacing w:after="120"/>
      </w:pPr>
      <w:r>
        <w:t xml:space="preserve">Proposed position (OPEN): Regional nodal disease goes to neoadjuvant chemotherapy and then resection in responders, recognizing that a survival benefit is not established. Para-aortic or other non-regional nodes are not resected upfront; after durable response with negative re-sampling, MDT case-by-case only. Distant metastasis stays systemic-therapy-led; conversion only exceptionally. Any nodal disease still excludes transplantation (pCCA-B1).</w:t>
      </w:r>
    </w:p>
    <w:p>
      <w:pPr>
        <w:pStyle w:val="Heading3"/>
        <w:widowControl/>
        <w:keepNext/>
      </w:pPr>
      <w:r>
        <w:t xml:space="preserve">Proposed rules</w:t>
      </w:r>
    </w:p>
    <w:p>
      <w:pPr>
        <w:pStyle w:val="Normal"/>
        <w:widowControl/>
        <w:spacing w:after="120"/>
        <w:numPr>
          <w:ilvl w:val="0"/>
          <w:numId w:val="4"/>
        </w:numPr>
      </w:pPr>
      <w:r>
        <w:t xml:space="preserve">Regional nodes: FDG-PET-positive or tissue-proven regional nodes → neoadjuvant chemotherapy, restaging, resection if no distant disease.</w:t>
      </w:r>
    </w:p>
    <w:p>
      <w:pPr>
        <w:pStyle w:val="Normal"/>
        <w:widowControl/>
        <w:spacing w:after="120"/>
        <w:numPr>
          <w:ilvl w:val="0"/>
          <w:numId w:val="4"/>
        </w:numPr>
      </w:pPr>
      <w:r>
        <w:t xml:space="preserve">Para-aortic nodes: upfront data conflict; do not resect when known. After response, consider only with negative intraoperative sampling.</w:t>
      </w:r>
    </w:p>
    <w:p>
      <w:pPr>
        <w:pStyle w:val="Normal"/>
        <w:widowControl/>
        <w:spacing w:after="120"/>
        <w:numPr>
          <w:ilvl w:val="0"/>
          <w:numId w:val="4"/>
        </w:numPr>
      </w:pPr>
      <w:r>
        <w:t xml:space="preserve">Distant metastasis: systemic therapy (gemcitabine–cisplatin-based); conversion only within a registry.</w:t>
      </w:r>
    </w:p>
    <w:p>
      <w:pPr>
        <w:pStyle w:val="Normal"/>
        <w:widowControl/>
        <w:spacing w:after="120"/>
      </w:pPr>
      <w:r>
        <w:t xml:space="preserve">Why: Upfront series disagree on para-aortic nodes, and no pCCA-specific post-response series exists (only 5 mixed-subsite para-aortic cases). Japanese conversion data are mixed biliary cancers.</w:t>
      </w:r>
    </w:p>
    <w:p>
      <w:pPr>
        <w:pStyle w:val="Heading3"/>
        <w:widowControl/>
        <w:keepNext/>
      </w:pPr>
      <w:r>
        <w:t xml:space="preserve">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Source</w:t>
            </w:r>
          </w:p>
        </w:tc>
        <w:tc>
          <w:tcPr>
            <w:tcW w:w="4000"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4180"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Kuriyama 2026 · NAC by nodal status</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Single centre, 110 pCCA; 72 received neoadjuvant gemcitabine–S-1. Regional nodes defined by FDG-PET uptake only; distant disease excluded.</w:t>
            </w:r>
          </w:p>
        </w:tc>
        <w:tc>
          <w:tcPr>
            <w:tcW w:w="4180" w:type="dxa"/>
            <w:vAlign w:val="top"/>
            <w:shd w:fill="F1F5F8"/>
          </w:tcPr>
          <w:p>
            <w:pPr>
              <w:pStyle w:val="Normal"/>
              <w:widowControl/>
              <w:spacing w:after="55" w:line="240" w:lineRule="auto"/>
              <w:keepNext w:val="0"/>
              <w:keepLines/>
            </w:pPr>
            <w:r>
              <w:rPr>
                <w:sz w:val="21"/>
                <w:szCs w:val="21"/>
              </w:rPr>
              <w:t xml:space="preserve">Results: Curative resection 85.1%, 65.8% and 24.0% in resectable, borderline and locally advanced groups.</w:t>
            </w:r>
          </w:p>
          <w:p>
            <w:pPr>
              <w:pStyle w:val="Normal"/>
              <w:widowControl/>
              <w:spacing w:after="55" w:line="240" w:lineRule="auto"/>
              <w:keepNext w:val="0"/>
              <w:keepLines/>
            </w:pPr>
            <w:r>
              <w:rPr>
                <w:sz w:val="21"/>
                <w:szCs w:val="21"/>
              </w:rPr>
              <w:t xml:space="preserve">Limits: No survival for node-positive patients; benefit not established.</w:t>
            </w:r>
          </w:p>
          <w:p>
            <w:pPr>
              <w:pStyle w:val="Normal"/>
              <w:widowControl/>
              <w:spacing w:after="55" w:line="240" w:lineRule="auto"/>
              <w:keepNext w:val="0"/>
              <w:keepLines/>
            </w:pPr>
            <w:r>
              <w:rPr>
                <w:sz w:val="21"/>
                <w:szCs w:val="21"/>
              </w:rPr>
              <w:t xml:space="preserve">Cancers 2026; Methods 2.3,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zM5MC9jYW5jZXJzMTgxOTMyMzg8L3VybD48L3JlbGF0ZWQtdXJscz48L3VybHM+PC9yZWNvcmQ+PC9DaXRlPjwvRW5kTm90ZT4=</w:fldData>
              </w:fldChar>
            </w:r>
            <w:r>
              <w:instrText xml:space="preserve"> ADDIN EN.CITE.DATA </w:instrText>
            </w:r>
            <w:r>
              <w:fldChar w:fldCharType="end"/>
            </w:r>
            <w:r>
              <w:fldChar w:fldCharType="separate"/>
            </w:r>
            <w:r>
              <w:t xml:space="preserve">[V16-15]</w:t>
            </w:r>
            <w:r>
              <w:fldChar w:fldCharType="end"/>
            </w:r>
            <w:r>
              <w:br/>
            </w:r>
            <w:hyperlink r:id="rId101">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Murakami 2025 · conversion surgery for BTC</w:t>
            </w:r>
          </w:p>
          <w:p>
            <w:pPr>
              <w:pStyle w:val="Normal"/>
              <w:widowControl/>
              <w:spacing w:after="55" w:line="240" w:lineRule="auto"/>
              <w:keepNext w:val="0"/>
              <w:keepLines/>
            </w:pPr>
            <w:r>
              <w:rPr>
                <w:sz w:val="21"/>
                <w:szCs w:val="21"/>
              </w:rPr>
              <w:t xml:space="preserve">Full text read.</w:t>
            </w:r>
          </w:p>
        </w:tc>
        <w:tc>
          <w:tcPr>
            <w:tcW w:w="4000" w:type="dxa"/>
            <w:vAlign w:val="top"/>
            <w:shd w:fill="FFFFFF"/>
          </w:tcPr>
          <w:p>
            <w:pPr>
              <w:pStyle w:val="Normal"/>
              <w:widowControl/>
              <w:spacing w:after="55" w:line="240" w:lineRule="auto"/>
              <w:keepNext w:val="0"/>
              <w:keepLines/>
            </w:pPr>
            <w:r>
              <w:rPr>
                <w:sz w:val="21"/>
                <w:szCs w:val="21"/>
              </w:rPr>
              <w:t xml:space="preserve">Single centre, 20 conversions of biliary cancer. 5 with para-aortic nodes; all 5 were negative on para-aortic sampling at conversion resection (in 3 the nodes had disappeared on imaging).</w:t>
            </w:r>
          </w:p>
        </w:tc>
        <w:tc>
          <w:tcPr>
            <w:tcW w:w="4180" w:type="dxa"/>
            <w:vAlign w:val="top"/>
            <w:shd w:fill="FFFFFF"/>
          </w:tcPr>
          <w:p>
            <w:pPr>
              <w:pStyle w:val="Normal"/>
              <w:widowControl/>
              <w:spacing w:after="55" w:line="240" w:lineRule="auto"/>
              <w:keepNext w:val="0"/>
              <w:keepLines/>
            </w:pPr>
            <w:r>
              <w:rPr>
                <w:sz w:val="21"/>
                <w:szCs w:val="21"/>
              </w:rPr>
              <w:t xml:space="preserve">Results: One pCCA patient (para-aortic nodes cleared) had axial nodal recurrence 11 months after conversion.</w:t>
            </w:r>
          </w:p>
          <w:p>
            <w:pPr>
              <w:pStyle w:val="Normal"/>
              <w:widowControl/>
              <w:spacing w:after="55" w:line="240" w:lineRule="auto"/>
              <w:keepNext w:val="0"/>
              <w:keepLines/>
            </w:pPr>
            <w:r>
              <w:rPr>
                <w:sz w:val="21"/>
                <w:szCs w:val="21"/>
              </w:rPr>
              <w:t xml:space="preserve">Limits: Mixed subsites.</w:t>
            </w:r>
          </w:p>
          <w:p>
            <w:pPr>
              <w:pStyle w:val="Normal"/>
              <w:widowControl/>
              <w:spacing w:after="55" w:line="240" w:lineRule="auto"/>
              <w:keepNext w:val="0"/>
              <w:keepLines/>
            </w:pPr>
            <w:r>
              <w:rPr>
                <w:sz w:val="21"/>
                <w:szCs w:val="21"/>
              </w:rPr>
              <w:t xml:space="preserve">Cancers 2025; Results 3.3.</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zM5MC9jYW5jZXJzMTcwNTA4NzM8L3VybD48L3JlbGF0ZWQtdXJscz48L3VybHM+PC9yZWNvcmQ+PC9DaXRlPjwvRW5kTm90ZT4=</w:fldData>
              </w:fldChar>
            </w:r>
            <w:r>
              <w:instrText xml:space="preserve"> ADDIN EN.CITE.DATA </w:instrText>
            </w:r>
            <w:r>
              <w:fldChar w:fldCharType="end"/>
            </w:r>
            <w:r>
              <w:fldChar w:fldCharType="separate"/>
            </w:r>
            <w:r>
              <w:t xml:space="preserve">[V16-16]</w:t>
            </w:r>
            <w:r>
              <w:fldChar w:fldCharType="end"/>
            </w:r>
            <w:r>
              <w:br/>
            </w:r>
            <w:hyperlink r:id="rId102">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Takenouchi 2026 · para-aortic nodes</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1F5F8"/>
          </w:tcPr>
          <w:p>
            <w:pPr>
              <w:pStyle w:val="Normal"/>
              <w:widowControl/>
              <w:spacing w:after="55" w:line="240" w:lineRule="auto"/>
              <w:keepNext w:val="0"/>
              <w:keepLines/>
            </w:pPr>
            <w:r>
              <w:rPr>
                <w:sz w:val="21"/>
                <w:szCs w:val="21"/>
              </w:rPr>
              <w:t xml:space="preserve">Single centre, 143 with intraoperative para-aortic sampling. Upfront surgery.</w:t>
            </w:r>
          </w:p>
        </w:tc>
        <w:tc>
          <w:tcPr>
            <w:tcW w:w="4180" w:type="dxa"/>
            <w:vAlign w:val="top"/>
            <w:shd w:fill="F1F5F8"/>
          </w:tcPr>
          <w:p>
            <w:pPr>
              <w:pStyle w:val="Normal"/>
              <w:widowControl/>
              <w:spacing w:after="55" w:line="240" w:lineRule="auto"/>
              <w:keepNext w:val="0"/>
              <w:keepLines/>
            </w:pPr>
            <w:r>
              <w:rPr>
                <w:sz w:val="21"/>
                <w:szCs w:val="21"/>
              </w:rPr>
              <w:t xml:space="preserve">Results: Para-aortic metastasis in 17 (11.9%); PET identified only 17.6%; with para-aortic metastasis, survival did not differ with or without resection (15.6 vs 18.0 months, p=0.790).</w:t>
            </w:r>
          </w:p>
          <w:p>
            <w:pPr>
              <w:pStyle w:val="Normal"/>
              <w:widowControl/>
              <w:spacing w:after="55" w:line="240" w:lineRule="auto"/>
              <w:keepNext w:val="0"/>
              <w:keepLines/>
            </w:pPr>
            <w:r>
              <w:rPr>
                <w:sz w:val="21"/>
                <w:szCs w:val="21"/>
              </w:rPr>
              <w:t xml:space="preserve">Limits: Not post-response.</w:t>
            </w:r>
          </w:p>
          <w:p>
            <w:pPr>
              <w:pStyle w:val="Normal"/>
              <w:widowControl/>
              <w:spacing w:after="55" w:line="240" w:lineRule="auto"/>
              <w:keepNext w:val="0"/>
              <w:keepLines/>
            </w:pPr>
            <w:r>
              <w:rPr>
                <w:sz w:val="21"/>
                <w:szCs w:val="21"/>
              </w:rPr>
              <w:t xml:space="preserve">Ann Surg Oncol 2026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</w:fldData>
              </w:fldChar>
            </w:r>
            <w:r>
              <w:instrText xml:space="preserve"> ADDIN EN.CITE.DATA </w:instrText>
            </w:r>
            <w:r>
              <w:fldChar w:fldCharType="end"/>
            </w:r>
            <w:r>
              <w:fldChar w:fldCharType="separate"/>
            </w:r>
            <w:r>
              <w:t xml:space="preserve">[V16-17]</w:t>
            </w:r>
            <w:r>
              <w:fldChar w:fldCharType="end"/>
            </w:r>
            <w:r>
              <w:br/>
            </w:r>
            <w:hyperlink r:id="rId103">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Nitta 2020 · para-aortic nodes, extrahepatic CCA</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FFFFF"/>
          </w:tcPr>
          <w:p>
            <w:pPr>
              <w:pStyle w:val="Normal"/>
              <w:widowControl/>
              <w:spacing w:after="55" w:line="240" w:lineRule="auto"/>
              <w:keepNext w:val="0"/>
              <w:keepLines/>
            </w:pPr>
            <w:r>
              <w:rPr>
                <w:sz w:val="21"/>
                <w:szCs w:val="21"/>
              </w:rPr>
              <w:t xml:space="preserve">Single centre, 410 resected extrahepatic CCA. 16 with para-aortic metastasis resected.</w:t>
            </w:r>
          </w:p>
        </w:tc>
        <w:tc>
          <w:tcPr>
            <w:tcW w:w="4180" w:type="dxa"/>
            <w:vAlign w:val="top"/>
            <w:shd w:fill="FFFFFF"/>
          </w:tcPr>
          <w:p>
            <w:pPr>
              <w:pStyle w:val="Normal"/>
              <w:widowControl/>
              <w:spacing w:after="55" w:line="240" w:lineRule="auto"/>
              <w:keepNext w:val="0"/>
              <w:keepLines/>
            </w:pPr>
            <w:r>
              <w:rPr>
                <w:sz w:val="21"/>
                <w:szCs w:val="21"/>
              </w:rPr>
              <w:t xml:space="preserve">Results: Median survival 33.7 vs 16.7 months (resected vs unresected); not worse than regional node-positive.</w:t>
            </w:r>
          </w:p>
          <w:p>
            <w:pPr>
              <w:pStyle w:val="Normal"/>
              <w:widowControl/>
              <w:spacing w:after="55" w:line="240" w:lineRule="auto"/>
              <w:keepNext w:val="0"/>
              <w:keepLines/>
            </w:pPr>
            <w:r>
              <w:rPr>
                <w:sz w:val="21"/>
                <w:szCs w:val="21"/>
              </w:rPr>
              <w:t xml:space="preserve">Limits: Very small; perihilar and distal mixed.</w:t>
            </w:r>
          </w:p>
          <w:p>
            <w:pPr>
              <w:pStyle w:val="Normal"/>
              <w:widowControl/>
              <w:spacing w:after="55" w:line="240" w:lineRule="auto"/>
              <w:keepNext w:val="0"/>
              <w:keepLines/>
            </w:pPr>
            <w:r>
              <w:rPr>
                <w:sz w:val="21"/>
                <w:szCs w:val="21"/>
              </w:rPr>
              <w:t xml:space="preserve">World J Surg 2020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</w:fldData>
              </w:fldChar>
            </w:r>
            <w:r>
              <w:instrText xml:space="preserve"> ADDIN EN.CITE.DATA </w:instrText>
            </w:r>
            <w:r>
              <w:fldChar w:fldCharType="end"/>
            </w:r>
            <w:r>
              <w:fldChar w:fldCharType="separate"/>
            </w:r>
            <w:r>
              <w:t xml:space="preserve">[V16-18]</w:t>
            </w:r>
            <w:r>
              <w:fldChar w:fldCharType="end"/>
            </w:r>
            <w:r>
              <w:br/>
            </w:r>
            <w:hyperlink r:id="rId104">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Para-aortic data conflict; post-response evidence is limited to a handful of mixed-subsite cases.</w:t>
      </w:r>
    </w:p>
    <w:p>
      <w:pPr>
        <w:pStyle w:val="Normal"/>
        <w:widowControl/>
        <w:spacing w:after="120"/>
      </w:pPr>
      <w:r>
        <w:t xml:space="preserve">Certainty: Low for regional nodes after response; very low for non-regional or distant disease.</w:t>
      </w:r>
    </w:p>
    <w:p>
      <w:pPr>
        <w:pStyle w:val="Normal"/>
        <w:widowControl/>
        <w:spacing w:after="120"/>
      </w:pPr>
      <w:r>
        <w:t xml:space="preserve">What would change the answer: A post-response series of resection with para-aortic or distant disease.</w:t>
      </w:r>
    </w:p>
    <w:p>
      <w:pPr>
        <w:pStyle w:val="Heading3"/>
        <w:widowControl/>
        <w:keepNext/>
      </w:pPr>
      <w:r>
        <w:t xml:space="preserve">pCCA-R1 — meeting decision</w:t>
      </w:r>
    </w:p>
    <w:p>
      <w:pPr>
        <w:pStyle w:val="Normal"/>
        <w:widowControl/>
        <w:spacing w:after="120"/>
      </w:pPr>
      <w:r>
        <w:t xml:space="preserve">Group decision / accepted position: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rPr>
          <w:i/>
          <w:iCs/>
          <w:color w:val="5A6069"/>
          <w:sz w:val="20"/>
          <w:szCs w:val="20"/>
        </w:rPr>
        <w:t xml:space="preserve">47 sources. Every one is held as a PDF in Ref_Depot_HilarCCA and was read in full.</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AASLD 2023. </w:t>
      </w:r>
      <w:r>
        <w:rPr>
          <w:sz w:val="17"/>
          <w:szCs w:val="17"/>
        </w:rPr>
        <w:t xml:space="preserve">Bowlus CL, Arrivé L, Bergquist A, et al. AASLD practice guidance on primary sclerosing cholangitis and cholangiocarcinoma. Hepatology. 2023;77(2):659-702. doi:10.1002/hep.32771. PMID:36083140.</w:t>
      </w:r>
    </w:p>
    <w:p>
      <w:pPr>
        <w:spacing w:after="70"/>
        <w:ind w:left="360" w:hanging="360"/>
      </w:pPr>
      <w:r>
        <w:rPr>
          <w:b/>
          <w:bCs/>
          <w:color w:val="17365D"/>
          <w:sz w:val="17"/>
          <w:szCs w:val="17"/>
        </w:rPr>
        <w:t xml:space="preserve">AHPBA 2015. </w:t>
      </w:r>
      <w:r>
        <w:rPr>
          <w:sz w:val="17"/>
          <w:szCs w:val="17"/>
        </w:rPr>
        <w:t xml:space="preserve">Mansour JC, Aloia TA, Crane CH, Heimbach JK, Nagino M, Vauthey JN. Hilar cholangiocarcinoma: expert consensus statement. HPB (Oxford). 2015;17(8):691-699. doi:10.1111/hpb.12450. PMID:26172136.</w:t>
      </w:r>
    </w:p>
    <w:p>
      <w:pPr>
        <w:spacing w:after="70"/>
        <w:ind w:left="360" w:hanging="360"/>
      </w:pPr>
      <w:r>
        <w:rPr>
          <w:b/>
          <w:bCs/>
          <w:color w:val="17365D"/>
          <w:sz w:val="17"/>
          <w:szCs w:val="17"/>
        </w:rPr>
        <w:t xml:space="preserve">ASGE 2023. </w:t>
      </w:r>
      <w:r>
        <w:rPr>
          <w:sz w:val="17"/>
          <w:szCs w:val="17"/>
        </w:rPr>
        <w:t xml:space="preserve">Fujii-Lau LL, Thosani NC, Al-Haddad M, et al. American Society for Gastrointestinal Endoscopy guideline on the role of endoscopy in the diagnosis of malignancy in biliary strictures of undetermined etiology: summary and recommendations. Gastrointest Endosc. 2023;98(5):685-693. PMID:37307900.</w:t>
      </w:r>
    </w:p>
    <w:p>
      <w:pPr>
        <w:spacing w:after="70"/>
        <w:ind w:left="360" w:hanging="360"/>
      </w:pPr>
      <w:r>
        <w:rPr>
          <w:b/>
          <w:bCs/>
          <w:color w:val="17365D"/>
          <w:sz w:val="17"/>
          <w:szCs w:val="17"/>
        </w:rPr>
        <w:t xml:space="preserve">ASGE hilar. </w:t>
      </w:r>
      <w:r>
        <w:rPr>
          <w:sz w:val="17"/>
          <w:szCs w:val="17"/>
        </w:rPr>
        <w:t xml:space="preserve">Qumseya BJ, Jamil LH, Elmunzer BJ, et al. ASGE guideline on the role of endoscopy in the management of malignant hilar obstruction. Gastrointest Endosc. 2021;94(2):222-234.e22. doi:10.1016/j.gie.2021.05.011. PMID:34023067.</w:t>
      </w:r>
    </w:p>
    <w:p>
      <w:pPr>
        <w:spacing w:after="70"/>
        <w:ind w:left="360" w:hanging="360"/>
      </w:pPr>
      <w:r>
        <w:rPr>
          <w:b/>
          <w:bCs/>
          <w:color w:val="17365D"/>
          <w:sz w:val="17"/>
          <w:szCs w:val="17"/>
        </w:rPr>
        <w:t xml:space="preserve">Asia-Pacific 2024. </w:t>
      </w:r>
      <w:r>
        <w:rPr>
          <w:sz w:val="17"/>
          <w:szCs w:val="17"/>
        </w:rPr>
        <w:t xml:space="preserve">Angsuwatcharakon P, Kulpatcharapong S, Chuncharunee A, et al. The updated Asia-Pacific consensus statement on the role of endoscopic management in malignant hilar biliary obstruction. Endosc Int Open. 2024;12(9):E1065-E1074. doi:10.1055/a-2366-7302. PMID:39285860.</w:t>
      </w:r>
    </w:p>
    <w:p>
      <w:pPr>
        <w:spacing w:after="70"/>
        <w:ind w:left="360" w:hanging="360"/>
      </w:pPr>
      <w:r>
        <w:rPr>
          <w:b/>
          <w:bCs/>
          <w:color w:val="17365D"/>
          <w:sz w:val="17"/>
          <w:szCs w:val="17"/>
        </w:rPr>
        <w:t xml:space="preserve">BSG 2023. </w:t>
      </w:r>
      <w:r>
        <w:rPr>
          <w:sz w:val="17"/>
          <w:szCs w:val="17"/>
        </w:rPr>
        <w:t xml:space="preserve">Rushbrook SM, Kendall TJ, Zen Y, et al. British Society of Gastroenterology guidelines for the diagnosis and management of cholangiocarcinoma. Gut. 2023;73(1):16-46. doi:10.1136/gutjnl-2023-330029. PMID:37770126.</w:t>
      </w:r>
    </w:p>
    <w:p>
      <w:pPr>
        <w:spacing w:after="70"/>
        <w:ind w:left="360" w:hanging="360"/>
      </w:pPr>
      <w:r>
        <w:rPr>
          <w:b/>
          <w:bCs/>
          <w:color w:val="17365D"/>
          <w:sz w:val="17"/>
          <w:szCs w:val="17"/>
        </w:rPr>
        <w:t xml:space="preserve">ESGE 2025. </w:t>
      </w:r>
      <w:r>
        <w:rPr>
          <w:sz w:val="17"/>
          <w:szCs w:val="17"/>
        </w:rPr>
        <w:t xml:space="preserve">Facciorusso A, Crinò SF, Gkolfakis P, et al. Diagnostic work-up of bile duct strictures: European Society of Gastrointestinal Endoscopy (ESGE) Guideline. Endoscopy. 2025;57:166-185. doi:10.1055/a-2481-7048. PMID:39689874.</w:t>
      </w:r>
    </w:p>
    <w:p>
      <w:pPr>
        <w:spacing w:after="70"/>
        <w:ind w:left="360" w:hanging="360"/>
      </w:pPr>
      <w:r>
        <w:rPr>
          <w:b/>
          <w:bCs/>
          <w:color w:val="17365D"/>
          <w:sz w:val="17"/>
          <w:szCs w:val="17"/>
        </w:rPr>
        <w:t xml:space="preserve">ESGE 2026. </w:t>
      </w:r>
      <w:r>
        <w:rPr>
          <w:sz w:val="17"/>
          <w:szCs w:val="17"/>
        </w:rPr>
        <w:t xml:space="preserve">Lemmers A, et al. Biliary stricture management: European Society of Gastrointestinal Endoscopy (ESGE) Guideline. Endoscopy. 2026. PMID:42692059.</w:t>
      </w:r>
    </w:p>
    <w:p>
      <w:pPr>
        <w:spacing w:after="70"/>
        <w:ind w:left="360" w:hanging="360"/>
      </w:pPr>
      <w:r>
        <w:rPr>
          <w:b/>
          <w:bCs/>
          <w:color w:val="17365D"/>
          <w:sz w:val="17"/>
          <w:szCs w:val="17"/>
        </w:rPr>
        <w:t xml:space="preserve">ESMO 2023. </w:t>
      </w:r>
      <w:r>
        <w:rPr>
          <w:sz w:val="17"/>
          <w:szCs w:val="17"/>
        </w:rPr>
        <w:t xml:space="preserve">Vogel A, Bridgewater J, Edeline J, et al. Biliary tract cancer: ESMO Clinical Practice Guideline for diagnosis, treatment and follow-up. Ann Oncol. 2023;34(2):127-140. doi:10.1016/j.annonc.2022.10.506. PMID:36372281.</w:t>
      </w:r>
    </w:p>
    <w:p>
      <w:pPr>
        <w:spacing w:after="70"/>
        <w:ind w:left="360" w:hanging="360"/>
      </w:pPr>
      <w:r>
        <w:rPr>
          <w:b/>
          <w:bCs/>
          <w:color w:val="17365D"/>
          <w:sz w:val="17"/>
          <w:szCs w:val="17"/>
        </w:rPr>
        <w:t xml:space="preserve">ESMO 2024 interim. </w:t>
      </w:r>
      <w:r>
        <w:rPr>
          <w:sz w:val="17"/>
          <w:szCs w:val="17"/>
        </w:rPr>
        <w:t xml:space="preserve">Vogel A, Ducreux M. ESMO Clinical Practice Guideline interim update on the management of biliary tract cancer. ESMO Open. 2025;10(1):104003. doi:10.1016/j.esmoop.2024.104003. PMID:39864891.</w:t>
      </w:r>
    </w:p>
    <w:p>
      <w:pPr>
        <w:spacing w:after="70"/>
        <w:ind w:left="360" w:hanging="360"/>
      </w:pPr>
      <w:r>
        <w:rPr>
          <w:b/>
          <w:bCs/>
          <w:color w:val="17365D"/>
          <w:sz w:val="17"/>
          <w:szCs w:val="17"/>
        </w:rPr>
        <w:t xml:space="preserve">Guideline alignment worksheet v0.6. </w:t>
      </w:r>
      <w:r>
        <w:rPr>
          <w:sz w:val="17"/>
          <w:szCs w:val="17"/>
        </w:rPr>
        <w:t xml:space="preserve">Guideline alignment worksheet — Adult perihilar cholangiocarcinoma. Memorial Hermann Perihilar Cholangiocarcinoma System Roadmap, Draft v0.6, 4 October 2026. Sixteen areas where the published guidelines can disagree, with the institutional position, the closest guideline and the ratification decision for each.</w:t>
      </w:r>
    </w:p>
    <w:p>
      <w:pPr>
        <w:spacing w:after="70"/>
        <w:ind w:left="360" w:hanging="360"/>
      </w:pPr>
      <w:r>
        <w:rPr>
          <w:b/>
          <w:bCs/>
          <w:color w:val="17365D"/>
          <w:sz w:val="17"/>
          <w:szCs w:val="17"/>
        </w:rPr>
        <w:t xml:space="preserve">MH perihilar CCA roadmap v0.6. </w:t>
      </w:r>
      <w:r>
        <w:rPr>
          <w:sz w:val="17"/>
          <w:szCs w:val="17"/>
        </w:rPr>
        <w:t xml:space="preserve">Memorial Hermann Perihilar Cholangiocarcinoma System Roadmap. Multidisciplinary practice guideline and operating pathway, Draft v0.6, 4 October 2026, with the liver-directed treatment revision of 3 October 2026. Pending multidisciplinary approval; not active clinical policy.</w:t>
      </w:r>
    </w:p>
    <w:p>
      <w:pPr>
        <w:spacing w:after="70"/>
        <w:ind w:left="360" w:hanging="360"/>
      </w:pPr>
      <w:r>
        <w:rPr>
          <w:b/>
          <w:bCs/>
          <w:color w:val="17365D"/>
          <w:sz w:val="17"/>
          <w:szCs w:val="17"/>
        </w:rPr>
        <w:t xml:space="preserve">Milan consensus. </w:t>
      </w:r>
      <w:r>
        <w:rPr>
          <w:sz w:val="17"/>
          <w:szCs w:val="17"/>
        </w:rPr>
        <w:t xml:space="preserve">Pfister D, et al. Recommendations on Perihilar Cholangiocarcinoma. The Milan Jury-Based Consensus. Ann Surg. 2025 (published ahead of print 6 June 2025). doi:10.1097/SLA.0000000000006773. PMID:40478744.</w:t>
      </w:r>
    </w:p>
    <w:p>
      <w:pPr>
        <w:spacing w:after="70"/>
        <w:ind w:left="360" w:hanging="360"/>
      </w:pPr>
      <w:r>
        <w:rPr>
          <w:b/>
          <w:bCs/>
          <w:color w:val="17365D"/>
          <w:sz w:val="17"/>
          <w:szCs w:val="17"/>
        </w:rPr>
        <w:t xml:space="preserve">NCCN Biliary Tract Cancers v1.2026. </w:t>
      </w:r>
      <w:r>
        <w:rPr>
          <w:sz w:val="17"/>
          <w:szCs w:val="17"/>
        </w:rPr>
        <w:t xml:space="preserve">National Comprehensive Cancer Network. Biliary Tract Cancers. NCCN Clinical Practice Guidelines in Oncology. Version 1.2026, 10 March 2026. Perihilar pathway, original PDF pp23–27; INTRA-D p22; adjuvant p36; first-line p37; biomarkers p28.</w:t>
      </w:r>
    </w:p>
    <w:p>
      <w:pPr>
        <w:spacing w:after="70"/>
        <w:ind w:left="360" w:hanging="360"/>
      </w:pPr>
      <w:r>
        <w:rPr>
          <w:b/>
          <w:bCs/>
          <w:color w:val="17365D"/>
          <w:sz w:val="17"/>
          <w:szCs w:val="17"/>
        </w:rPr>
        <w:t xml:space="preserve">OPTN NLRB guidance 2025. </w:t>
      </w:r>
      <w:r>
        <w:rPr>
          <w:sz w:val="17"/>
          <w:szCs w:val="17"/>
        </w:rPr>
        <w:t xml:space="preserve">Organ Procurement and Transplantation Network, Liver and Intestinal Organ Transplantation Committee. Guidance to Liver Transplant Programs and the National Liver Review Board for: Adult MELD Exceptions for Transplant Oncology. December 2025. Review-board guidance, not OPTN policy; it has no perihilar cholangiocarcinoma section, consistent with that diagnosis being handled in policy rather than by the review board.</w:t>
      </w:r>
    </w:p>
    <w:p>
      <w:pPr>
        <w:spacing w:after="70"/>
        <w:ind w:left="360" w:hanging="360"/>
      </w:pPr>
      <w:r>
        <w:rPr>
          <w:b/>
          <w:bCs/>
          <w:color w:val="17365D"/>
          <w:sz w:val="17"/>
          <w:szCs w:val="17"/>
        </w:rPr>
        <w:t xml:space="preserve">OPTN Policy 9. </w:t>
      </w:r>
      <w:r>
        <w:rPr>
          <w:sz w:val="17"/>
          <w:szCs w:val="17"/>
        </w:rPr>
        <w:t xml:space="preserve">Organ Procurement and Transplantation Network. Policy 9: Allocation of Livers and Liver-Intestines, including 9.4.C–E and 9.5.A Specific Standardized MELD or PELD Exceptions. US Department of Health and Human Services, HRSA. Official PDF retrieved 1 October 2026; Policy 9.5.A at full PDF pp190–191, Policy 9.4.C–E at pp188–189. Perihilar cholangiocarcinoma is a standardised MELD exception under Policy 9.5.A when the programme holds an OPTN-approved protocol and the candidate meets every requirement (adult score MMaT-3). Verify the current text before any listing decision.</w:t>
      </w:r>
    </w:p>
    <w:p>
      <w:pPr>
        <w:spacing w:after="70"/>
        <w:ind w:left="360" w:hanging="360"/>
      </w:pPr>
      <w:r>
        <w:rPr>
          <w:b/>
          <w:bCs/>
          <w:color w:val="17365D"/>
          <w:sz w:val="17"/>
          <w:szCs w:val="17"/>
        </w:rPr>
        <w:t xml:space="preserve">UTHealth perihilar CCA protocol v2. </w:t>
      </w:r>
      <w:r>
        <w:rPr>
          <w:sz w:val="17"/>
          <w:szCs w:val="17"/>
        </w:rPr>
        <w:t xml:space="preserve">UTHealth Houston standard perihilar cholangiocarcinoma transplant protocol, version 2; policy review 16 July 2026. The internal document on which the roadmap's corrected allocation statement rests; the OPTN policy text itself was not in hand at the time of the alignment review, hence the requirement to cite Policy 9.5.A directly before ratification.</w:t>
      </w:r>
    </w:p>
    <w:p>
      <w:pPr>
        <w:pStyle w:val="Heading3"/>
        <w:keepNext/>
        <w:spacing w:after="110" w:before="240"/>
      </w:pPr>
      <w:r>
        <w:rPr>
          <w:rFonts w:ascii="Cambria" w:cs="Cambria" w:eastAsia="Cambria" w:hAnsi="Cambria"/>
          <w:b/>
          <w:bCs/>
          <w:color w:val="17365D"/>
          <w:sz w:val="22"/>
          <w:szCs w:val="22"/>
        </w:rPr>
        <w:t xml:space="preserve">Biliary drainage</w:t>
      </w:r>
    </w:p>
    <w:p>
      <w:pPr>
        <w:spacing w:after="70"/>
        <w:ind w:left="360" w:hanging="360"/>
      </w:pPr>
      <w:r>
        <w:rPr>
          <w:b/>
          <w:bCs/>
          <w:color w:val="17365D"/>
          <w:sz w:val="17"/>
          <w:szCs w:val="17"/>
        </w:rPr>
        <w:t xml:space="preserve">DRAINAGE. </w:t>
      </w:r>
      <w:r>
        <w:rPr>
          <w:sz w:val="17"/>
          <w:szCs w:val="17"/>
        </w:rPr>
        <w:t xml:space="preserve">Coelen RJS, Roos E, Wiggers JK, et al. Endoscopic versus percutaneous biliary drainage in patients with resectable perihilar cholangiocarcinoma: a multicentre, randomised controlled trial. Lancet Gastroenterol Hepatol. 2018;3(10):681-690. doi:10.1016/S2468-1253(18)30234-6. PMID:30122355.</w:t>
      </w:r>
    </w:p>
    <w:p>
      <w:pPr>
        <w:pStyle w:val="Heading3"/>
        <w:keepNext/>
        <w:spacing w:after="110" w:before="240"/>
      </w:pPr>
      <w:r>
        <w:rPr>
          <w:rFonts w:ascii="Cambria" w:cs="Cambria" w:eastAsia="Cambria" w:hAnsi="Cambria"/>
          <w:b/>
          <w:bCs/>
          <w:color w:val="17365D"/>
          <w:sz w:val="22"/>
          <w:szCs w:val="22"/>
        </w:rPr>
        <w:t xml:space="preserve">Liver-directed</w:t>
      </w:r>
    </w:p>
    <w:p>
      <w:pPr>
        <w:spacing w:after="70"/>
        <w:ind w:left="360" w:hanging="360"/>
      </w:pPr>
      <w:r>
        <w:rPr>
          <w:b/>
          <w:bCs/>
          <w:color w:val="17365D"/>
          <w:sz w:val="17"/>
          <w:szCs w:val="17"/>
        </w:rPr>
        <w:t xml:space="preserve">HAI floxuridine phase II. </w:t>
      </w:r>
      <w:r>
        <w:rPr>
          <w:sz w:val="17"/>
          <w:szCs w:val="17"/>
        </w:rPr>
        <w:t xml:space="preserve">Cercek A, Boerner T, Tan BR, et al. Assessment of hepatic arterial infusion of floxuridine in combination with systemic gemcitabine and oxaliplatin in patients with unresectable intrahepatic cholangiocarcinoma: a phase 2 clinical trial. JAMA Oncol. 2020;6(1):60-67. doi:10.1001/jamaoncol.2019.3718. PMID:31670750.</w:t>
      </w:r>
    </w:p>
    <w:p>
      <w:pPr>
        <w:spacing w:after="70"/>
        <w:ind w:left="360" w:hanging="360"/>
      </w:pPr>
      <w:r>
        <w:rPr>
          <w:b/>
          <w:bCs/>
          <w:color w:val="17365D"/>
          <w:sz w:val="17"/>
          <w:szCs w:val="17"/>
        </w:rPr>
        <w:t xml:space="preserve">HOPE4LIVER. </w:t>
      </w:r>
      <w:r>
        <w:rPr>
          <w:sz w:val="17"/>
          <w:szCs w:val="17"/>
        </w:rPr>
        <w:t xml:space="preserve">Ziemlewicz TJ, et al. HOPE4LIVER one-year update. Ann Surg 2025. 47 patients, 52 tumours; local control 63.4% on the primary assessment versus 90% post hoc.</w:t>
      </w:r>
    </w:p>
    <w:p>
      <w:pPr>
        <w:pStyle w:val="Heading3"/>
        <w:keepNext/>
        <w:spacing w:after="110" w:before="240"/>
      </w:pPr>
      <w:r>
        <w:rPr>
          <w:rFonts w:ascii="Cambria" w:cs="Cambria" w:eastAsia="Cambria" w:hAnsi="Cambria"/>
          <w:b/>
          <w:bCs/>
          <w:color w:val="17365D"/>
          <w:sz w:val="22"/>
          <w:szCs w:val="22"/>
        </w:rPr>
        <w:t xml:space="preserve">Resection</w:t>
      </w:r>
    </w:p>
    <w:p>
      <w:pPr>
        <w:spacing w:after="70"/>
        <w:ind w:left="360" w:hanging="360"/>
      </w:pPr>
      <w:r>
        <w:rPr>
          <w:b/>
          <w:bCs/>
          <w:color w:val="17365D"/>
          <w:sz w:val="17"/>
          <w:szCs w:val="17"/>
        </w:rPr>
        <w:t xml:space="preserve">Bismuth-Corlette. </w:t>
      </w:r>
      <w:r>
        <w:rPr>
          <w:sz w:val="17"/>
          <w:szCs w:val="17"/>
        </w:rPr>
        <w:t xml:space="preserve">Bismuth H, Nakache R, Diamond T. Management strategies in resection for hilar cholangiocarcinoma. Ann Surg. 1992;215(1):31-8. doi:10.1097/00000658-199201000-00005. PMID:1309988.</w:t>
      </w:r>
    </w:p>
    <w:p>
      <w:pPr>
        <w:spacing w:after="70"/>
        <w:ind w:left="360" w:hanging="360"/>
      </w:pPr>
      <w:r>
        <w:rPr>
          <w:b/>
          <w:bCs/>
          <w:color w:val="17365D"/>
          <w:sz w:val="17"/>
          <w:szCs w:val="17"/>
        </w:rPr>
        <w:t xml:space="preserve">SWOG S0809. </w:t>
      </w:r>
      <w:r>
        <w:rPr>
          <w:sz w:val="17"/>
          <w:szCs w:val="17"/>
        </w:rPr>
        <w:t xml:space="preserve">Ben-Josef E, et al. J Clin Oncol 2015 (PMID 25964250). Single-arm phase II trial of adjuvant capecitabine and gemcitabine followed by chemoradiation in extrahepatic cholangiocarcinoma and gallbladder cancer (n=79); 2-year overall survival 67% after R0 and 60% after R1 resection, cited by BSG 2023 in support of its R1 chemoradiation recommendation.</w:t>
      </w:r>
    </w:p>
    <w:p>
      <w:pPr>
        <w:pStyle w:val="Heading3"/>
        <w:keepNext/>
        <w:spacing w:after="110" w:before="240"/>
      </w:pPr>
      <w:r>
        <w:rPr>
          <w:rFonts w:ascii="Cambria" w:cs="Cambria" w:eastAsia="Cambria" w:hAnsi="Cambria"/>
          <w:b/>
          <w:bCs/>
          <w:color w:val="17365D"/>
          <w:sz w:val="22"/>
          <w:szCs w:val="22"/>
        </w:rPr>
        <w:t xml:space="preserve">Staging &amp; risk</w:t>
      </w:r>
    </w:p>
    <w:p>
      <w:pPr>
        <w:spacing w:after="70"/>
        <w:ind w:left="360" w:hanging="360"/>
      </w:pPr>
      <w:r>
        <w:rPr>
          <w:b/>
          <w:bCs/>
          <w:color w:val="17365D"/>
          <w:sz w:val="17"/>
          <w:szCs w:val="17"/>
        </w:rPr>
        <w:t xml:space="preserve">Avadhani 2017. </w:t>
      </w:r>
      <w:r>
        <w:rPr>
          <w:sz w:val="17"/>
          <w:szCs w:val="17"/>
        </w:rPr>
        <w:t xml:space="preserve">Avadhani V, Hacihasanoglu E, Memis B, et al. Cytologic predictors of malignancy in bile duct brushings: a multi-reviewer analysis of 60 cases. Mod Pathol. 2017;30(9):1273-1286. doi:10.1038/modpathol.2017.51. PMID:28664934.</w:t>
      </w:r>
    </w:p>
    <w:p>
      <w:pPr>
        <w:spacing w:after="70"/>
        <w:ind w:left="360" w:hanging="360"/>
      </w:pPr>
      <w:r>
        <w:rPr>
          <w:b/>
          <w:bCs/>
          <w:color w:val="17365D"/>
          <w:sz w:val="17"/>
          <w:szCs w:val="17"/>
        </w:rPr>
        <w:t xml:space="preserve">Bardhi 2025. </w:t>
      </w:r>
      <w:r>
        <w:rPr>
          <w:sz w:val="17"/>
          <w:szCs w:val="17"/>
        </w:rPr>
        <w:t xml:space="preserve">Bardhi O, Jones A, Ellis D, et al. Next-generation sequencing improves the detection of malignant biliary strictures and changes management. Gastrointest Endosc. 2025;102(1):56-63.e1. doi:10.1016/j.gie.2024.12.024. PMID:39716538.</w:t>
      </w:r>
    </w:p>
    <w:p>
      <w:pPr>
        <w:spacing w:after="70"/>
        <w:ind w:left="360" w:hanging="360"/>
      </w:pPr>
      <w:r>
        <w:rPr>
          <w:b/>
          <w:bCs/>
          <w:color w:val="17365D"/>
          <w:sz w:val="17"/>
          <w:szCs w:val="17"/>
        </w:rPr>
        <w:t xml:space="preserve">BiliSeq multi-institutional. </w:t>
      </w:r>
      <w:r>
        <w:rPr>
          <w:sz w:val="17"/>
          <w:szCs w:val="17"/>
        </w:rPr>
        <w:t xml:space="preserve">Das R, Kleinberger J, Sawas T, et al. DNA/RNA-based next-generation sequencing improves the early diagnosis and management of neoplastic bile duct strictures: a 6-year, prospective, multi-institutional, real-time study. Gastroenterology. 2026;171(2):325-341. doi:10.1053/j.gastro.2026.02.040. PMID:41905432.</w:t>
      </w:r>
    </w:p>
    <w:p>
      <w:pPr>
        <w:spacing w:after="70"/>
        <w:ind w:left="360" w:hanging="360"/>
      </w:pPr>
      <w:r>
        <w:rPr>
          <w:b/>
          <w:bCs/>
          <w:color w:val="17365D"/>
          <w:sz w:val="17"/>
          <w:szCs w:val="17"/>
        </w:rPr>
        <w:t xml:space="preserve">BiliSeq validation. </w:t>
      </w:r>
      <w:r>
        <w:rPr>
          <w:sz w:val="17"/>
          <w:szCs w:val="17"/>
        </w:rPr>
        <w:t xml:space="preserve">Singhi AD, Nikiforova MN, Chennat J, et al. Integrating next-generation sequencing to endoscopic retrograde cholangiopancreatography (ERCP)-obtained biliary specimens improves the detection and management of patients with malignant bile duct strictures. Gut. 2020;69(1):52-61. doi:10.1136/gutjnl-2018-317817. PMID:30971436.</w:t>
      </w:r>
    </w:p>
    <w:p>
      <w:pPr>
        <w:spacing w:after="70"/>
        <w:ind w:left="360" w:hanging="360"/>
      </w:pPr>
      <w:r>
        <w:rPr>
          <w:b/>
          <w:bCs/>
          <w:color w:val="17365D"/>
          <w:sz w:val="17"/>
          <w:szCs w:val="17"/>
        </w:rPr>
        <w:t xml:space="preserve">de Vries 2020. </w:t>
      </w:r>
      <w:r>
        <w:rPr>
          <w:sz w:val="17"/>
          <w:szCs w:val="17"/>
        </w:rPr>
        <w:t xml:space="preserve">de Vries AB, van der Heide F, Ter Steege RWF, et al. Limited diagnostic accuracy and clinical impact of single-operator peroral cholangioscopy for indeterminate biliary strictures. Endoscopy. 2020;52(2):107-114. doi:10.1055/a-1061-7067. PMID:31858509.</w:t>
      </w:r>
    </w:p>
    <w:p>
      <w:pPr>
        <w:spacing w:after="70"/>
        <w:ind w:left="360" w:hanging="360"/>
      </w:pPr>
      <w:r>
        <w:rPr>
          <w:b/>
          <w:bCs/>
          <w:color w:val="17365D"/>
          <w:sz w:val="17"/>
          <w:szCs w:val="17"/>
        </w:rPr>
        <w:t xml:space="preserve">ERCP vs EUS. </w:t>
      </w:r>
      <w:r>
        <w:rPr>
          <w:sz w:val="17"/>
          <w:szCs w:val="17"/>
        </w:rPr>
        <w:t xml:space="preserve">De Moura DTH, De Moura EGH, Bernardo WM, et al. Endoscopic retrograde cholangiopancreatography versus endoscopic ultrasound for tissue diagnosis of malignant biliary stricture: systematic review and meta-analysis. Endosc Ultrasound. 2018;7(1):10-19. doi:10.4103/2303-9027.193597. PMID:27824027.</w:t>
      </w:r>
    </w:p>
    <w:p>
      <w:pPr>
        <w:spacing w:after="70"/>
        <w:ind w:left="360" w:hanging="360"/>
      </w:pPr>
      <w:r>
        <w:rPr>
          <w:b/>
          <w:bCs/>
          <w:color w:val="17365D"/>
          <w:sz w:val="17"/>
          <w:szCs w:val="17"/>
        </w:rPr>
        <w:t xml:space="preserve">FISH meta-analysis. </w:t>
      </w:r>
      <w:r>
        <w:rPr>
          <w:sz w:val="17"/>
          <w:szCs w:val="17"/>
        </w:rPr>
        <w:t xml:space="preserve">Navaneethan U, Njei B, Venkatesh PG, Vargo JJ, Parsi MA. Fluorescence in situ hybridization for diagnosis of cholangiocarcinoma in primary sclerosing cholangitis: a systematic review and meta-analysis. Gastrointest Endosc. 2014;79(6):943-950.e3. doi:10.1016/j.gie.2013.11.001. PMID:24360654.</w:t>
      </w:r>
    </w:p>
    <w:p>
      <w:pPr>
        <w:spacing w:after="70"/>
        <w:ind w:left="360" w:hanging="360"/>
      </w:pPr>
      <w:r>
        <w:rPr>
          <w:b/>
          <w:bCs/>
          <w:color w:val="17365D"/>
          <w:sz w:val="17"/>
          <w:szCs w:val="17"/>
        </w:rPr>
        <w:t xml:space="preserve">Gillmeister 2026. </w:t>
      </w:r>
      <w:r>
        <w:rPr>
          <w:sz w:val="17"/>
          <w:szCs w:val="17"/>
        </w:rPr>
        <w:t xml:space="preserve">Gillmeister A, Husman J, Schmelz R, et al. Next generation sequencing for the differentiation of benign and malignant biliary strictures. Liver Int. 2026;46(10):e70865. doi:10.1111/liv.70865. PMID:42698384.</w:t>
      </w:r>
    </w:p>
    <w:p>
      <w:pPr>
        <w:spacing w:after="70"/>
        <w:ind w:left="360" w:hanging="360"/>
      </w:pPr>
      <w:r>
        <w:rPr>
          <w:b/>
          <w:bCs/>
          <w:color w:val="17365D"/>
          <w:sz w:val="17"/>
          <w:szCs w:val="17"/>
        </w:rPr>
        <w:t xml:space="preserve">Njei 2016. </w:t>
      </w:r>
      <w:r>
        <w:rPr>
          <w:sz w:val="17"/>
          <w:szCs w:val="17"/>
        </w:rPr>
        <w:t xml:space="preserve">Njei B, McCarty TR, Varadarajulu S, et al. Systematic review with meta-analysis: endoscopic retrograde cholangiopancreatography-based modalities for the diagnosis of cholangiocarcinoma in primary sclerosing cholangitis. Aliment Pharmacol Ther. 2016;44(11-12):1139-1151. doi:10.1111/apt.13817. PMID:27696456.</w:t>
      </w:r>
    </w:p>
    <w:p>
      <w:pPr>
        <w:pStyle w:val="Heading3"/>
        <w:keepNext/>
        <w:spacing w:after="110" w:before="240"/>
      </w:pPr>
      <w:r>
        <w:rPr>
          <w:rFonts w:ascii="Cambria" w:cs="Cambria" w:eastAsia="Cambria" w:hAnsi="Cambria"/>
          <w:b/>
          <w:bCs/>
          <w:color w:val="17365D"/>
          <w:sz w:val="22"/>
          <w:szCs w:val="22"/>
        </w:rPr>
        <w:t xml:space="preserve">Systemic therapy</w:t>
      </w:r>
    </w:p>
    <w:p>
      <w:pPr>
        <w:spacing w:after="70"/>
        <w:ind w:left="360" w:hanging="360"/>
      </w:pPr>
      <w:r>
        <w:rPr>
          <w:b/>
          <w:bCs/>
          <w:color w:val="17365D"/>
          <w:sz w:val="17"/>
          <w:szCs w:val="17"/>
        </w:rPr>
        <w:t xml:space="preserve">ABC-02. </w:t>
      </w:r>
      <w:r>
        <w:rPr>
          <w:sz w:val="17"/>
          <w:szCs w:val="17"/>
        </w:rPr>
        <w:t xml:space="preserve">Valle J, Wasan H, Palmer DH, et al. Cisplatin plus gemcitabine versus gemcitabine for biliary tract cancer. N Engl J Med. 2010;362(14):1273-81. doi:10.1056/NEJMoa0908721. PMID:20375404.</w:t>
      </w:r>
    </w:p>
    <w:p>
      <w:pPr>
        <w:spacing w:after="70"/>
        <w:ind w:left="360" w:hanging="360"/>
      </w:pPr>
      <w:r>
        <w:rPr>
          <w:b/>
          <w:bCs/>
          <w:color w:val="17365D"/>
          <w:sz w:val="17"/>
          <w:szCs w:val="17"/>
        </w:rPr>
        <w:t xml:space="preserve">ABC-06. </w:t>
      </w:r>
      <w:r>
        <w:rPr>
          <w:sz w:val="17"/>
          <w:szCs w:val="17"/>
        </w:rPr>
        <w:t xml:space="preserve">Lamarca A, Palmer DH, Wasan HS, et al. Second-line FOLFOX chemotherapy versus active symptom control for advanced biliary tract cancer (ABC-06): a phase 3, open-label, randomised, controlled trial. Lancet Oncol. 2021;22(5):690-701. doi:10.1016/S1470-2045(21)00027-9. PMID:33798493.</w:t>
      </w:r>
    </w:p>
    <w:p>
      <w:pPr>
        <w:spacing w:after="70"/>
        <w:ind w:left="360" w:hanging="360"/>
      </w:pPr>
      <w:r>
        <w:rPr>
          <w:b/>
          <w:bCs/>
          <w:color w:val="17365D"/>
          <w:sz w:val="17"/>
          <w:szCs w:val="17"/>
        </w:rPr>
        <w:t xml:space="preserve">ASCOT. </w:t>
      </w:r>
      <w:r>
        <w:rPr>
          <w:sz w:val="17"/>
          <w:szCs w:val="17"/>
        </w:rPr>
        <w:t xml:space="preserve">Nakachi K, Ikeda M, Konishi M, et al. Adjuvant S-1 compared with observation in resected biliary tract cancer (JCOG1202, ASCOT): a multicentre, open-label, randomised, controlled, phase 3 trial. Lancet. 2023;401(10372):195-203. doi:10.1016/S0140-6736(22)02038-4. PMID:36681415.</w:t>
      </w:r>
    </w:p>
    <w:p>
      <w:pPr>
        <w:spacing w:after="70"/>
        <w:ind w:left="360" w:hanging="360"/>
      </w:pPr>
      <w:r>
        <w:rPr>
          <w:b/>
          <w:bCs/>
          <w:color w:val="17365D"/>
          <w:sz w:val="17"/>
          <w:szCs w:val="17"/>
        </w:rPr>
        <w:t xml:space="preserve">BCAT. </w:t>
      </w:r>
      <w:r>
        <w:rPr>
          <w:sz w:val="17"/>
          <w:szCs w:val="17"/>
        </w:rPr>
        <w:t xml:space="preserve">Ebata T, Hirano S, Konishi M, et al. Randomized clinical trial of adjuvant gemcitabine chemotherapy versus observation in resected bile duct cancer. Br J Surg. 2018;105(3):192-202. doi:10.1002/bjs.10776. PMID:29405274.</w:t>
      </w:r>
    </w:p>
    <w:p>
      <w:pPr>
        <w:spacing w:after="70"/>
        <w:ind w:left="360" w:hanging="360"/>
      </w:pPr>
      <w:r>
        <w:rPr>
          <w:b/>
          <w:bCs/>
          <w:color w:val="17365D"/>
          <w:sz w:val="17"/>
          <w:szCs w:val="17"/>
        </w:rPr>
        <w:t xml:space="preserve">BILCAP. </w:t>
      </w:r>
      <w:r>
        <w:rPr>
          <w:sz w:val="17"/>
          <w:szCs w:val="17"/>
        </w:rPr>
        <w:t xml:space="preserve">Primrose JN, Fox RP, Palmer DH, et al. Capecitabine compared with observation in resected biliary tract cancer (BILCAP): a randomised, controlled, multicentre, phase 3 study. Lancet Oncol. 2019;20(5):663-673. doi:10.1016/S1470-2045(18)30915-X. PMID:30922733.</w:t>
      </w:r>
    </w:p>
    <w:p>
      <w:pPr>
        <w:spacing w:after="70"/>
        <w:ind w:left="360" w:hanging="360"/>
      </w:pPr>
      <w:r>
        <w:rPr>
          <w:b/>
          <w:bCs/>
          <w:color w:val="17365D"/>
          <w:sz w:val="17"/>
          <w:szCs w:val="17"/>
        </w:rPr>
        <w:t xml:space="preserve">ClarIDHy. </w:t>
      </w:r>
      <w:r>
        <w:rPr>
          <w:sz w:val="17"/>
          <w:szCs w:val="17"/>
        </w:rPr>
        <w:t xml:space="preserve">Zhu AX, Macarulla T, Javle MM, et al. Final overall survival efficacy results of ivosidenib for patients with advanced cholangiocarcinoma with IDH1 mutation: the phase 3 randomized clinical ClarIDHy trial. JAMA Oncol. 2021;7(11):1669-1677. doi:10.1001/jamaoncol.2021.3836. PMID:34554208.</w:t>
      </w:r>
    </w:p>
    <w:p>
      <w:pPr>
        <w:spacing w:after="70"/>
        <w:ind w:left="360" w:hanging="360"/>
      </w:pPr>
      <w:r>
        <w:rPr>
          <w:b/>
          <w:bCs/>
          <w:color w:val="17365D"/>
          <w:sz w:val="17"/>
          <w:szCs w:val="17"/>
        </w:rPr>
        <w:t xml:space="preserve">FIGHT-202. </w:t>
      </w:r>
      <w:r>
        <w:rPr>
          <w:sz w:val="17"/>
          <w:szCs w:val="17"/>
        </w:rPr>
        <w:t xml:space="preserve">Vogel A, Sahai V, Hollebecque A, et al. An open-label study of pemigatinib in cholangiocarcinoma: final results from FIGHT-202. ESMO Open. 2024;9(6):103488. doi:10.1016/j.esmoop.2024.103488. PMID:38838500.</w:t>
      </w:r>
    </w:p>
    <w:p>
      <w:pPr>
        <w:spacing w:after="70"/>
        <w:ind w:left="360" w:hanging="360"/>
      </w:pPr>
      <w:r>
        <w:rPr>
          <w:b/>
          <w:bCs/>
          <w:color w:val="17365D"/>
          <w:sz w:val="17"/>
          <w:szCs w:val="17"/>
        </w:rPr>
        <w:t xml:space="preserve">FOENIX-CCA2. </w:t>
      </w:r>
      <w:r>
        <w:rPr>
          <w:sz w:val="17"/>
          <w:szCs w:val="17"/>
        </w:rPr>
        <w:t xml:space="preserve">Goyal L, Meric-Bernstam F, Hollebecque A, et al. Futibatinib for FGFR2-rearranged intrahepatic cholangiocarcinoma. N Engl J Med. 2023;388(3):228-239. doi:10.1056/NEJMoa2206834. PMID:36652354.</w:t>
      </w:r>
    </w:p>
    <w:p>
      <w:pPr>
        <w:spacing w:after="70"/>
        <w:ind w:left="360" w:hanging="360"/>
      </w:pPr>
      <w:r>
        <w:rPr>
          <w:b/>
          <w:bCs/>
          <w:color w:val="17365D"/>
          <w:sz w:val="17"/>
          <w:szCs w:val="17"/>
        </w:rPr>
        <w:t xml:space="preserve">HERIZON-BTC-01. </w:t>
      </w:r>
      <w:r>
        <w:rPr>
          <w:sz w:val="17"/>
          <w:szCs w:val="17"/>
        </w:rPr>
        <w:t xml:space="preserve">Pant S, Fan J, Oh DY, et al. Zanidatamab in HER2-positive metastatic biliary tract cancer: final results from HERIZON-BTC-01. JAMA Oncol. 2026;12(1):106-109. doi:10.1001/jamaoncol.2025.4736. PMID:41264278.</w:t>
      </w:r>
    </w:p>
    <w:p>
      <w:pPr>
        <w:spacing w:after="70"/>
        <w:ind w:left="360" w:hanging="360"/>
      </w:pPr>
      <w:r>
        <w:rPr>
          <w:b/>
          <w:bCs/>
          <w:color w:val="17365D"/>
          <w:sz w:val="17"/>
          <w:szCs w:val="17"/>
        </w:rPr>
        <w:t xml:space="preserve">KEYNOTE-966. </w:t>
      </w:r>
      <w:r>
        <w:rPr>
          <w:sz w:val="17"/>
          <w:szCs w:val="17"/>
        </w:rPr>
        <w:t xml:space="preserve">Kelley RK, Ueno M, Yoo C, et al. Pembrolizumab in combination with gemcitabine and cisplatin compared with gemcitabine and cisplatin alone for patients with advanced biliary tract cancer (KEYNOTE-966): a randomised, double-blind, placebo-controlled, phase 3 trial. Lancet. 2023;401(10391):1853-1865. doi:10.1016/S0140-6736(23)00727-4. PMID:37075781.</w:t>
      </w:r>
    </w:p>
    <w:p>
      <w:pPr>
        <w:spacing w:after="70"/>
        <w:ind w:left="360" w:hanging="360"/>
      </w:pPr>
      <w:r>
        <w:rPr>
          <w:b/>
          <w:bCs/>
          <w:color w:val="17365D"/>
          <w:sz w:val="17"/>
          <w:szCs w:val="17"/>
        </w:rPr>
        <w:t xml:space="preserve">PRODIGE-12. </w:t>
      </w:r>
      <w:r>
        <w:rPr>
          <w:sz w:val="17"/>
          <w:szCs w:val="17"/>
        </w:rPr>
        <w:t xml:space="preserve">Edeline J, Benabdelghani M, Bertaut A, et al. Gemcitabine and oxaliplatin chemotherapy or surveillance in resected biliary tract cancer (PRODIGE 12-ACCORD 18-UNICANCER GI): a randomized phase III study. J Clin Oncol. 2019;37(8):658-667. doi:10.1200/JCO.18.00050. PMID:30707660.</w:t>
      </w:r>
    </w:p>
    <w:p>
      <w:pPr>
        <w:spacing w:after="70"/>
        <w:ind w:left="360" w:hanging="360"/>
      </w:pPr>
      <w:r>
        <w:rPr>
          <w:b/>
          <w:bCs/>
          <w:color w:val="17365D"/>
          <w:sz w:val="17"/>
          <w:szCs w:val="17"/>
        </w:rPr>
        <w:t xml:space="preserve">ROAR. </w:t>
      </w:r>
      <w:r>
        <w:rPr>
          <w:sz w:val="17"/>
          <w:szCs w:val="17"/>
        </w:rPr>
        <w:t xml:space="preserve">Subbiah V, Lassen U, Élez E, et al. Dabrafenib plus trametinib in patients with BRAF V600E-mutated biliary tract cancer (ROAR): a phase 2, open-label, single-arm, multicentre basket trial. Lancet Oncol. 2020;21(9):1234-1243. doi:10.1016/S1470-2045(20)30321-1. PMID:32818466.</w:t>
      </w:r>
    </w:p>
    <w:p>
      <w:pPr>
        <w:spacing w:after="70"/>
        <w:ind w:left="360" w:hanging="360"/>
      </w:pPr>
      <w:r>
        <w:rPr>
          <w:b/>
          <w:bCs/>
          <w:color w:val="17365D"/>
          <w:sz w:val="17"/>
          <w:szCs w:val="17"/>
        </w:rPr>
        <w:t xml:space="preserve">TOPAZ-1. </w:t>
      </w:r>
      <w:r>
        <w:rPr>
          <w:sz w:val="17"/>
          <w:szCs w:val="17"/>
        </w:rPr>
        <w:t xml:space="preserve">Oh DY, Ruth He A, Qin S, et al. Durvalumab plus gemcitabine and cisplatin in advanced biliary tract cancer. NEJM Evid. 2022;1(8):EVIDoa2200015. doi:10.1056/EVIDoa2200015. PMID:38319896.</w:t>
      </w:r>
    </w:p>
    <w:p>
      <w:pPr>
        <w:pStyle w:val="Heading3"/>
        <w:keepNext/>
        <w:spacing w:after="110" w:before="240"/>
      </w:pPr>
      <w:r>
        <w:rPr>
          <w:rFonts w:ascii="Cambria" w:cs="Cambria" w:eastAsia="Cambria" w:hAnsi="Cambria"/>
          <w:b/>
          <w:bCs/>
          <w:color w:val="17365D"/>
          <w:sz w:val="22"/>
          <w:szCs w:val="22"/>
        </w:rPr>
        <w:t xml:space="preserve">Transplant</w:t>
      </w:r>
    </w:p>
    <w:p>
      <w:pPr>
        <w:spacing w:after="70"/>
        <w:ind w:left="360" w:hanging="360"/>
      </w:pPr>
      <w:r>
        <w:rPr>
          <w:b/>
          <w:bCs/>
          <w:color w:val="17365D"/>
          <w:sz w:val="17"/>
          <w:szCs w:val="17"/>
        </w:rPr>
        <w:t xml:space="preserve">12-centre protocol series. </w:t>
      </w:r>
      <w:r>
        <w:rPr>
          <w:sz w:val="17"/>
          <w:szCs w:val="17"/>
        </w:rPr>
        <w:t xml:space="preserve">Darwish Murad S, Kim WR, Harnois DM, et al. Efficacy of neoadjuvant chemoradiation, followed by liver transplantation, for perihilar cholangiocarcinoma at 12 US centers. Gastroenterology. 2012;143(1):88-98.e3. doi:10.1053/j.gastro.2012.04.008. PMID:22504095.</w:t>
      </w:r>
    </w:p>
    <w:p>
      <w:pPr>
        <w:spacing w:after="70"/>
        <w:ind w:left="360" w:hanging="360"/>
      </w:pPr>
      <w:r>
        <w:rPr>
          <w:b/>
          <w:bCs/>
          <w:color w:val="17365D"/>
          <w:sz w:val="17"/>
          <w:szCs w:val="17"/>
        </w:rPr>
        <w:t xml:space="preserve">Heimbach 2011. </w:t>
      </w:r>
      <w:r>
        <w:rPr>
          <w:sz w:val="17"/>
          <w:szCs w:val="17"/>
        </w:rPr>
        <w:t xml:space="preserve">Heimbach JK, Sanchez W, Rosen CB, et al. Trans-peritoneal fine needle aspiration biopsy of hilar cholangiocarcinoma is associated with disease dissemination. HPB (Oxford). 2011;13(5):356-60. doi:10.1111/j.1477-2574.2011.00298.x. PMID:21492336.</w:t>
      </w:r>
    </w:p>
    <w:p>
      <w:pPr>
        <w:spacing w:after="70"/>
        <w:ind w:left="360" w:hanging="360"/>
      </w:pPr>
      <w:r>
        <w:rPr>
          <w:b/>
          <w:bCs/>
          <w:color w:val="17365D"/>
          <w:sz w:val="17"/>
          <w:szCs w:val="17"/>
        </w:rPr>
        <w:t xml:space="preserve">Rea 2005. </w:t>
      </w:r>
      <w:r>
        <w:rPr>
          <w:sz w:val="17"/>
          <w:szCs w:val="17"/>
        </w:rPr>
        <w:t xml:space="preserve">Rea DJ, Heimbach JK, Rosen CB, et al. Liver transplantation with neoadjuvant chemoradiation is more effective than resection for hilar cholangiocarcinoma. Ann Surg. 2005;242(3):451-8; discussion 458-61. doi:10.1097/01.sla.0000179678.13285.fa. PMID:16135931.</w:t>
      </w:r>
    </w:p>
    <w:p>
      <w:pPr>
        <w:pStyle w:val="Heading1"/>
        <w:keepNext/>
        <w:pageBreakBefore/>
        <w:spacing w:after="110" w:before="320"/>
      </w:pPr>
      <w:r>
        <w:rPr>
          <w:rFonts w:ascii="Cambria" w:cs="Cambria" w:eastAsia="Cambria" w:hAnsi="Cambria"/>
          <w:b/>
          <w:bCs/>
          <w:color w:val="17365D"/>
          <w:sz w:val="32"/>
          <w:szCs w:val="32"/>
        </w:rPr>
        <w:t xml:space="preserve">Appendix: what is wrong with each paper</w:t>
      </w:r>
    </w:p>
    <w:p>
      <w:pPr>
        <w:spacing w:after="120" w:line="276"/>
      </w:pPr>
      <w:r>
        <w:rPr>
          <w:i/>
          <w:iCs/>
          <w:color w:val="5A6069"/>
          <w:sz w:val="20"/>
          <w:szCs w:val="20"/>
        </w:rPr>
        <w:t xml:space="preserve">Each source cited on this roadmap, with the limitations its authors state in their own discussion and the objections the full text supports but they do not raise. Nothing here withdraws a recommendation. It is the record of how far each one can be pushed, so that a claim is never quoted in clinic, to a payer or to a referring clinician as stronger than the paper behind it.</w:t>
      </w:r>
    </w:p>
    <w:p>
      <w:pPr>
        <w:spacing w:after="180" w:line="276"/>
      </w:pPr>
      <w:r>
        <w:rPr>
          <w:i/>
          <w:iCs/>
          <w:color w:val="5A6069"/>
          <w:sz w:val="20"/>
          <w:szCs w:val="20"/>
        </w:rPr>
        <w:t xml:space="preserve">38 of this pathway's 47 sources were read in full and abstracted this way. 9 were not, and are listed at the end of this appendix: guidelines and policy documents without a PMID, and the papers that could not be retrieved.</w:t>
      </w:r>
    </w:p>
    <w:p>
      <w:pPr>
        <w:keepNext/>
        <w:spacing w:after="50" w:before="260"/>
      </w:pPr>
      <w:r>
        <w:rPr>
          <w:rFonts w:ascii="Cambria" w:cs="Cambria" w:eastAsia="Cambria" w:hAnsi="Cambria"/>
          <w:b/>
          <w:bCs/>
          <w:color w:val="17365D"/>
          <w:sz w:val="20"/>
          <w:szCs w:val="20"/>
        </w:rPr>
        <w:t xml:space="preserve">12-centre protocol series</w:t>
      </w:r>
      <w:r>
        <w:rPr>
          <w:b/>
          <w:bCs/>
          <w:color w:val="176A87"/>
          <w:sz w:val="15"/>
          <w:szCs w:val="15"/>
        </w:rPr>
        <w:t xml:space="preserve">   cohort</w:t>
      </w:r>
      <w:r>
        <w:rPr>
          <w:color w:val="5A6069"/>
          <w:sz w:val="15"/>
          <w:szCs w:val="15"/>
        </w:rPr>
        <w:t xml:space="preserve">   PMID 22504095</w:t>
      </w:r>
    </w:p>
    <w:p>
      <w:pPr>
        <w:spacing w:after="50" w:line="276"/>
      </w:pPr>
      <w:r>
        <w:rPr>
          <w:color w:val="5A6069"/>
          <w:sz w:val="17"/>
          <w:szCs w:val="17"/>
        </w:rPr>
        <w:t xml:space="preserve">Efficacy of neoadjuvant chemoradiation, followed by liver transplantation, for perihilar cholangiocarcinoma at 12 US centers</w:t>
      </w:r>
    </w:p>
    <w:p>
      <w:pPr>
        <w:spacing w:after="50"/>
      </w:pPr>
      <w:r>
        <w:rPr>
          <w:b/>
          <w:bCs/>
          <w:color w:val="176A87"/>
          <w:sz w:val="16"/>
          <w:szCs w:val="16"/>
        </w:rPr>
        <w:t xml:space="preserve">Population. </w:t>
      </w:r>
      <w:r>
        <w:rPr>
          <w:sz w:val="16"/>
          <w:szCs w:val="16"/>
        </w:rPr>
        <w:t xml:space="preserve">287 patients with perihilar cholangiocarcinoma treated under a UNOS-approved neoadjuvant chemoradiation and liver transplant protocol at 12 US centres from January 1993 to July 2010, of whom 214 reached transplantation; 193 of the 287 came from one centre, and 26 patients plus 6 duplicates were excluded from the 319 originally reported</w:t>
      </w:r>
    </w:p>
    <w:p>
      <w:pPr>
        <w:spacing w:after="70"/>
      </w:pPr>
      <w:r>
        <w:rPr>
          <w:b/>
          <w:bCs/>
          <w:color w:val="17365D"/>
          <w:sz w:val="16"/>
          <w:szCs w:val="16"/>
        </w:rPr>
        <w:t xml:space="preserve">Bottom line. </w:t>
      </w:r>
      <w:r>
        <w:rPr>
          <w:sz w:val="16"/>
          <w:szCs w:val="16"/>
        </w:rPr>
        <w:t xml:space="preserve">Across 12 US centres, 214 of 287 patients enrolled in a neoadjuvant chemoradiation and transplant protocol reached transplantation and 65% were alive without recurrence at 5 years, which is the evidence base for the standard MELD exception for perihilar cholangiocarcinoma. Measured from enrolment the same cohort has 53% 5-year survival, 71 patients (25%) dropped out at a median of 4.6 months, and 193 of the 287 came from the centre that wrote the eligibility criteria this study then validates. It establishes that the protocol is reproducible where it is already practised; it does not compare transplantation with resection, cannot isolate any component of the neoadjuvant regimen, and leaves the cost of 236 grafts for 287 patients out of the allocation argument.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was not a randomised controlled trial, and the authors argue that a trial of transplantation with or without neoadjuvant therapy would be extremely difficult given the rarity of the disease and the unacceptably high recurrence historically reported after transplantation alone</w:t>
            </w:r>
          </w:p>
          <w:p>
            <w:pPr>
              <w:pStyle w:val="ListParagraph"/>
              <w:numPr>
                <w:ilvl w:val="0"/>
                <w:numId w:val="2"/>
              </w:numPr>
              <w:spacing w:after="45"/>
            </w:pPr>
            <w:r>
              <w:rPr>
                <w:sz w:val="15"/>
                <w:szCs w:val="15"/>
              </w:rPr>
              <w:t xml:space="preserve">A large proportion of patients came from one centre, 193 of 287, creating a potential for bias, which the authors address by showing no statistical difference in intent-to-treat or recurrence-free survival between that centre and the other 11</w:t>
            </w:r>
          </w:p>
          <w:p>
            <w:pPr>
              <w:pStyle w:val="ListParagraph"/>
              <w:numPr>
                <w:ilvl w:val="0"/>
                <w:numId w:val="2"/>
              </w:numPr>
              <w:spacing w:after="45"/>
            </w:pPr>
            <w:r>
              <w:rPr>
                <w:sz w:val="15"/>
                <w:szCs w:val="15"/>
              </w:rPr>
              <w:t xml:space="preserve">Heterogeneity in the duration, type and dose of maintenance chemotherapy across centres meant the independent impact of maintenance chemotherapy could not be determined</w:t>
            </w:r>
          </w:p>
          <w:p>
            <w:pPr>
              <w:pStyle w:val="ListParagraph"/>
              <w:numPr>
                <w:ilvl w:val="0"/>
                <w:numId w:val="2"/>
              </w:numPr>
              <w:spacing w:after="45"/>
            </w:pPr>
            <w:r>
              <w:rPr>
                <w:sz w:val="15"/>
                <w:szCs w:val="15"/>
              </w:rPr>
              <w:t xml:space="preserve">Pretransplant surgical staging failed to show a statistical advantage in recurrence-free survival, which the authors attribute mostly to lack of power given that only 30 transplanted patients were unstaged</w:t>
            </w:r>
          </w:p>
          <w:p>
            <w:pPr>
              <w:pStyle w:val="ListParagraph"/>
              <w:numPr>
                <w:ilvl w:val="0"/>
                <w:numId w:val="2"/>
              </w:numPr>
              <w:spacing w:after="45"/>
            </w:pPr>
            <w:r>
              <w:rPr>
                <w:sz w:val="15"/>
                <w:szCs w:val="15"/>
              </w:rPr>
              <w:t xml:space="preserve">Because the tumour biology remains incompletely understood, the effect of more rapid access to transplantation is unknown and may raise recurrence in patients whose tumours resist neoadjuvant therapy</w:t>
            </w:r>
          </w:p>
          <w:p>
            <w:pPr>
              <w:pStyle w:val="ListParagraph"/>
              <w:numPr>
                <w:ilvl w:val="0"/>
                <w:numId w:val="2"/>
              </w:numPr>
              <w:spacing w:after="45"/>
            </w:pPr>
            <w:r>
              <w:rPr>
                <w:sz w:val="15"/>
                <w:szCs w:val="15"/>
              </w:rPr>
              <w:t xml:space="preserve">Patients without a visible mass on cross-sectional imaging were counted as having a mass smaller than 3 cm for statistical purposes, which the authors state was necessary given the limits of radiographic detection of a small perihilar mass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headline figures of 78% and 65% recurrence-free survival are measured from the date of transplantation among the 214 patients who reached it; intention-to-treat survival for the 287 enrolled is 68% at 2 years and 53% at 5, and the abstract and conclusion lead with the post-transplant number</w:t>
            </w:r>
          </w:p>
          <w:p>
            <w:pPr>
              <w:pStyle w:val="ListParagraph"/>
              <w:numPr>
                <w:ilvl w:val="0"/>
                <w:numId w:val="2"/>
              </w:numPr>
              <w:spacing w:after="45"/>
            </w:pPr>
            <w:r>
              <w:rPr>
                <w:sz w:val="15"/>
                <w:szCs w:val="15"/>
              </w:rPr>
              <w:t xml:space="preserve">71 patients (25%) dropped out at a median of 4.6 months and 60 of the 122 deaths occurred before transplantation, 52 of them from tumour progression; the MELD exception is justified by restating that 25% as an average of 11.5% per 3 months (range 7%-17%) so that it approximates the 10% already assigned to hepatocellular carcinoma</w:t>
            </w:r>
          </w:p>
          <w:p>
            <w:pPr>
              <w:pStyle w:val="ListParagraph"/>
              <w:numPr>
                <w:ilvl w:val="0"/>
                <w:numId w:val="2"/>
              </w:numPr>
              <w:spacing w:after="45"/>
            </w:pPr>
            <w:r>
              <w:rPr>
                <w:sz w:val="15"/>
                <w:szCs w:val="15"/>
              </w:rPr>
              <w:t xml:space="preserve">The UNOS/OPTN eligibility criteria being tested were derived from earlier reports by the same group, and are re-evaluated in a dataset in which 193 of 287 patients come from the originating centre, so this is not external validation</w:t>
            </w:r>
          </w:p>
          <w:p>
            <w:pPr>
              <w:pStyle w:val="ListParagraph"/>
              <w:numPr>
                <w:ilvl w:val="0"/>
                <w:numId w:val="2"/>
              </w:numPr>
              <w:spacing w:after="45"/>
            </w:pPr>
            <w:r>
              <w:rPr>
                <w:sz w:val="15"/>
                <w:szCs w:val="15"/>
              </w:rPr>
              <w:t xml:space="preserve">The composite 'outside UNOS criteria' exposure, hazard ratio 2.98 (95% CI 1.79-4.95), pools mass over 3 cm (n=21), metastatic disease at transplantation (n=4), direct tumour biopsy (n=16) and prior malignancy within 5 years (n=7); no component is analysed separately, and Figure 4B gives the mass-over-3-cm group as n=23 against n=21 in the text</w:t>
            </w:r>
          </w:p>
          <w:p>
            <w:pPr>
              <w:pStyle w:val="ListParagraph"/>
              <w:numPr>
                <w:ilvl w:val="0"/>
                <w:numId w:val="2"/>
              </w:numPr>
              <w:spacing w:after="45"/>
            </w:pPr>
            <w:r>
              <w:rPr>
                <w:sz w:val="15"/>
                <w:szCs w:val="15"/>
              </w:rPr>
              <w:t xml:space="preserve">129 of 287 patients had no mass on imaging and were counted as having a mass under 3 cm, so the mass-size result that drives the selection argument, 5-year recurrence-free survival of 69% against 32%, rests partly on an assumption rather than a measurement</w:t>
            </w:r>
          </w:p>
          <w:p>
            <w:pPr>
              <w:pStyle w:val="ListParagraph"/>
              <w:numPr>
                <w:ilvl w:val="0"/>
                <w:numId w:val="2"/>
              </w:numPr>
              <w:spacing w:after="45"/>
            </w:pPr>
            <w:r>
              <w:rPr>
                <w:sz w:val="15"/>
                <w:szCs w:val="15"/>
              </w:rPr>
              <w:t xml:space="preserve">Tissue confirmation at entry was weak: 96 of 287 (33%) had a positive brushing and 65 (23%) a positive biopsy, 75 (26%) were negative on both, and median CA 19-9 was 76 U/mL with only 45% above the 100 U/mL criterion; the authors reduce the number with no proof to 15 (5%) by counting explant pathology and post-transplant recurrence as confirmation, which is evidence obtained after the intervention</w:t>
            </w:r>
          </w:p>
          <w:p>
            <w:pPr>
              <w:pStyle w:val="ListParagraph"/>
              <w:numPr>
                <w:ilvl w:val="0"/>
                <w:numId w:val="2"/>
              </w:numPr>
              <w:spacing w:after="45"/>
            </w:pPr>
            <w:r>
              <w:rPr>
                <w:sz w:val="15"/>
                <w:szCs w:val="15"/>
              </w:rPr>
              <w:t xml:space="preserve">Excluding those 15 patients lowers 5-year intention-to-treat survival to 50% and recurrence-free survival to 62%, figures the paper describes as similar to the entire cohort</w:t>
            </w:r>
          </w:p>
          <w:p>
            <w:pPr>
              <w:pStyle w:val="ListParagraph"/>
              <w:numPr>
                <w:ilvl w:val="0"/>
                <w:numId w:val="2"/>
              </w:numPr>
              <w:spacing w:after="45"/>
            </w:pPr>
            <w:r>
              <w:rPr>
                <w:sz w:val="15"/>
                <w:szCs w:val="15"/>
              </w:rPr>
              <w:t xml:space="preserve">Living donor allografts are given as 52 in Table 1 and 62 in Supplementary Table 2, where 152 deceased plus 62 living equals the 214 transplanted</w:t>
            </w:r>
          </w:p>
          <w:p>
            <w:pPr>
              <w:pStyle w:val="ListParagraph"/>
              <w:numPr>
                <w:ilvl w:val="0"/>
                <w:numId w:val="2"/>
              </w:numPr>
              <w:spacing w:after="45"/>
            </w:pPr>
            <w:r>
              <w:rPr>
                <w:sz w:val="15"/>
                <w:szCs w:val="15"/>
              </w:rPr>
              <w:t xml:space="preserve">The organ cost is absent from the argument for the MELD exception: 214 first grafts plus 22 re-transplantations (10%, eleven of them for arterial compromise) for 287 enrolled patients, in a protocol whose radiation made the portal vein friable in 23% and the hepatic artery in 12%</w:t>
            </w:r>
          </w:p>
          <w:p>
            <w:pPr>
              <w:pStyle w:val="ListParagraph"/>
              <w:numPr>
                <w:ilvl w:val="0"/>
                <w:numId w:val="2"/>
              </w:numPr>
              <w:spacing w:after="45"/>
            </w:pPr>
            <w:r>
              <w:rPr>
                <w:sz w:val="15"/>
                <w:szCs w:val="15"/>
              </w:rPr>
              <w:t xml:space="preserve">The 5-year graft survival confidence interval is printed as 60% (95% CI, 68-52), with the bounds reversed</w:t>
            </w:r>
          </w:p>
          <w:p>
            <w:pPr>
              <w:pStyle w:val="ListParagraph"/>
              <w:numPr>
                <w:ilvl w:val="0"/>
                <w:numId w:val="2"/>
              </w:numPr>
              <w:spacing w:after="45"/>
            </w:pPr>
            <w:r>
              <w:rPr>
                <w:sz w:val="15"/>
                <w:szCs w:val="15"/>
              </w:rPr>
              <w:t xml:space="preserve">Staging surgery showed no recurrence-free survival benefit (hazard ratio 0.73, 95% CI 0.37-1.43) and the timing of staging made no difference (0.79, 0.43-1.43), yet the practice is retained by an indirect calculation applying the 17% metastasis yield to the 30 unstaged patients</w:t>
            </w:r>
          </w:p>
          <w:p>
            <w:pPr>
              <w:pStyle w:val="ListParagraph"/>
              <w:numPr>
                <w:ilvl w:val="0"/>
                <w:numId w:val="2"/>
              </w:numPr>
              <w:spacing w:after="45"/>
            </w:pPr>
            <w:r>
              <w:rPr>
                <w:sz w:val="15"/>
                <w:szCs w:val="15"/>
              </w:rPr>
              <w:t xml:space="preserve">Brachytherapy showed no benefit (hazard ratio 1.05, 95% CI 0.60-1.85) and the authors note that most patients who did not receive it were given a higher external beam dose, so this compares delivery route at similar total dose rather than radiation dose</w:t>
            </w:r>
          </w:p>
          <w:p>
            <w:pPr>
              <w:pStyle w:val="ListParagraph"/>
              <w:numPr>
                <w:ilvl w:val="0"/>
                <w:numId w:val="2"/>
              </w:numPr>
              <w:spacing w:after="45"/>
            </w:pPr>
            <w:r>
              <w:rPr>
                <w:sz w:val="15"/>
                <w:szCs w:val="15"/>
              </w:rPr>
              <w:t xml:space="preserve">Centre protocols differ at the level of eligibility, not only therapy: Supplementary Table 1 shows one centre requiring a mass under 2 cm and another admitting masses up to 10 cm, with external beam doses from 2100 to 6000 cGy and brachytherapy from 988 to 5000 cGy, all pooled as one treatment</w:t>
            </w:r>
          </w:p>
          <w:p>
            <w:pPr>
              <w:pStyle w:val="ListParagraph"/>
              <w:numPr>
                <w:ilvl w:val="0"/>
                <w:numId w:val="2"/>
              </w:numPr>
              <w:spacing w:after="45"/>
            </w:pPr>
            <w:r>
              <w:rPr>
                <w:sz w:val="15"/>
                <w:szCs w:val="15"/>
              </w:rPr>
              <w:t xml:space="preserve">26 of the 319 reported patients were excluded, including 11 incidental explant diagnoses and 8 transplanted without neoadjuvant therapy, so the group that would form the natural comparator for the value of neoadjuvant therapy is removed from the analysis</w:t>
            </w:r>
          </w:p>
          <w:p>
            <w:pPr>
              <w:pStyle w:val="ListParagraph"/>
              <w:numPr>
                <w:ilvl w:val="0"/>
                <w:numId w:val="2"/>
              </w:numPr>
              <w:spacing w:after="45"/>
            </w:pPr>
            <w:r>
              <w:rPr>
                <w:sz w:val="15"/>
                <w:szCs w:val="15"/>
              </w:rPr>
              <w:t xml:space="preserve">Of 50 centres invited, 30 responded and 12 qualified, and the authors identify at least 10 further centres with approved protocols whose outcomes are unknown, so centres with worse results are not represented</w:t>
            </w:r>
          </w:p>
          <w:p>
            <w:pPr>
              <w:pStyle w:val="ListParagraph"/>
              <w:numPr>
                <w:ilvl w:val="0"/>
                <w:numId w:val="2"/>
              </w:numPr>
              <w:spacing w:after="45"/>
            </w:pPr>
            <w:r>
              <w:rPr>
                <w:sz w:val="15"/>
                <w:szCs w:val="15"/>
              </w:rPr>
              <w:t xml:space="preserve">Median follow-up was 2.5 years from listing while 5- and 10-year estimates are reported, including 59% (49-69) recurrence-free survival at 10 years, and no numbers at risk appear on any curve</w:t>
            </w:r>
          </w:p>
          <w:p>
            <w:pPr>
              <w:pStyle w:val="ListParagraph"/>
              <w:numPr>
                <w:ilvl w:val="0"/>
                <w:numId w:val="2"/>
              </w:numPr>
              <w:spacing w:after="45"/>
            </w:pPr>
            <w:r>
              <w:rPr>
                <w:sz w:val="15"/>
                <w:szCs w:val="15"/>
              </w:rPr>
              <w:t xml:space="preserve">Toxicity is reported without grading or a stated denominator: recurrent clinical or subclinical cholangitis 'occurred in all patients', gastroduodenal ulcers in 34%, nausea or vomiting in 81%</w:t>
            </w:r>
          </w:p>
          <w:p>
            <w:pPr>
              <w:pStyle w:val="ListParagraph"/>
              <w:numPr>
                <w:ilvl w:val="0"/>
                <w:numId w:val="2"/>
              </w:numPr>
              <w:spacing w:after="45"/>
            </w:pPr>
            <w:r>
              <w:rPr>
                <w:sz w:val="15"/>
                <w:szCs w:val="15"/>
              </w:rPr>
              <w:t xml:space="preserve">No linked editorial or comment was found in PubMed; a Covering the Cover synopsis and a CME activity accompany the article and were not reviewed</w:t>
            </w:r>
          </w:p>
        </w:tc>
      </w:tr>
    </w:tbl>
    <w:p>
      <w:pPr>
        <w:spacing w:after="0" w:line="276"/>
      </w:pPr>
      <w:r>
        <w:rPr>
          <w:color w:val="5A6069"/>
          <w:sz w:val="14"/>
          <w:szCs w:val="14"/>
        </w:rPr>
        <w:t xml:space="preserve">Funding: Sarwa Darwish Murad held the 2010/2011 American Association for the Study of Liver Disease/LIFER Clinical and Translational Research Fellowship in Liver Diseases Award; the authors disclose no conflicts</w:t>
      </w:r>
    </w:p>
    <w:p>
      <w:pPr>
        <w:keepNext/>
        <w:spacing w:after="50" w:before="260"/>
      </w:pPr>
      <w:r>
        <w:rPr>
          <w:rFonts w:ascii="Cambria" w:cs="Cambria" w:eastAsia="Cambria" w:hAnsi="Cambria"/>
          <w:b/>
          <w:bCs/>
          <w:color w:val="17365D"/>
          <w:sz w:val="20"/>
          <w:szCs w:val="20"/>
        </w:rPr>
        <w:t xml:space="preserve">AASLD 2023</w:t>
      </w:r>
      <w:r>
        <w:rPr>
          <w:b/>
          <w:bCs/>
          <w:color w:val="176A87"/>
          <w:sz w:val="15"/>
          <w:szCs w:val="15"/>
        </w:rPr>
        <w:t xml:space="preserve">   Guideline</w:t>
      </w:r>
      <w:r>
        <w:rPr>
          <w:color w:val="5A6069"/>
          <w:sz w:val="15"/>
          <w:szCs w:val="15"/>
        </w:rPr>
        <w:t xml:space="preserve">   PMID 36083140</w:t>
      </w:r>
    </w:p>
    <w:p>
      <w:pPr>
        <w:spacing w:after="50" w:line="276"/>
      </w:pPr>
      <w:r>
        <w:rPr>
          <w:color w:val="5A6069"/>
          <w:sz w:val="17"/>
          <w:szCs w:val="17"/>
        </w:rPr>
        <w:t xml:space="preserve">AASLD practice guidance on primary sclerosing cholangitis and cholangiocarcinoma</w:t>
      </w:r>
    </w:p>
    <w:p>
      <w:pPr>
        <w:spacing w:after="70"/>
      </w:pPr>
      <w:r>
        <w:rPr>
          <w:b/>
          <w:bCs/>
          <w:color w:val="17365D"/>
          <w:sz w:val="16"/>
          <w:szCs w:val="16"/>
        </w:rPr>
        <w:t xml:space="preserve">Bottom line. </w:t>
      </w:r>
      <w:r>
        <w:rPr>
          <w:sz w:val="16"/>
          <w:szCs w:val="16"/>
        </w:rPr>
        <w:t xml:space="preserve">The AASLD guidance is the reference for surveillance and diagnosis in primary sclerosing cholangitis and the first AASLD document to cover cholangiocarcinoma, with 53 statements spanning annual MRI/MRCP surveillance, intraductal cytology with FISH, mandatory histology for iCCA, and transplantation after neoadjuvant therapy for perihilar tumours of 3 cm or less. It is explicitly expert consensus with no graded evidence, and no prospective study supports its central surveillance recommendation. It contradicts itself on iCCA transplantation, with statement 40 confining it to research protocols and the algorithm figure referring every unresectable tumour of 2 cm or less.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document states that too few randomised trials exist for a GRADE-based guideline, so all 53 statements are expert panel consensus with no formal rating of evidence quality or strength of recommendation</w:t>
            </w:r>
          </w:p>
          <w:p>
            <w:pPr>
              <w:pStyle w:val="ListParagraph"/>
              <w:numPr>
                <w:ilvl w:val="0"/>
                <w:numId w:val="2"/>
              </w:numPr>
              <w:spacing w:after="45"/>
            </w:pPr>
            <w:r>
              <w:rPr>
                <w:sz w:val="15"/>
                <w:szCs w:val="15"/>
              </w:rPr>
              <w:t xml:space="preserve">Surveillance is explicitly not recommended in patients under 18 or with small-duct primary sclerosing cholangitis, an acknowledged gap rather than a positive recommendation</w:t>
            </w:r>
          </w:p>
          <w:p>
            <w:pPr>
              <w:pStyle w:val="ListParagraph"/>
              <w:numPr>
                <w:ilvl w:val="0"/>
                <w:numId w:val="2"/>
              </w:numPr>
              <w:spacing w:after="45"/>
            </w:pPr>
            <w:r>
              <w:rPr>
                <w:sz w:val="15"/>
                <w:szCs w:val="15"/>
              </w:rPr>
              <w:t xml:space="preserve">Elevated CA 19-9 alone is stated to be insufficient to diagnose cholangiocarcinoma</w:t>
            </w:r>
          </w:p>
          <w:p>
            <w:pPr>
              <w:pStyle w:val="ListParagraph"/>
              <w:numPr>
                <w:ilvl w:val="0"/>
                <w:numId w:val="2"/>
              </w:numPr>
              <w:spacing w:after="45"/>
            </w:pPr>
            <w:r>
              <w:rPr>
                <w:sz w:val="15"/>
                <w:szCs w:val="15"/>
              </w:rPr>
              <w:t xml:space="preserve">The panel states that locoregional therapy for iCCA is not yet standard and that transplantation for unresectable liver-limited iCCA belongs only in research protocols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No prospective study supports annual cholangiocarcinoma surveillance in primary sclerosing cholangitis; the 68% against 20% 5-year survival figure comes from a single retrospective cohort comparison, where the surveyed group is by construction composed of patients well enough to attend surveillance</w:t>
            </w:r>
          </w:p>
          <w:p>
            <w:pPr>
              <w:pStyle w:val="ListParagraph"/>
              <w:numPr>
                <w:ilvl w:val="0"/>
                <w:numId w:val="2"/>
              </w:numPr>
              <w:spacing w:after="45"/>
            </w:pPr>
            <w:r>
              <w:rPr>
                <w:sz w:val="15"/>
                <w:szCs w:val="15"/>
              </w:rPr>
              <w:t xml:space="preserve">The guidance contradicts itself on iCCA transplantation: statement 40 confines it to research protocols while the Figure 9A algorithm directs referral to a transplant centre for any unresectable iCCA of 2 cm or less, and a reader following the figure and a reader following the statement will do different things</w:t>
            </w:r>
          </w:p>
          <w:p>
            <w:pPr>
              <w:pStyle w:val="ListParagraph"/>
              <w:numPr>
                <w:ilvl w:val="0"/>
                <w:numId w:val="2"/>
              </w:numPr>
              <w:spacing w:after="45"/>
            </w:pPr>
            <w:r>
              <w:rPr>
                <w:sz w:val="15"/>
                <w:szCs w:val="15"/>
              </w:rPr>
              <w:t xml:space="preserve">Two different size thresholds sit in the same document, 2 cm in the iCCA algorithm and 3 cm radial diameter for perihilar transplantation after neoadjuvant therapy, with no explanation of why the intrahepatic limit is tighter</w:t>
            </w:r>
          </w:p>
          <w:p>
            <w:pPr>
              <w:pStyle w:val="ListParagraph"/>
              <w:numPr>
                <w:ilvl w:val="0"/>
                <w:numId w:val="2"/>
              </w:numPr>
              <w:spacing w:after="45"/>
            </w:pPr>
            <w:r>
              <w:rPr>
                <w:sz w:val="15"/>
                <w:szCs w:val="15"/>
              </w:rPr>
              <w:t xml:space="preserve">Routine FISH on biliary brushings is recommended for every suspected perihilar or distal cholangiocarcinoma, a test not uniformly available for this purpose even in major centres, and the 70% against 18% figure for serial polysomy is a diagnostic yield over time rather than a test characteristic at the point of decision</w:t>
            </w:r>
          </w:p>
          <w:p>
            <w:pPr>
              <w:pStyle w:val="ListParagraph"/>
              <w:numPr>
                <w:ilvl w:val="0"/>
                <w:numId w:val="2"/>
              </w:numPr>
              <w:spacing w:after="45"/>
            </w:pPr>
            <w:r>
              <w:rPr>
                <w:sz w:val="15"/>
                <w:szCs w:val="15"/>
              </w:rPr>
              <w:t xml:space="preserve">Statement 44 forbids fine-needle aspiration or percutaneous biopsy of a perihilar mass to protect transplant candidacy, while statement 34 of the companion literature and most oncology guidance require tissue before systemic therapy; the guidance does not say what to do for a patient who turns out not to be a transplant candidate after the opportunity to biopsy has passed</w:t>
            </w:r>
          </w:p>
          <w:p>
            <w:pPr>
              <w:pStyle w:val="ListParagraph"/>
              <w:numPr>
                <w:ilvl w:val="0"/>
                <w:numId w:val="2"/>
              </w:numPr>
              <w:spacing w:after="45"/>
            </w:pPr>
            <w:r>
              <w:rPr>
                <w:sz w:val="15"/>
                <w:szCs w:val="15"/>
              </w:rPr>
              <w:t xml:space="preserve">No statement addresses the role or extent of lymphadenectomy in iCCA, nor a minimum node count in perihilar or distal disease, leaving the operative decision that determines stage unaddressed across 53 statements</w:t>
            </w:r>
          </w:p>
          <w:p>
            <w:pPr>
              <w:pStyle w:val="ListParagraph"/>
              <w:numPr>
                <w:ilvl w:val="0"/>
                <w:numId w:val="2"/>
              </w:numPr>
              <w:spacing w:after="45"/>
            </w:pPr>
            <w:r>
              <w:rPr>
                <w:sz w:val="15"/>
                <w:szCs w:val="15"/>
              </w:rPr>
              <w:t xml:space="preserve">Thresholds conflict with European guidance without the conflict being noted: cholecystectomy at a gallbladder polyp above 8 mm against above 6 mm in the 2017 European guidelines, and ursodeoxycholic acid at 13 to 23 mg/kg/day against 15 to 20 mg/kg/day in EASL guidance</w:t>
            </w:r>
          </w:p>
          <w:p>
            <w:pPr>
              <w:pStyle w:val="ListParagraph"/>
              <w:numPr>
                <w:ilvl w:val="0"/>
                <w:numId w:val="2"/>
              </w:numPr>
              <w:spacing w:after="45"/>
            </w:pPr>
            <w:r>
              <w:rPr>
                <w:sz w:val="15"/>
                <w:szCs w:val="15"/>
              </w:rPr>
              <w:t xml:space="preserve">Adjuvant capecitabine is recommended for all cholangiocarcinoma without reference to the failed intention-to-treat analysis of the trial behind it or to the absence of an intrahepatic subgroup effect</w:t>
            </w:r>
          </w:p>
          <w:p>
            <w:pPr>
              <w:pStyle w:val="ListParagraph"/>
              <w:numPr>
                <w:ilvl w:val="0"/>
                <w:numId w:val="2"/>
              </w:numPr>
              <w:spacing w:after="45"/>
            </w:pPr>
            <w:r>
              <w:rPr>
                <w:sz w:val="15"/>
                <w:szCs w:val="15"/>
              </w:rPr>
              <w:t xml:space="preserve">The diagnostic performance figures are quoted without the cohorts behind them: MRI/MRCP at 89% sensitivity and 75% specificity against ultrasound at 57% and 94%, and CA 19-9 at 129 U/mL giving 78% and 98%, are presented side by side from different studies with different reference standards</w:t>
            </w:r>
          </w:p>
          <w:p>
            <w:pPr>
              <w:pStyle w:val="ListParagraph"/>
              <w:numPr>
                <w:ilvl w:val="0"/>
                <w:numId w:val="2"/>
              </w:numPr>
              <w:spacing w:after="45"/>
            </w:pPr>
            <w:r>
              <w:rPr>
                <w:sz w:val="15"/>
                <w:szCs w:val="15"/>
              </w:rPr>
              <w:t xml:space="preserve">PET is recommended against for the primary tumour here while the EASL-ILCA guideline recommends routine FDG-PET for nodal staging in apparently resectable iCCA, a direct conflict between two 2023 guidance documents that neither acknowledges</w:t>
            </w:r>
          </w:p>
          <w:p>
            <w:pPr>
              <w:pStyle w:val="ListParagraph"/>
              <w:numPr>
                <w:ilvl w:val="0"/>
                <w:numId w:val="2"/>
              </w:numPr>
              <w:spacing w:after="45"/>
            </w:pPr>
            <w:r>
              <w:rPr>
                <w:sz w:val="15"/>
                <w:szCs w:val="15"/>
              </w:rPr>
              <w:t xml:space="preserve">The guidance introduces new stricture terminology (dominant, high-grade and relevant) whose thresholds are set by expert consensus with no validation data, and then conditions several management statements on those definitions</w:t>
            </w:r>
          </w:p>
          <w:p>
            <w:pPr>
              <w:pStyle w:val="ListParagraph"/>
              <w:numPr>
                <w:ilvl w:val="0"/>
                <w:numId w:val="2"/>
              </w:numPr>
              <w:spacing w:after="45"/>
            </w:pPr>
            <w:r>
              <w:rPr>
                <w:sz w:val="15"/>
                <w:szCs w:val="15"/>
              </w:rPr>
              <w:t xml:space="preserve">The transplant author declares consulting and grant relationships with Roche and AstraZeneca and is also the senior author of the iCCA transplant series and review on which the transplant statements depend</w:t>
            </w:r>
          </w:p>
          <w:p>
            <w:pPr>
              <w:pStyle w:val="ListParagraph"/>
              <w:numPr>
                <w:ilvl w:val="0"/>
                <w:numId w:val="2"/>
              </w:numPr>
              <w:spacing w:after="45"/>
            </w:pPr>
            <w:r>
              <w:rPr>
                <w:sz w:val="15"/>
                <w:szCs w:val="15"/>
              </w:rPr>
              <w:t xml:space="preserve">An editorial by Saffioti and Mavroeidis (Hepatobiliary Surg Nutr 2024;13:172-5, PMID 38322224) raises the FISH availability and lymphadenectomy gaps; it was identified from the citation record and its arguments are reported second-hand rather than read here</w:t>
            </w:r>
          </w:p>
        </w:tc>
      </w:tr>
    </w:tbl>
    <w:p>
      <w:pPr>
        <w:spacing w:after="0" w:line="276"/>
      </w:pPr>
      <w:r>
        <w:rPr>
          <w:color w:val="5A6069"/>
          <w:sz w:val="14"/>
          <w:szCs w:val="14"/>
        </w:rPr>
        <w:t xml:space="preserve">Funding: Funding for the development of the Practice Guidance was provided by the American Association for the Study of Liver Diseases; individual authors declare grants and advisory relationships including Gilead, Bristol-Myers Squibb, GlaxoSmithKline, Mirum, Boston Scientific, Intercept, Novartis and others, and the transplant author declares consulting and grants from Roche, AstraZeneca and Integra</w:t>
      </w:r>
    </w:p>
    <w:p>
      <w:pPr>
        <w:keepNext/>
        <w:spacing w:after="50" w:before="260"/>
      </w:pPr>
      <w:r>
        <w:rPr>
          <w:rFonts w:ascii="Cambria" w:cs="Cambria" w:eastAsia="Cambria" w:hAnsi="Cambria"/>
          <w:b/>
          <w:bCs/>
          <w:color w:val="17365D"/>
          <w:sz w:val="20"/>
          <w:szCs w:val="20"/>
        </w:rPr>
        <w:t xml:space="preserve">ABC-02</w:t>
      </w:r>
      <w:r>
        <w:rPr>
          <w:b/>
          <w:bCs/>
          <w:color w:val="176A87"/>
          <w:sz w:val="15"/>
          <w:szCs w:val="15"/>
        </w:rPr>
        <w:t xml:space="preserve">   Randomised trial</w:t>
      </w:r>
      <w:r>
        <w:rPr>
          <w:color w:val="5A6069"/>
          <w:sz w:val="15"/>
          <w:szCs w:val="15"/>
        </w:rPr>
        <w:t xml:space="preserve">   PMID 20375404</w:t>
      </w:r>
    </w:p>
    <w:p>
      <w:pPr>
        <w:spacing w:after="50" w:line="276"/>
      </w:pPr>
      <w:r>
        <w:rPr>
          <w:color w:val="5A6069"/>
          <w:sz w:val="17"/>
          <w:szCs w:val="17"/>
        </w:rPr>
        <w:t xml:space="preserve">Cisplatin plus Gemcitabine versus Gemcitabine for Biliary Tract Cancer</w:t>
      </w:r>
    </w:p>
    <w:p>
      <w:pPr>
        <w:spacing w:after="50"/>
      </w:pPr>
      <w:r>
        <w:rPr>
          <w:b/>
          <w:bCs/>
          <w:color w:val="176A87"/>
          <w:sz w:val="16"/>
          <w:szCs w:val="16"/>
        </w:rPr>
        <w:t xml:space="preserve">Population. </w:t>
      </w:r>
      <w:r>
        <w:rPr>
          <w:sz w:val="16"/>
          <w:szCs w:val="16"/>
        </w:rPr>
        <w:t xml:space="preserve">410 patients with locally advanced or metastatic biliary tract cancer at 37 UK centres, of whom 80 (20%) had intrahepatic cholangiocarcinoma, 149 gallbladder cancer, 73 extrahepatic and 57 hilar cholangiocarcinoma, 20 ampullary cancer and 31 unspecified; 86 of the 410 came from the preceding randomised phase 2 ABC-01 study</w:t>
      </w:r>
    </w:p>
    <w:p>
      <w:pPr>
        <w:spacing w:after="70"/>
      </w:pPr>
      <w:r>
        <w:rPr>
          <w:b/>
          <w:bCs/>
          <w:color w:val="17365D"/>
          <w:sz w:val="16"/>
          <w:szCs w:val="16"/>
        </w:rPr>
        <w:t xml:space="preserve">Bottom line. </w:t>
      </w:r>
      <w:r>
        <w:rPr>
          <w:sz w:val="16"/>
          <w:szCs w:val="16"/>
        </w:rPr>
        <w:t xml:space="preserve">ABC-02 established cisplatin plus gemcitabine as first-line treatment for advanced biliary tract cancer, with median survival of 11.7 against 8.1 months and a hazard ratio of 0.64 (0.52-0.80) at no cost in overall toxicity. It does not establish a benefit in intrahepatic cholangiocarcinoma specifically, since iCCA was 80 of 410 patients and no site-specific estimate was ever reported. Median follow-up was 8.2 months, shorter than the median survival it reports, and 86 of the patients came from the phase 2 study that generated the hypothesis.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anywhere in the paper; the authors concede only that the excess of grade 3 or 4 abnormal liver function in the gemcitabine-alone arm was possibly a result of inferior disease control and biliary drainage, and that until ABC-01 and this trial the evidence base was non-randomised phase 2 studies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is a continuation of ABC-01, and the 86 patients randomised there generated the progression-free survival signal used to justify the extension and were then counted in this 410-patient confirmatory analysis, so the hypothesis and the test of it share data</w:t>
            </w:r>
          </w:p>
          <w:p>
            <w:pPr>
              <w:pStyle w:val="ListParagraph"/>
              <w:numPr>
                <w:ilvl w:val="0"/>
                <w:numId w:val="2"/>
              </w:numPr>
              <w:spacing w:after="45"/>
            </w:pPr>
            <w:r>
              <w:rPr>
                <w:sz w:val="15"/>
                <w:szCs w:val="15"/>
              </w:rPr>
              <w:t xml:space="preserve">Median follow-up was 8.2 months, shorter than the 11.7-month median survival being reported; the numbers at risk fall to 17 against 4 by 24 months and 2 against 2 by 32 months, so nothing beyond two years is estimable</w:t>
            </w:r>
          </w:p>
          <w:p>
            <w:pPr>
              <w:pStyle w:val="ListParagraph"/>
              <w:numPr>
                <w:ilvl w:val="0"/>
                <w:numId w:val="2"/>
              </w:numPr>
              <w:spacing w:after="45"/>
            </w:pPr>
            <w:r>
              <w:rPr>
                <w:sz w:val="15"/>
                <w:szCs w:val="15"/>
              </w:rPr>
              <w:t xml:space="preserve">Intrahepatic cholangiocarcinoma is 80 of 410 patients and no site-specific hazard ratio is reported; the forest plot showing no heterogeneity is used to license pooling in a trial with no power to detect site-by-treatment interaction</w:t>
            </w:r>
          </w:p>
          <w:p>
            <w:pPr>
              <w:pStyle w:val="ListParagraph"/>
              <w:numPr>
                <w:ilvl w:val="0"/>
                <w:numId w:val="2"/>
              </w:numPr>
              <w:spacing w:after="45"/>
            </w:pPr>
            <w:r>
              <w:rPr>
                <w:sz w:val="15"/>
                <w:szCs w:val="15"/>
              </w:rPr>
              <w:t xml:space="preserve">Gallbladder cancer is 36% of the population and ampullary carcinoma a further 5%, so more than two-fifths of the evidence for the iCCA standard of care comes from tumours of different origin and different biology</w:t>
            </w:r>
          </w:p>
          <w:p>
            <w:pPr>
              <w:pStyle w:val="ListParagraph"/>
              <w:numPr>
                <w:ilvl w:val="0"/>
                <w:numId w:val="2"/>
              </w:numPr>
              <w:spacing w:after="45"/>
            </w:pPr>
            <w:r>
              <w:rPr>
                <w:sz w:val="15"/>
                <w:szCs w:val="15"/>
              </w:rPr>
              <w:t xml:space="preserve">The two arms differ in gemcitabine schedule as well as in cisplatin, 1000 mg/m2 on days 1 and 8 of 21 against days 1, 8 and 15 of 28, so the comparison is regimen against regimen and cannot isolate the contribution of adding cisplatin</w:t>
            </w:r>
          </w:p>
          <w:p>
            <w:pPr>
              <w:pStyle w:val="ListParagraph"/>
              <w:numPr>
                <w:ilvl w:val="0"/>
                <w:numId w:val="2"/>
              </w:numPr>
              <w:spacing w:after="45"/>
            </w:pPr>
            <w:r>
              <w:rPr>
                <w:sz w:val="15"/>
                <w:szCs w:val="15"/>
              </w:rPr>
              <w:t xml:space="preserve">Objective response was assessable in only 303 of 410 patients because measurable disease was not required at entry, and the 81.4% versus 71.8% tumour control rate at P = 0.049 is computed on that incomplete subset and counts stable disease as control</w:t>
            </w:r>
          </w:p>
          <w:p>
            <w:pPr>
              <w:pStyle w:val="ListParagraph"/>
              <w:numPr>
                <w:ilvl w:val="0"/>
                <w:numId w:val="2"/>
              </w:numPr>
              <w:spacing w:after="45"/>
            </w:pPr>
            <w:r>
              <w:rPr>
                <w:sz w:val="15"/>
                <w:szCs w:val="15"/>
              </w:rPr>
              <w:t xml:space="preserve">Imaging was obtained only at weeks 12 and 24 by RECIST 1.0 with no confirmatory scan, so progression-free survival can only move in 12-week steps and the 3-month difference in median progression-free survival is of the same order as the assessment interval</w:t>
            </w:r>
          </w:p>
          <w:p>
            <w:pPr>
              <w:pStyle w:val="ListParagraph"/>
              <w:numPr>
                <w:ilvl w:val="0"/>
                <w:numId w:val="2"/>
              </w:numPr>
              <w:spacing w:after="45"/>
            </w:pPr>
            <w:r>
              <w:rPr>
                <w:sz w:val="15"/>
                <w:szCs w:val="15"/>
              </w:rPr>
              <w:t xml:space="preserve">Biliary obstruction was deliberately not counted as progression, which in a disease whose dominant local event is biliary obstruction removes a clinically meaningful progression event from the primary biological endpoint's companion measure</w:t>
            </w:r>
          </w:p>
          <w:p>
            <w:pPr>
              <w:pStyle w:val="ListParagraph"/>
              <w:numPr>
                <w:ilvl w:val="0"/>
                <w:numId w:val="2"/>
              </w:numPr>
              <w:spacing w:after="45"/>
            </w:pPr>
            <w:r>
              <w:rPr>
                <w:sz w:val="15"/>
                <w:szCs w:val="15"/>
              </w:rPr>
              <w:t xml:space="preserve">Only 72 of 410 patients (18%) received any second-line therapy, so the overall survival difference was generated in a setting with almost no post-progression treatment and will not transfer to current practice</w:t>
            </w:r>
          </w:p>
          <w:p>
            <w:pPr>
              <w:pStyle w:val="ListParagraph"/>
              <w:numPr>
                <w:ilvl w:val="0"/>
                <w:numId w:val="2"/>
              </w:numPr>
              <w:spacing w:after="45"/>
            </w:pPr>
            <w:r>
              <w:rPr>
                <w:sz w:val="15"/>
                <w:szCs w:val="15"/>
              </w:rPr>
              <w:t xml:space="preserve">Treatment duration differed substantially between arms, 21 against 14 weeks, P = 0.003, and 63% against 52% started a second 12 weeks, so the arms also differ in total exposure and in contact with the treating team</w:t>
            </w:r>
          </w:p>
          <w:p>
            <w:pPr>
              <w:pStyle w:val="ListParagraph"/>
              <w:numPr>
                <w:ilvl w:val="0"/>
                <w:numId w:val="2"/>
              </w:numPr>
              <w:spacing w:after="45"/>
            </w:pPr>
            <w:r>
              <w:rPr>
                <w:sz w:val="15"/>
                <w:szCs w:val="15"/>
              </w:rPr>
              <w:t xml:space="preserve">The explanation offered for better liver function tests on the combination, superior disease control and biliary drainage, is an interpretation with no drainage-procedure data reported to support it</w:t>
            </w:r>
          </w:p>
          <w:p>
            <w:pPr>
              <w:pStyle w:val="ListParagraph"/>
              <w:numPr>
                <w:ilvl w:val="0"/>
                <w:numId w:val="2"/>
              </w:numPr>
              <w:spacing w:after="45"/>
            </w:pPr>
            <w:r>
              <w:rPr>
                <w:sz w:val="15"/>
                <w:szCs w:val="15"/>
              </w:rPr>
              <w:t xml:space="preserve">Lilly Oncology supplied gemcitabine free and gave an unrestricted educational grant to a trial in which both arms receive Lilly's drug and the result establishes a gemcitabine-containing standard</w:t>
            </w:r>
          </w:p>
          <w:p>
            <w:pPr>
              <w:pStyle w:val="ListParagraph"/>
              <w:numPr>
                <w:ilvl w:val="0"/>
                <w:numId w:val="2"/>
              </w:numPr>
              <w:spacing w:after="45"/>
            </w:pPr>
            <w:r>
              <w:rPr>
                <w:sz w:val="15"/>
                <w:szCs w:val="15"/>
              </w:rPr>
              <w:t xml:space="preserve">The trial was open-label with investigator-assessed progression and no blinded central review of imaging is described</w:t>
            </w:r>
          </w:p>
          <w:p>
            <w:pPr>
              <w:pStyle w:val="ListParagraph"/>
              <w:numPr>
                <w:ilvl w:val="0"/>
                <w:numId w:val="2"/>
              </w:numPr>
              <w:spacing w:after="45"/>
            </w:pPr>
            <w:r>
              <w:rPr>
                <w:sz w:val="15"/>
                <w:szCs w:val="15"/>
              </w:rPr>
              <w:t xml:space="preserve">No tissue collection, molecular stratification or biobanking is described, so the trial that defined the control arm for every subsequent biliary trial left no material to characterise who benefited</w:t>
            </w:r>
          </w:p>
          <w:p>
            <w:pPr>
              <w:pStyle w:val="ListParagraph"/>
              <w:numPr>
                <w:ilvl w:val="0"/>
                <w:numId w:val="2"/>
              </w:numPr>
              <w:spacing w:after="45"/>
            </w:pPr>
            <w:r>
              <w:rPr>
                <w:sz w:val="15"/>
                <w:szCs w:val="15"/>
              </w:rPr>
              <w:t xml:space="preserve">Two letters in the New England Journal of Medicine (Hall, PMID 20653076, with the authors' reply; Cariati, PMID 20647216) questioned the cost-benefit of a 3.6-month median gain; both were identified from the citation record and not read here</w:t>
            </w:r>
          </w:p>
        </w:tc>
      </w:tr>
    </w:tbl>
    <w:p>
      <w:pPr>
        <w:spacing w:after="0" w:line="276"/>
      </w:pPr>
      <w:r>
        <w:rPr>
          <w:color w:val="5A6069"/>
          <w:sz w:val="14"/>
          <w:szCs w:val="14"/>
        </w:rPr>
        <w:t xml:space="preserve">Funding: Supported by University College London Hospitals and UCL Comprehensive Biomedical Research Centre, Cancer Research UK, and an unrestricted educational grant from Lilly Oncology, which supplied gemcitabine free of charge and had no role in accrual, analysis, interpretation or writing</w:t>
      </w:r>
    </w:p>
    <w:p>
      <w:pPr>
        <w:keepNext/>
        <w:spacing w:after="50" w:before="260"/>
      </w:pPr>
      <w:r>
        <w:rPr>
          <w:rFonts w:ascii="Cambria" w:cs="Cambria" w:eastAsia="Cambria" w:hAnsi="Cambria"/>
          <w:b/>
          <w:bCs/>
          <w:color w:val="17365D"/>
          <w:sz w:val="20"/>
          <w:szCs w:val="20"/>
        </w:rPr>
        <w:t xml:space="preserve">ABC-06</w:t>
      </w:r>
      <w:r>
        <w:rPr>
          <w:b/>
          <w:bCs/>
          <w:color w:val="176A87"/>
          <w:sz w:val="15"/>
          <w:szCs w:val="15"/>
        </w:rPr>
        <w:t xml:space="preserve">   Randomised trial</w:t>
      </w:r>
      <w:r>
        <w:rPr>
          <w:color w:val="5A6069"/>
          <w:sz w:val="15"/>
          <w:szCs w:val="15"/>
        </w:rPr>
        <w:t xml:space="preserve">   PMID 33798493</w:t>
      </w:r>
    </w:p>
    <w:p>
      <w:pPr>
        <w:spacing w:after="50" w:line="276"/>
      </w:pPr>
      <w:r>
        <w:rPr>
          <w:color w:val="5A6069"/>
          <w:sz w:val="17"/>
          <w:szCs w:val="17"/>
        </w:rPr>
        <w:t xml:space="preserve">Second-line FOLFOX chemotherapy versus active symptom control for advanced biliary tract cancer (ABC-06): a phase 3, open-label, randomised, controlled trial</w:t>
      </w:r>
    </w:p>
    <w:p>
      <w:pPr>
        <w:spacing w:after="50"/>
      </w:pPr>
      <w:r>
        <w:rPr>
          <w:b/>
          <w:bCs/>
          <w:color w:val="176A87"/>
          <w:sz w:val="16"/>
          <w:szCs w:val="16"/>
        </w:rPr>
        <w:t xml:space="preserve">Population. </w:t>
      </w:r>
      <w:r>
        <w:rPr>
          <w:sz w:val="16"/>
          <w:szCs w:val="16"/>
        </w:rPr>
        <w:t xml:space="preserve">162 patients with advanced biliary tract cancer progressing after first-line cisplatin-gemcitabine, randomised 1:1 at 20 UK centres from 290 screened between 27 March 2014 and 4 January 2018; 72 of 162 (44%) had intrahepatic cholangiocarcinoma and 133 (82%) were metastatic</w:t>
      </w:r>
    </w:p>
    <w:p>
      <w:pPr>
        <w:spacing w:after="70"/>
      </w:pPr>
      <w:r>
        <w:rPr>
          <w:b/>
          <w:bCs/>
          <w:color w:val="17365D"/>
          <w:sz w:val="16"/>
          <w:szCs w:val="16"/>
        </w:rPr>
        <w:t xml:space="preserve">Bottom line. </w:t>
      </w:r>
      <w:r>
        <w:rPr>
          <w:sz w:val="16"/>
          <w:szCs w:val="16"/>
        </w:rPr>
        <w:t xml:space="preserve">ABC-06 is the only randomised evidence for second-line chemotherapy in advanced biliary tract cancer, and it is positive: adjusted HR 0.69 (0.50-0.97), with 12-month survival of 25.9% against 11.4%. The absolute median gain is 0.9 months, bought with 69% grade 3 to 5 toxicity and three treatment-related deaths, and the response rate was 5%. Stratification errors required a post hoc sensitivity analysis, the control arm had no imaging so there is no comparative disease-control data, and 44% intrahepatic disease was never analysed separately.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was conducted in a single country, and UK first-line practice of stopping chemotherapy at 6 months differs from countries that treat to progression, with unknown effect on second-line efficacy</w:t>
            </w:r>
          </w:p>
          <w:p>
            <w:pPr>
              <w:pStyle w:val="ListParagraph"/>
              <w:numPr>
                <w:ilvl w:val="0"/>
                <w:numId w:val="2"/>
              </w:numPr>
              <w:spacing w:after="45"/>
            </w:pPr>
            <w:r>
              <w:rPr>
                <w:sz w:val="15"/>
                <w:szCs w:val="15"/>
              </w:rPr>
              <w:t xml:space="preserve">Countries had varying access to molecular profiling, especially during recruitment</w:t>
            </w:r>
          </w:p>
          <w:p>
            <w:pPr>
              <w:pStyle w:val="ListParagraph"/>
              <w:numPr>
                <w:ilvl w:val="0"/>
                <w:numId w:val="2"/>
              </w:numPr>
              <w:spacing w:after="45"/>
            </w:pPr>
            <w:r>
              <w:rPr>
                <w:sz w:val="15"/>
                <w:szCs w:val="15"/>
              </w:rPr>
              <w:t xml:space="preserve">There was insufficient power for subgroup analyses, which the authors acknowledge challenges some interpretations in such a heterogeneous disease</w:t>
            </w:r>
          </w:p>
          <w:p>
            <w:pPr>
              <w:pStyle w:val="ListParagraph"/>
              <w:numPr>
                <w:ilvl w:val="0"/>
                <w:numId w:val="2"/>
              </w:numPr>
              <w:spacing w:after="45"/>
            </w:pPr>
            <w:r>
              <w:rPr>
                <w:sz w:val="15"/>
                <w:szCs w:val="15"/>
              </w:rPr>
              <w:t xml:space="preserve">Routine radiological follow-up was not performed in the active symptom control group, so progression-free survival and response data exist only for the chemotherapy arm</w:t>
            </w:r>
          </w:p>
          <w:p>
            <w:pPr>
              <w:pStyle w:val="ListParagraph"/>
              <w:numPr>
                <w:ilvl w:val="0"/>
                <w:numId w:val="2"/>
              </w:numPr>
              <w:spacing w:after="45"/>
            </w:pPr>
            <w:r>
              <w:rPr>
                <w:sz w:val="15"/>
                <w:szCs w:val="15"/>
              </w:rPr>
              <w:t xml:space="preserve">Three-monthly imaging, no central radiology review and the open-label design might have affected the progression-free survival results</w:t>
            </w:r>
          </w:p>
          <w:p>
            <w:pPr>
              <w:pStyle w:val="ListParagraph"/>
              <w:numPr>
                <w:ilvl w:val="0"/>
                <w:numId w:val="2"/>
              </w:numPr>
              <w:spacing w:after="45"/>
            </w:pPr>
            <w:r>
              <w:rPr>
                <w:sz w:val="15"/>
                <w:szCs w:val="15"/>
              </w:rPr>
              <w:t xml:space="preserve">Subsequent lines of treatment were given at clinician discretion and could have affected overall survival, although the authors state the proportions were balanced</w:t>
            </w:r>
          </w:p>
          <w:p>
            <w:pPr>
              <w:pStyle w:val="ListParagraph"/>
              <w:numPr>
                <w:ilvl w:val="0"/>
                <w:numId w:val="2"/>
              </w:numPr>
              <w:spacing w:after="45"/>
            </w:pPr>
            <w:r>
              <w:rPr>
                <w:sz w:val="15"/>
                <w:szCs w:val="15"/>
              </w:rPr>
              <w:t xml:space="preserve">Stratification errors from incorrect baseline data supplied at randomisation were discovered during data cleaning and required a post hoc sensitivity analysis</w:t>
            </w:r>
          </w:p>
          <w:p>
            <w:pPr>
              <w:pStyle w:val="ListParagraph"/>
              <w:numPr>
                <w:ilvl w:val="0"/>
                <w:numId w:val="2"/>
              </w:numPr>
              <w:spacing w:after="45"/>
            </w:pPr>
            <w:r>
              <w:rPr>
                <w:sz w:val="15"/>
                <w:szCs w:val="15"/>
              </w:rPr>
              <w:t xml:space="preserve">Quality-of-life and health-economic analyses were not reported with the primary results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absolute difference in median overall survival is 0.9 months, 6.2 against 5.3, against grade 3 to 5 adverse events in 69% of the chemotherapy arm and three chemotherapy-related deaths from infection, acute kidney injury and febrile neutropenia</w:t>
            </w:r>
          </w:p>
          <w:p>
            <w:pPr>
              <w:pStyle w:val="ListParagraph"/>
              <w:numPr>
                <w:ilvl w:val="0"/>
                <w:numId w:val="2"/>
              </w:numPr>
              <w:spacing w:after="45"/>
            </w:pPr>
            <w:r>
              <w:rPr>
                <w:sz w:val="15"/>
                <w:szCs w:val="15"/>
              </w:rPr>
              <w:t xml:space="preserve">The adjusted hazard ratio of 0.69 (0.50-0.97) at p = 0.031 just clears conventional significance in a trial powered for HR 0.63 on 148 deaths, and the sensitivity analysis required after the stratification errors gives 0.68 (0.49-0.95), so the result sits close to the boundary under either model</w:t>
            </w:r>
          </w:p>
          <w:p>
            <w:pPr>
              <w:pStyle w:val="ListParagraph"/>
              <w:numPr>
                <w:ilvl w:val="0"/>
                <w:numId w:val="2"/>
              </w:numPr>
              <w:spacing w:after="45"/>
            </w:pPr>
            <w:r>
              <w:rPr>
                <w:sz w:val="15"/>
                <w:szCs w:val="15"/>
              </w:rPr>
              <w:t xml:space="preserve">Platinum sensitivity was itself independently prognostic, adjusted HR 0.71 (0.49-1.00), and was imbalanced against the chemotherapy arm, 67% platinum resistant or refractory against 58% in the control arm; the minimisation variable that mattered most was the one that failed</w:t>
            </w:r>
          </w:p>
          <w:p>
            <w:pPr>
              <w:pStyle w:val="ListParagraph"/>
              <w:numPr>
                <w:ilvl w:val="0"/>
                <w:numId w:val="2"/>
              </w:numPr>
              <w:spacing w:after="45"/>
            </w:pPr>
            <w:r>
              <w:rPr>
                <w:sz w:val="15"/>
                <w:szCs w:val="15"/>
              </w:rPr>
              <w:t xml:space="preserve">Objective response was 4 of 81 (5%) and 37% of the chemotherapy arm had progressive disease on first assessment, so for most patients FOLFOX did nothing measurable to the tumour while producing the toxicity recorded</w:t>
            </w:r>
          </w:p>
          <w:p>
            <w:pPr>
              <w:pStyle w:val="ListParagraph"/>
              <w:numPr>
                <w:ilvl w:val="0"/>
                <w:numId w:val="2"/>
              </w:numPr>
              <w:spacing w:after="45"/>
            </w:pPr>
            <w:r>
              <w:rPr>
                <w:sz w:val="15"/>
                <w:szCs w:val="15"/>
              </w:rPr>
              <w:t xml:space="preserve">6 of 81 assigned FOLFOX never received it and 9 received only one cycle, while 8 of 81 in the control arm received off-study chemotherapy, so roughly a fifth of the randomised contrast was diluted in both directions</w:t>
            </w:r>
          </w:p>
          <w:p>
            <w:pPr>
              <w:pStyle w:val="ListParagraph"/>
              <w:numPr>
                <w:ilvl w:val="0"/>
                <w:numId w:val="2"/>
              </w:numPr>
              <w:spacing w:after="45"/>
            </w:pPr>
            <w:r>
              <w:rPr>
                <w:sz w:val="15"/>
                <w:szCs w:val="15"/>
              </w:rPr>
              <w:t xml:space="preserve">Progression-free survival and radiological response can only be reported for one arm because the control arm had no scheduled imaging, which means the trial has no comparative disease-control data at all and the survival difference cannot be attributed to any observed antitumour effect</w:t>
            </w:r>
          </w:p>
          <w:p>
            <w:pPr>
              <w:pStyle w:val="ListParagraph"/>
              <w:numPr>
                <w:ilvl w:val="0"/>
                <w:numId w:val="2"/>
              </w:numPr>
              <w:spacing w:after="45"/>
            </w:pPr>
            <w:r>
              <w:rPr>
                <w:sz w:val="15"/>
                <w:szCs w:val="15"/>
              </w:rPr>
              <w:t xml:space="preserve">The three chemotherapy-related deaths amount to 3.7% of the FOLFOX arm, a mortality figure of the same order as the median survival gain, and the paper does not set the two against each other</w:t>
            </w:r>
          </w:p>
          <w:p>
            <w:pPr>
              <w:pStyle w:val="ListParagraph"/>
              <w:numPr>
                <w:ilvl w:val="0"/>
                <w:numId w:val="2"/>
              </w:numPr>
              <w:spacing w:after="45"/>
            </w:pPr>
            <w:r>
              <w:rPr>
                <w:sz w:val="15"/>
                <w:szCs w:val="15"/>
              </w:rPr>
              <w:t xml:space="preserve">Baseline albumin of 35 g/L or above carried an adjusted HR of 0.54 (0.37-0.78), a larger prognostic effect than the treatment itself, which indicates the population is dominated by performance and nutritional state rather than by second-line chemotherapy</w:t>
            </w:r>
          </w:p>
          <w:p>
            <w:pPr>
              <w:pStyle w:val="ListParagraph"/>
              <w:numPr>
                <w:ilvl w:val="0"/>
                <w:numId w:val="2"/>
              </w:numPr>
              <w:spacing w:after="45"/>
            </w:pPr>
            <w:r>
              <w:rPr>
                <w:sz w:val="15"/>
                <w:szCs w:val="15"/>
              </w:rPr>
              <w:t xml:space="preserve">44% of patients had intrahepatic disease and no site-specific hazard ratio is reported, with the authors conceding subgroup power was insufficient, so an iCCA-specific second-line benefit is not demonstrated</w:t>
            </w:r>
          </w:p>
          <w:p>
            <w:pPr>
              <w:pStyle w:val="ListParagraph"/>
              <w:numPr>
                <w:ilvl w:val="0"/>
                <w:numId w:val="2"/>
              </w:numPr>
              <w:spacing w:after="45"/>
            </w:pPr>
            <w:r>
              <w:rPr>
                <w:sz w:val="15"/>
                <w:szCs w:val="15"/>
              </w:rPr>
              <w:t xml:space="preserve">The trial's comparator and context are now historical: with first-line immunotherapy and FGFR2 or IDH1 inhibitors available for roughly a third of intrahepatic patients, who would be offered FOLFOX in the second line has changed, and no molecular profiling was performed here</w:t>
            </w:r>
          </w:p>
          <w:p>
            <w:pPr>
              <w:pStyle w:val="ListParagraph"/>
              <w:numPr>
                <w:ilvl w:val="0"/>
                <w:numId w:val="2"/>
              </w:numPr>
              <w:spacing w:after="45"/>
            </w:pPr>
            <w:r>
              <w:rPr>
                <w:sz w:val="15"/>
                <w:szCs w:val="15"/>
              </w:rPr>
              <w:t xml:space="preserve">Four linked correspondence letters with an authors' reply appeared in Lancet Oncology 2021;22(7):e284-e289 (PMIDs 34197747, 34197748, 34197749, 34197750, reply 34197751); their content was not available here, so none of their arguments is represented</w:t>
            </w:r>
          </w:p>
        </w:tc>
      </w:tr>
    </w:tbl>
    <w:p>
      <w:pPr>
        <w:spacing w:after="0" w:line="276"/>
      </w:pPr>
      <w:r>
        <w:rPr>
          <w:color w:val="5A6069"/>
          <w:sz w:val="14"/>
          <w:szCs w:val="14"/>
        </w:rPr>
        <w:t xml:space="preserve">Funding: Cancer Research UK, StandUpToCancer, AMMF (The UK Cholangiocarcinoma Charity) and The Christie Charity, with additional funding from The Cholangiocarcinoma Foundation and a Conquer Cancer Foundation Young Investigator Award; the funders peer-reviewed for patient acceptability but had no role in design, and The Christie NHS Foundation Trust sponsored it as an investigator-initiated study</w:t>
      </w:r>
    </w:p>
    <w:p>
      <w:pPr>
        <w:keepNext/>
        <w:spacing w:after="50" w:before="260"/>
      </w:pPr>
      <w:r>
        <w:rPr>
          <w:rFonts w:ascii="Cambria" w:cs="Cambria" w:eastAsia="Cambria" w:hAnsi="Cambria"/>
          <w:b/>
          <w:bCs/>
          <w:color w:val="17365D"/>
          <w:sz w:val="20"/>
          <w:szCs w:val="20"/>
        </w:rPr>
        <w:t xml:space="preserve">AHPBA 2015</w:t>
      </w:r>
      <w:r>
        <w:rPr>
          <w:b/>
          <w:bCs/>
          <w:color w:val="176A87"/>
          <w:sz w:val="15"/>
          <w:szCs w:val="15"/>
        </w:rPr>
        <w:t xml:space="preserve">   Consensus statement</w:t>
      </w:r>
      <w:r>
        <w:rPr>
          <w:color w:val="5A6069"/>
          <w:sz w:val="15"/>
          <w:szCs w:val="15"/>
        </w:rPr>
        <w:t xml:space="preserve">   PMID 26172136</w:t>
      </w:r>
    </w:p>
    <w:p>
      <w:pPr>
        <w:spacing w:after="50" w:line="276"/>
      </w:pPr>
      <w:r>
        <w:rPr>
          <w:color w:val="5A6069"/>
          <w:sz w:val="17"/>
          <w:szCs w:val="17"/>
        </w:rPr>
        <w:t xml:space="preserve">Hilar cholangiocarcinoma: expert consensus statement</w:t>
      </w:r>
    </w:p>
    <w:p>
      <w:pPr>
        <w:spacing w:after="50"/>
      </w:pPr>
      <w:r>
        <w:rPr>
          <w:b/>
          <w:bCs/>
          <w:color w:val="176A87"/>
          <w:sz w:val="16"/>
          <w:szCs w:val="16"/>
        </w:rPr>
        <w:t xml:space="preserve">Population. </w:t>
      </w:r>
      <w:r>
        <w:rPr>
          <w:sz w:val="16"/>
          <w:szCs w:val="16"/>
        </w:rPr>
        <w:t xml:space="preserve">A six-member expert panel from four institutions, convened by the AHPBA at the January 2014 joint AHPBA/SSAT/SSO/ASCO consensus conference on the multidisciplinary management of bile duct cancer, issuing thirteen ungraded consensus statements; there is no patient cohort</w:t>
      </w:r>
    </w:p>
    <w:p>
      <w:pPr>
        <w:spacing w:after="70"/>
      </w:pPr>
      <w:r>
        <w:rPr>
          <w:b/>
          <w:bCs/>
          <w:color w:val="17365D"/>
          <w:sz w:val="16"/>
          <w:szCs w:val="16"/>
        </w:rPr>
        <w:t xml:space="preserve">Bottom line. </w:t>
      </w:r>
      <w:r>
        <w:rPr>
          <w:sz w:val="16"/>
          <w:szCs w:val="16"/>
        </w:rPr>
        <w:t xml:space="preserve">This is the clearest single statement of the US surgical position on hilar cholangiocarcinoma around 2014: resect the intra- and extrahepatic ducts with the ipsilateral liver and caudate lobe, do not require pathological confirmation first, do not biopsy the primary tumour in a potential transplant candidate, embolise the portal vein below a 30% remnant, and treat unresectable or PSC-associated disease on a standardised neoadjuvant chemoradiation and transplant protocol. Nothing in it is graded, no methods are reported, the panel is six people from four institutions meeting for a day, and its percutaneous-drainage preference has since been contradicted by a randomised trial and two later consensus documents. It predates BILCAP and the chemo-immunotherapy trials, so its systemic therapy section should not be used.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route of preoperative biliary drainage is openly debated, with centres in Asia advocating drainage as mandatory regardless of bilirubin level because of the association between cholangitis and outcome, while others resect undrained patients whose nutritional status is adequate</w:t>
            </w:r>
          </w:p>
          <w:p>
            <w:pPr>
              <w:pStyle w:val="ListParagraph"/>
              <w:numPr>
                <w:ilvl w:val="0"/>
                <w:numId w:val="2"/>
              </w:numPr>
              <w:spacing w:after="45"/>
            </w:pPr>
            <w:r>
              <w:rPr>
                <w:sz w:val="15"/>
                <w:szCs w:val="15"/>
              </w:rPr>
              <w:t xml:space="preserve">The role of liver transplantation in resectable de novo hilar disease is not well defined, and in light of the scarcity of donor organs and the absence of superior results with transplantation the panel keeps resection as the standard of care there</w:t>
            </w:r>
          </w:p>
          <w:p>
            <w:pPr>
              <w:pStyle w:val="ListParagraph"/>
              <w:numPr>
                <w:ilvl w:val="0"/>
                <w:numId w:val="2"/>
              </w:numPr>
              <w:spacing w:after="45"/>
            </w:pPr>
            <w:r>
              <w:rPr>
                <w:sz w:val="15"/>
                <w:szCs w:val="15"/>
              </w:rPr>
              <w:t xml:space="preserve">The role of adjuvant chemotherapy is still not clearly defined, and the first cooperative group adjuvant trial, SWOG 0809, had results pending at the time of writing</w:t>
            </w:r>
          </w:p>
          <w:p>
            <w:pPr>
              <w:pStyle w:val="ListParagraph"/>
              <w:numPr>
                <w:ilvl w:val="0"/>
                <w:numId w:val="2"/>
              </w:numPr>
              <w:spacing w:after="45"/>
            </w:pPr>
            <w:r>
              <w:rPr>
                <w:sz w:val="15"/>
                <w:szCs w:val="15"/>
              </w:rPr>
              <w:t xml:space="preserve">Complete preoperative assessment does not eliminate the risk of non-therapeutic laparotomy or incomplete resection, and 20% to 50% of patients prove unresectable at exploration</w:t>
            </w:r>
          </w:p>
          <w:p>
            <w:pPr>
              <w:pStyle w:val="ListParagraph"/>
              <w:numPr>
                <w:ilvl w:val="0"/>
                <w:numId w:val="2"/>
              </w:numPr>
              <w:spacing w:after="45"/>
            </w:pPr>
            <w:r>
              <w:rPr>
                <w:sz w:val="15"/>
                <w:szCs w:val="15"/>
              </w:rPr>
              <w:t xml:space="preserve">A benign aetiology is identified in approximately 10% of resections performed on a presumptive diagnosis of hilar cholangiocarcinoma</w:t>
            </w:r>
          </w:p>
          <w:p>
            <w:pPr>
              <w:pStyle w:val="ListParagraph"/>
              <w:numPr>
                <w:ilvl w:val="0"/>
                <w:numId w:val="2"/>
              </w:numPr>
              <w:spacing w:after="45"/>
            </w:pPr>
            <w:r>
              <w:rPr>
                <w:sz w:val="15"/>
                <w:szCs w:val="15"/>
              </w:rPr>
              <w:t xml:space="preserve">The largest study of systemic chemotherapy for advanced biliary malignancy, ABC-02, included a disparate collection of histologies, and the panel adopts it as the best available evidence rather than as hilar-specific evidence</w:t>
            </w:r>
          </w:p>
          <w:p>
            <w:pPr>
              <w:pStyle w:val="ListParagraph"/>
              <w:numPr>
                <w:ilvl w:val="0"/>
                <w:numId w:val="2"/>
              </w:numPr>
              <w:spacing w:after="45"/>
            </w:pPr>
            <w:r>
              <w:rPr>
                <w:sz w:val="15"/>
                <w:szCs w:val="15"/>
              </w:rPr>
              <w:t xml:space="preserve">FDG-PET lacks the sensitivity and specificity required of a routine staging tool and rarely adds to the information available from other modalities</w:t>
            </w:r>
          </w:p>
          <w:p>
            <w:pPr>
              <w:pStyle w:val="ListParagraph"/>
              <w:numPr>
                <w:ilvl w:val="0"/>
                <w:numId w:val="2"/>
              </w:numPr>
              <w:spacing w:after="45"/>
            </w:pPr>
            <w:r>
              <w:rPr>
                <w:sz w:val="15"/>
                <w:szCs w:val="15"/>
              </w:rPr>
              <w:t xml:space="preserve">Barriers to transplantation include the significant dropout rate during pre-transplant induction therapy and the need for long-term immunosuppression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Nothing is graded. No statement carries a level of evidence or a strength of recommendation, and no methods are described at all: no literature search, no voting procedure, no definition of consensus and no external review, for a document produced by six people at a one-day meeting</w:t>
            </w:r>
          </w:p>
          <w:p>
            <w:pPr>
              <w:pStyle w:val="ListParagraph"/>
              <w:numPr>
                <w:ilvl w:val="0"/>
                <w:numId w:val="2"/>
              </w:numPr>
              <w:spacing w:after="45"/>
            </w:pPr>
            <w:r>
              <w:rPr>
                <w:sz w:val="15"/>
                <w:szCs w:val="15"/>
              </w:rPr>
              <w:t xml:space="preserve">The prohibition on percutaneous or laparoscopic biopsy of the primary tumour in potential transplant candidates is referenced to a single study whose exposed group was six patients and whose senior author sits on this panel</w:t>
            </w:r>
          </w:p>
          <w:p>
            <w:pPr>
              <w:pStyle w:val="ListParagraph"/>
              <w:numPr>
                <w:ilvl w:val="0"/>
                <w:numId w:val="2"/>
              </w:numPr>
              <w:spacing w:after="45"/>
            </w:pPr>
            <w:r>
              <w:rPr>
                <w:sz w:val="15"/>
                <w:szCs w:val="15"/>
              </w:rPr>
              <w:t xml:space="preserve">The transplant protocol, eligibility rules and survival figures presented as standard of care come from the Mayo programme, which one panel member represents; the statement that transplantation is standard of care for unresectable and PSC-associated disease quotes survival ranges of 55-65% and 35-55% from the start of therapy with no confidence intervals and no dropout rate anywhere in the section</w:t>
            </w:r>
          </w:p>
          <w:p>
            <w:pPr>
              <w:pStyle w:val="ListParagraph"/>
              <w:numPr>
                <w:ilvl w:val="0"/>
                <w:numId w:val="2"/>
              </w:numPr>
              <w:spacing w:after="45"/>
            </w:pPr>
            <w:r>
              <w:rPr>
                <w:sz w:val="15"/>
                <w:szCs w:val="15"/>
              </w:rPr>
              <w:t xml:space="preserve">The abstract states that preoperative biliary drainage is best achieved percutaneously, but no consensus statement names a route; the statements list indications only, so the document's most quoted position is not one it formally adopts</w:t>
            </w:r>
          </w:p>
          <w:p>
            <w:pPr>
              <w:pStyle w:val="ListParagraph"/>
              <w:numPr>
                <w:ilvl w:val="0"/>
                <w:numId w:val="2"/>
              </w:numPr>
              <w:spacing w:after="45"/>
            </w:pPr>
            <w:r>
              <w:rPr>
                <w:sz w:val="15"/>
                <w:szCs w:val="15"/>
              </w:rPr>
              <w:t xml:space="preserve">That percutaneous preference has not held up: the Coelen randomised trial closed early for excess mortality after percutaneous drainage, and the 2024 Asia-Pacific and 2026 ESGE documents now prefer endoscopic drainage, which also sits awkwardly with this panel's own warning about catheter-tract seeding</w:t>
            </w:r>
          </w:p>
          <w:p>
            <w:pPr>
              <w:pStyle w:val="ListParagraph"/>
              <w:numPr>
                <w:ilvl w:val="0"/>
                <w:numId w:val="2"/>
              </w:numPr>
              <w:spacing w:after="45"/>
            </w:pPr>
            <w:r>
              <w:rPr>
                <w:sz w:val="15"/>
                <w:szCs w:val="15"/>
              </w:rPr>
              <w:t xml:space="preserve">The sentence supporting the percutaneous preference reverses its own meaning: the technical success rate measured as time from first attempt to a satisfactory biliary level is reported as 'higher with the endoscopic approach (61 days) than with PTC (44 days)', where a shorter time is the better result</w:t>
            </w:r>
          </w:p>
          <w:p>
            <w:pPr>
              <w:pStyle w:val="ListParagraph"/>
              <w:numPr>
                <w:ilvl w:val="0"/>
                <w:numId w:val="2"/>
              </w:numPr>
              <w:spacing w:after="45"/>
            </w:pPr>
            <w:r>
              <w:rPr>
                <w:sz w:val="15"/>
                <w:szCs w:val="15"/>
              </w:rPr>
              <w:t xml:space="preserve">The portal vein embolisation threshold is a future liver remnant below 30% in the abstract and below 30% to 40% in the consensus statement</w:t>
            </w:r>
          </w:p>
          <w:p>
            <w:pPr>
              <w:pStyle w:val="ListParagraph"/>
              <w:numPr>
                <w:ilvl w:val="0"/>
                <w:numId w:val="2"/>
              </w:numPr>
              <w:spacing w:after="45"/>
            </w:pPr>
            <w:r>
              <w:rPr>
                <w:sz w:val="15"/>
                <w:szCs w:val="15"/>
              </w:rPr>
              <w:t xml:space="preserve">Resection survival is quoted as 25% to 50% at five years in the resectability section, 27% to 45% for margin-negative resection in the margin paragraph, and 35% to 50% in the summary: three different ranges in one document</w:t>
            </w:r>
          </w:p>
          <w:p>
            <w:pPr>
              <w:pStyle w:val="ListParagraph"/>
              <w:numPr>
                <w:ilvl w:val="0"/>
                <w:numId w:val="2"/>
              </w:numPr>
              <w:spacing w:after="45"/>
            </w:pPr>
            <w:r>
              <w:rPr>
                <w:sz w:val="15"/>
                <w:szCs w:val="15"/>
              </w:rPr>
              <w:t xml:space="preserve">Adjuvant chemoradiation is recommended for margin-positive or node-positive disease on retrospective series, one of which showed only that irradiated high-risk patients matched unirradiated low-risk patients (5-year survival 36% against 42%, locoregional recurrence 38% against 37%), which is not a demonstration of benefit, while the Todoroki series assigned adjuvant therapy non-randomly</w:t>
            </w:r>
          </w:p>
          <w:p>
            <w:pPr>
              <w:pStyle w:val="ListParagraph"/>
              <w:numPr>
                <w:ilvl w:val="0"/>
                <w:numId w:val="2"/>
              </w:numPr>
              <w:spacing w:after="45"/>
            </w:pPr>
            <w:r>
              <w:rPr>
                <w:sz w:val="15"/>
                <w:szCs w:val="15"/>
              </w:rPr>
              <w:t xml:space="preserve">The only randomised trial cited anywhere in the radiotherapy section enrolled 42 patients and compared percutaneous stenting with brachytherapy and external radiotherapy against stenting alone (median survival 12.9 against 9.9 months), in an era before current systemic therapy</w:t>
            </w:r>
          </w:p>
          <w:p>
            <w:pPr>
              <w:pStyle w:val="ListParagraph"/>
              <w:numPr>
                <w:ilvl w:val="0"/>
                <w:numId w:val="2"/>
              </w:numPr>
              <w:spacing w:after="45"/>
            </w:pPr>
            <w:r>
              <w:rPr>
                <w:sz w:val="15"/>
                <w:szCs w:val="15"/>
              </w:rPr>
              <w:t xml:space="preserve">The three criteria that define unresectability are listed without a single supporting citation</w:t>
            </w:r>
          </w:p>
          <w:p>
            <w:pPr>
              <w:pStyle w:val="ListParagraph"/>
              <w:numPr>
                <w:ilvl w:val="0"/>
                <w:numId w:val="2"/>
              </w:numPr>
              <w:spacing w:after="45"/>
            </w:pPr>
            <w:r>
              <w:rPr>
                <w:sz w:val="15"/>
                <w:szCs w:val="15"/>
              </w:rPr>
              <w:t xml:space="preserve">The FISH figures of 50% sensitivity and above 95% specificity for polysomy, and the claim that clinical evaluation without FISH predicts malignancy about 90% of the time, are given without pooled sources, and the latter derives from resected patients, that is conditioned on the decision to operate</w:t>
            </w:r>
          </w:p>
          <w:p>
            <w:pPr>
              <w:pStyle w:val="ListParagraph"/>
              <w:numPr>
                <w:ilvl w:val="0"/>
                <w:numId w:val="2"/>
              </w:numPr>
              <w:spacing w:after="45"/>
            </w:pPr>
            <w:r>
              <w:rPr>
                <w:sz w:val="15"/>
                <w:szCs w:val="15"/>
              </w:rPr>
              <w:t xml:space="preserve">Systemic therapy is dated by publication: this predates BILCAP, so adjuvant capecitabine is absent, and first-line therapy is gemcitabine-cisplatin from ABC-02, before the chemo-immunotherapy trials</w:t>
            </w:r>
          </w:p>
          <w:p>
            <w:pPr>
              <w:pStyle w:val="ListParagraph"/>
              <w:numPr>
                <w:ilvl w:val="0"/>
                <w:numId w:val="2"/>
              </w:numPr>
              <w:spacing w:after="45"/>
            </w:pPr>
            <w:r>
              <w:rPr>
                <w:sz w:val="15"/>
                <w:szCs w:val="15"/>
              </w:rPr>
              <w:t xml:space="preserve">The neoadjuvant regimen called a standardised protocol has itself changed within the experience being cited, the brachytherapy boost having moved from 2000 cGy delivered over 24 hours to 1200-1600 cGy in two to four fractions</w:t>
            </w:r>
          </w:p>
          <w:p>
            <w:pPr>
              <w:pStyle w:val="ListParagraph"/>
              <w:numPr>
                <w:ilvl w:val="0"/>
                <w:numId w:val="2"/>
              </w:numPr>
              <w:spacing w:after="45"/>
            </w:pPr>
            <w:r>
              <w:rPr>
                <w:sz w:val="15"/>
                <w:szCs w:val="15"/>
              </w:rPr>
              <w:t xml:space="preserve">Nothing in the document addresses palliative drainage strategy, surveillance after resection, cost or quality of life</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No funding statement; conflicts of interest declared as none</w:t>
      </w:r>
    </w:p>
    <w:p>
      <w:pPr>
        <w:keepNext/>
        <w:spacing w:after="50" w:before="260"/>
      </w:pPr>
      <w:r>
        <w:rPr>
          <w:rFonts w:ascii="Cambria" w:cs="Cambria" w:eastAsia="Cambria" w:hAnsi="Cambria"/>
          <w:b/>
          <w:bCs/>
          <w:color w:val="17365D"/>
          <w:sz w:val="20"/>
          <w:szCs w:val="20"/>
        </w:rPr>
        <w:t xml:space="preserve">ASCOT</w:t>
      </w:r>
      <w:r>
        <w:rPr>
          <w:b/>
          <w:bCs/>
          <w:color w:val="176A87"/>
          <w:sz w:val="15"/>
          <w:szCs w:val="15"/>
        </w:rPr>
        <w:t xml:space="preserve">   Randomised trial</w:t>
      </w:r>
      <w:r>
        <w:rPr>
          <w:color w:val="5A6069"/>
          <w:sz w:val="15"/>
          <w:szCs w:val="15"/>
        </w:rPr>
        <w:t xml:space="preserve">   PMID 36681415</w:t>
      </w:r>
    </w:p>
    <w:p>
      <w:pPr>
        <w:spacing w:after="50" w:line="276"/>
      </w:pPr>
      <w:r>
        <w:rPr>
          <w:color w:val="5A6069"/>
          <w:sz w:val="17"/>
          <w:szCs w:val="17"/>
        </w:rPr>
        <w:t xml:space="preserve">Adjuvant S-1 compared with observation in resected biliary tract cancer (JCOG1202, ASCOT): a multicentre, open-label, randomised, controlled, phase 3 trial</w:t>
      </w:r>
    </w:p>
    <w:p>
      <w:pPr>
        <w:spacing w:after="50"/>
      </w:pPr>
      <w:r>
        <w:rPr>
          <w:b/>
          <w:bCs/>
          <w:color w:val="176A87"/>
          <w:sz w:val="16"/>
          <w:szCs w:val="16"/>
        </w:rPr>
        <w:t xml:space="preserve">Population. </w:t>
      </w:r>
      <w:r>
        <w:rPr>
          <w:sz w:val="16"/>
          <w:szCs w:val="16"/>
        </w:rPr>
        <w:t xml:space="preserve">440 patients randomised at 38 Japanese hospitals between 9 September 2013 and 22 June 2018 after R0 or R1 resection of biliary tract cancer, 222 observation and 218 S-1; only 58 of 440 (13%) had intrahepatic cholangiocarcinoma and 186 (42%) underwent hepatectomy</w:t>
      </w:r>
    </w:p>
    <w:p>
      <w:pPr>
        <w:spacing w:after="70"/>
      </w:pPr>
      <w:r>
        <w:rPr>
          <w:b/>
          <w:bCs/>
          <w:color w:val="17365D"/>
          <w:sz w:val="16"/>
          <w:szCs w:val="16"/>
        </w:rPr>
        <w:t xml:space="preserve">Bottom line. </w:t>
      </w:r>
      <w:r>
        <w:rPr>
          <w:sz w:val="16"/>
          <w:szCs w:val="16"/>
        </w:rPr>
        <w:t xml:space="preserve">ASCOT is the first adjuvant trial in biliary tract cancer to show a survival benefit on its intention-to-treat primary endpoint, 3-year survival 77.1% against 67.6% with S-1, HR 0.69 (0.51-0.94). It does not establish adjuvant therapy for resected iCCA: 13% of patients had intrahepatic disease with a subgroup interval of 0.30 to 1.89, relapse-free survival was not significant and its curves cross, and the analysis was done at 63% of the planned events. S-1 is also not an option outside Asia, and it has never been compared with capecitabine.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was conducted only in Japanese patients, and S-1 pharmacokinetics and toxicity, particularly diarrhoea, are suggested to differ in European and North American patients, requiring dose adjustment</w:t>
            </w:r>
          </w:p>
          <w:p>
            <w:pPr>
              <w:pStyle w:val="ListParagraph"/>
              <w:numPr>
                <w:ilvl w:val="0"/>
                <w:numId w:val="2"/>
              </w:numPr>
              <w:spacing w:after="45"/>
            </w:pPr>
            <w:r>
              <w:rPr>
                <w:sz w:val="15"/>
                <w:szCs w:val="15"/>
              </w:rPr>
              <w:t xml:space="preserve">Statistical power for relapse-free survival was low because of the small number of events, and the Kaplan-Meier curves crossed at 6 years</w:t>
            </w:r>
          </w:p>
          <w:p>
            <w:pPr>
              <w:pStyle w:val="ListParagraph"/>
              <w:numPr>
                <w:ilvl w:val="0"/>
                <w:numId w:val="2"/>
              </w:numPr>
              <w:spacing w:after="45"/>
            </w:pPr>
            <w:r>
              <w:rPr>
                <w:sz w:val="15"/>
                <w:szCs w:val="15"/>
              </w:rPr>
              <w:t xml:space="preserve">3-year overall survival in the observation group was 67.6% against a hypothesised 47%, a hypothesis based on outcomes more than ten years earlier</w:t>
            </w:r>
          </w:p>
          <w:p>
            <w:pPr>
              <w:pStyle w:val="ListParagraph"/>
              <w:numPr>
                <w:ilvl w:val="0"/>
                <w:numId w:val="2"/>
              </w:numPr>
              <w:spacing w:after="45"/>
            </w:pPr>
            <w:r>
              <w:rPr>
                <w:sz w:val="15"/>
                <w:szCs w:val="15"/>
              </w:rPr>
              <w:t xml:space="preserve">Follow-up time was short and the number of events at the primary analysis small, so a final analysis at 5-year follow-up is planned</w:t>
            </w:r>
          </w:p>
          <w:p>
            <w:pPr>
              <w:pStyle w:val="ListParagraph"/>
              <w:numPr>
                <w:ilvl w:val="0"/>
                <w:numId w:val="2"/>
              </w:numPr>
              <w:spacing w:after="45"/>
            </w:pPr>
            <w:r>
              <w:rPr>
                <w:sz w:val="15"/>
                <w:szCs w:val="15"/>
              </w:rPr>
              <w:t xml:space="preserve">The trial is open-label, which the authors defend as ethically acceptable</w:t>
            </w:r>
          </w:p>
          <w:p>
            <w:pPr>
              <w:pStyle w:val="ListParagraph"/>
              <w:numPr>
                <w:ilvl w:val="0"/>
                <w:numId w:val="2"/>
              </w:numPr>
              <w:spacing w:after="45"/>
            </w:pPr>
            <w:r>
              <w:rPr>
                <w:sz w:val="15"/>
                <w:szCs w:val="15"/>
              </w:rPr>
              <w:t xml:space="preserve">Relapse data beyond 3 years should be considered immature with many censored cases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analysis was conducted at 179 deaths, 62.8% of the 285 prespecified events, with a one-sided alpha of 0.05 and the result reported as definitive; the planned 5-year analysis can therefore only weaken, not strengthen, the registration claim</w:t>
            </w:r>
          </w:p>
          <w:p>
            <w:pPr>
              <w:pStyle w:val="ListParagraph"/>
              <w:numPr>
                <w:ilvl w:val="0"/>
                <w:numId w:val="2"/>
              </w:numPr>
              <w:spacing w:after="45"/>
            </w:pPr>
            <w:r>
              <w:rPr>
                <w:sz w:val="15"/>
                <w:szCs w:val="15"/>
              </w:rPr>
              <w:t xml:space="preserve">Median overall survival is not estimable in the S-1 arm, with a lower confidence bound of 5.2 years, so the headline rests entirely on a 3-year landmark difference of 9.5 percentage points rather than on any median</w:t>
            </w:r>
          </w:p>
          <w:p>
            <w:pPr>
              <w:pStyle w:val="ListParagraph"/>
              <w:numPr>
                <w:ilvl w:val="0"/>
                <w:numId w:val="2"/>
              </w:numPr>
              <w:spacing w:after="45"/>
            </w:pPr>
            <w:r>
              <w:rPr>
                <w:sz w:val="15"/>
                <w:szCs w:val="15"/>
              </w:rPr>
              <w:t xml:space="preserve">Relapse-free survival did not reach significance, HR 0.80 (0.61-1.04), p = 0.088, and the curves cross at 6 years, so the mechanism by which a drug given for 24 weeks improves survival without delaying relapse is not accounted for</w:t>
            </w:r>
          </w:p>
          <w:p>
            <w:pPr>
              <w:pStyle w:val="ListParagraph"/>
              <w:numPr>
                <w:ilvl w:val="0"/>
                <w:numId w:val="2"/>
              </w:numPr>
              <w:spacing w:after="45"/>
            </w:pPr>
            <w:r>
              <w:rPr>
                <w:sz w:val="15"/>
                <w:szCs w:val="15"/>
              </w:rPr>
              <w:t xml:space="preserve">Only 13% of patients had intrahepatic disease, and that subgroup's overall survival hazard ratio is 0.75 with an interval of 0.30-1.89 in 58 patients, which is compatible with substantial harm; the Japanese staging system classifies iCCA as primary liver cancer, which is why the stratum is this small</w:t>
            </w:r>
          </w:p>
          <w:p>
            <w:pPr>
              <w:pStyle w:val="ListParagraph"/>
              <w:numPr>
                <w:ilvl w:val="0"/>
                <w:numId w:val="2"/>
              </w:numPr>
              <w:spacing w:after="45"/>
            </w:pPr>
            <w:r>
              <w:rPr>
                <w:sz w:val="15"/>
                <w:szCs w:val="15"/>
              </w:rPr>
              <w:t xml:space="preserve">Ampullary carcinoma, excluded from BILCAP as a different disease, is included here and carries the most favourable subgroup hazard ratio of 0.49, so the most responsive tumour type in the trial is the one other trials deliberately left out</w:t>
            </w:r>
          </w:p>
          <w:p>
            <w:pPr>
              <w:pStyle w:val="ListParagraph"/>
              <w:numPr>
                <w:ilvl w:val="0"/>
                <w:numId w:val="2"/>
              </w:numPr>
              <w:spacing w:after="45"/>
            </w:pPr>
            <w:r>
              <w:rPr>
                <w:sz w:val="15"/>
                <w:szCs w:val="15"/>
              </w:rPr>
              <w:t xml:space="preserve">Subgroup hazard ratios are quoted for sex (0.51 in women), nodal status, stage and margin, with the R1 subgroup at 1.04 (0.57-1.92); no interaction reached significance, so these differences are being read off a forest plot with no multiplicity control</w:t>
            </w:r>
          </w:p>
          <w:p>
            <w:pPr>
              <w:pStyle w:val="ListParagraph"/>
              <w:numPr>
                <w:ilvl w:val="0"/>
                <w:numId w:val="2"/>
              </w:numPr>
              <w:spacing w:after="45"/>
            </w:pPr>
            <w:r>
              <w:rPr>
                <w:sz w:val="15"/>
                <w:szCs w:val="15"/>
              </w:rPr>
              <w:t xml:space="preserve">The control arm is observation, which was already superseded outside Asia by adjuvant capecitabine after BILCAP, so the trial cannot tell a surgeon whether to use S-1 or capecitabine and the two have never been compared</w:t>
            </w:r>
          </w:p>
          <w:p>
            <w:pPr>
              <w:pStyle w:val="ListParagraph"/>
              <w:numPr>
                <w:ilvl w:val="0"/>
                <w:numId w:val="2"/>
              </w:numPr>
              <w:spacing w:after="45"/>
            </w:pPr>
            <w:r>
              <w:rPr>
                <w:sz w:val="15"/>
                <w:szCs w:val="15"/>
              </w:rPr>
              <w:t xml:space="preserve">The population was highly selected, 87% performance status 0 and 86% R0, and the control arm did 20 percentage points better than assumed; a trial in that population needs a much larger sample to measure an adjuvant effect reliably</w:t>
            </w:r>
          </w:p>
          <w:p>
            <w:pPr>
              <w:pStyle w:val="ListParagraph"/>
              <w:numPr>
                <w:ilvl w:val="0"/>
                <w:numId w:val="2"/>
              </w:numPr>
              <w:spacing w:after="45"/>
            </w:pPr>
            <w:r>
              <w:rPr>
                <w:sz w:val="15"/>
                <w:szCs w:val="15"/>
              </w:rPr>
              <w:t xml:space="preserve">Toxicity was monitored in 207 treated patients while the observation arm received no scheduled treatment contact, so the modest toxicity profile is not a between-arm comparison</w:t>
            </w:r>
          </w:p>
          <w:p>
            <w:pPr>
              <w:pStyle w:val="ListParagraph"/>
              <w:numPr>
                <w:ilvl w:val="0"/>
                <w:numId w:val="2"/>
              </w:numPr>
              <w:spacing w:after="45"/>
            </w:pPr>
            <w:r>
              <w:rPr>
                <w:sz w:val="15"/>
                <w:szCs w:val="15"/>
              </w:rPr>
              <w:t xml:space="preserve">An eligible-patients-only analysis (n = 429) is reported alongside intention to treat with hazard ratios of 0.70 and 0.78, a second analysis set presented without stating which was prespecified as supportive</w:t>
            </w:r>
          </w:p>
          <w:p>
            <w:pPr>
              <w:pStyle w:val="ListParagraph"/>
              <w:numPr>
                <w:ilvl w:val="0"/>
                <w:numId w:val="2"/>
              </w:numPr>
              <w:spacing w:after="45"/>
            </w:pPr>
            <w:r>
              <w:rPr>
                <w:sz w:val="15"/>
                <w:szCs w:val="15"/>
              </w:rPr>
              <w:t xml:space="preserve">Two published commentaries exist, Chiang and Chen in the Lancet (PMID 36681404) and Sood and Mayo on the eligibility criteria in Annals of Surgical Oncology (PMID 37684366); both were identified from the citation record and not read here</w:t>
            </w:r>
          </w:p>
        </w:tc>
      </w:tr>
    </w:tbl>
    <w:p>
      <w:pPr>
        <w:spacing w:after="0" w:line="276"/>
      </w:pPr>
      <w:r>
        <w:rPr>
          <w:color w:val="5A6069"/>
          <w:sz w:val="14"/>
          <w:szCs w:val="14"/>
        </w:rPr>
        <w:t xml:space="preserve">Funding: The National Cancer Center Research and Development Fund and the Ministry of Health, Labour and Welfare of Japan; the funders had no role in design, collection, analysis, interpretation or writing, but individual authors declare extensive industry grants and honoraria including from Delta-Fly Pharma, Eisai, Yakult, AstraZeneca, Ono and many others</w:t>
      </w:r>
    </w:p>
    <w:p>
      <w:pPr>
        <w:keepNext/>
        <w:spacing w:after="50" w:before="260"/>
      </w:pPr>
      <w:r>
        <w:rPr>
          <w:rFonts w:ascii="Cambria" w:cs="Cambria" w:eastAsia="Cambria" w:hAnsi="Cambria"/>
          <w:b/>
          <w:bCs/>
          <w:color w:val="17365D"/>
          <w:sz w:val="20"/>
          <w:szCs w:val="20"/>
        </w:rPr>
        <w:t xml:space="preserve">ASGE 2023</w:t>
      </w:r>
      <w:r>
        <w:rPr>
          <w:b/>
          <w:bCs/>
          <w:color w:val="176A87"/>
          <w:sz w:val="15"/>
          <w:szCs w:val="15"/>
        </w:rPr>
        <w:t xml:space="preserve">   Guideline</w:t>
      </w:r>
      <w:r>
        <w:rPr>
          <w:color w:val="5A6069"/>
          <w:sz w:val="15"/>
          <w:szCs w:val="15"/>
        </w:rPr>
        <w:t xml:space="preserve">   PMID 37307900</w:t>
      </w:r>
    </w:p>
    <w:p>
      <w:pPr>
        <w:spacing w:after="50" w:line="276"/>
      </w:pPr>
      <w:r>
        <w:rPr>
          <w:color w:val="5A6069"/>
          <w:sz w:val="17"/>
          <w:szCs w:val="17"/>
        </w:rPr>
        <w:t xml:space="preserve">American Society for Gastrointestinal Endoscopy guideline on the role of endoscopy in the diagnosis of malignancy in biliary strictures of undetermined etiology: summary and recommendations</w:t>
      </w:r>
    </w:p>
    <w:p>
      <w:pPr>
        <w:spacing w:after="70"/>
      </w:pPr>
      <w:r>
        <w:rPr>
          <w:b/>
          <w:bCs/>
          <w:color w:val="17365D"/>
          <w:sz w:val="16"/>
          <w:szCs w:val="16"/>
        </w:rPr>
        <w:t xml:space="preserve">Bottom line. </w:t>
      </w:r>
      <w:r>
        <w:rPr>
          <w:sz w:val="16"/>
          <w:szCs w:val="16"/>
        </w:rPr>
        <w:t xml:space="preserve">The ASGE's three conditional recommendations, all on very low quality evidence, are to add fluoroscopy-guided biopsy to brush cytology, to use cholangioscopy-guided biopsy in non-distal strictures where the critical liver segment can be drained, and to add EUS after a non-diagnostic ERCP or for a distal stricture, with the explicit practice point that the hilar mass itself must not be punctured in a potential transplant candidate. Heterogeneity runs to I-squared of 80% to 90% for the central estimates, EUS alone and ERCP alone do not differ in sensitivity, and every forest plot and evidence profile sits in a separate companion article. Even the best combination leaves sensitivity at 0.66 to 0.88, so a negative endoscopic work-up excludes nothing, and primary sclerosing cholangitis is left to a future-directions list.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All three recommendations are conditional and based on very low quality evidence drawn almost entirely from observational studies, and the panel's first future direction is a call for randomised trials to address the same three questions</w:t>
            </w:r>
          </w:p>
          <w:p>
            <w:pPr>
              <w:pStyle w:val="ListParagraph"/>
              <w:numPr>
                <w:ilvl w:val="0"/>
                <w:numId w:val="2"/>
              </w:numPr>
              <w:spacing w:after="45"/>
            </w:pPr>
            <w:r>
              <w:rPr>
                <w:sz w:val="15"/>
                <w:szCs w:val="15"/>
              </w:rPr>
              <w:t xml:space="preserve">Patients with primary sclerosing cholangitis need separate study because the diagnostic algorithm probably differs and FISH plays a larger role there; the guideline makes no recommendation for them</w:t>
            </w:r>
          </w:p>
          <w:p>
            <w:pPr>
              <w:pStyle w:val="ListParagraph"/>
              <w:numPr>
                <w:ilvl w:val="0"/>
                <w:numId w:val="2"/>
              </w:numPr>
              <w:spacing w:after="45"/>
            </w:pPr>
            <w:r>
              <w:rPr>
                <w:sz w:val="15"/>
                <w:szCs w:val="15"/>
              </w:rPr>
              <w:t xml:space="preserve">The role of adjunctive pathological analyses, next-generation sequencing, flow cytometry, FISH and digital image analysis, is unaddressed and listed as a future direction</w:t>
            </w:r>
          </w:p>
          <w:p>
            <w:pPr>
              <w:pStyle w:val="ListParagraph"/>
              <w:numPr>
                <w:ilvl w:val="0"/>
                <w:numId w:val="2"/>
              </w:numPr>
              <w:spacing w:after="45"/>
            </w:pPr>
            <w:r>
              <w:rPr>
                <w:sz w:val="15"/>
                <w:szCs w:val="15"/>
              </w:rPr>
              <w:t xml:space="preserve">The diagnostic yield of cholangioscopy and EUS should be studied in consecutive patients rather than only in those in whom the procedure is technically successful</w:t>
            </w:r>
          </w:p>
          <w:p>
            <w:pPr>
              <w:pStyle w:val="ListParagraph"/>
              <w:numPr>
                <w:ilvl w:val="0"/>
                <w:numId w:val="2"/>
              </w:numPr>
              <w:spacing w:after="45"/>
            </w:pPr>
            <w:r>
              <w:rPr>
                <w:sz w:val="15"/>
                <w:szCs w:val="15"/>
              </w:rPr>
              <w:t xml:space="preserve">The interval before repeating a non-diagnostic ERCP is unknown and needs study</w:t>
            </w:r>
          </w:p>
          <w:p>
            <w:pPr>
              <w:pStyle w:val="ListParagraph"/>
              <w:numPr>
                <w:ilvl w:val="0"/>
                <w:numId w:val="2"/>
              </w:numPr>
              <w:spacing w:after="45"/>
            </w:pPr>
            <w:r>
              <w:rPr>
                <w:sz w:val="15"/>
                <w:szCs w:val="15"/>
              </w:rPr>
              <w:t xml:space="preserve">Panel members disagreed about whether to perform cholangioscopy at the index ERCP or to wait until decompression of the proximal ducts is assured, because cholangioscopy requires instillation of water or saline and risks introducing infection into an undrained tree</w:t>
            </w:r>
          </w:p>
          <w:p>
            <w:pPr>
              <w:pStyle w:val="ListParagraph"/>
              <w:numPr>
                <w:ilvl w:val="0"/>
                <w:numId w:val="2"/>
              </w:numPr>
              <w:spacing w:after="45"/>
            </w:pPr>
            <w:r>
              <w:rPr>
                <w:sz w:val="15"/>
                <w:szCs w:val="15"/>
              </w:rPr>
              <w:t xml:space="preserve">The panel acknowledged that intraductal biopsy is technically more difficult, more time-consuming and produced more severe adverse events than brush cytology, and that some studies may not have attempted it in every stricture, so specimen adequacy figures reflect technical failure rather than specimen quality</w:t>
            </w:r>
          </w:p>
          <w:p>
            <w:pPr>
              <w:pStyle w:val="ListParagraph"/>
              <w:numPr>
                <w:ilvl w:val="0"/>
                <w:numId w:val="2"/>
              </w:numPr>
              <w:spacing w:after="45"/>
            </w:pPr>
            <w:r>
              <w:rPr>
                <w:sz w:val="15"/>
                <w:szCs w:val="15"/>
              </w:rPr>
              <w:t xml:space="preserve">Intraductal ultrasound and confocal laser endomicroscopy are reviewed but no recommendation is made; confocal endomicroscopy is difficult to master and expensive and the Miami classification is limited by low interobserver agreement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Heterogeneity is high in every pooled estimate and is carried forward without accommodation: I-squared of 79.5% for the brush cytology miss rate, 80.3% for the biopsy miss rate, 79.4% for biopsy sensitivity, and 86.6% and 90% for the ERCP and EUS sensitivity pools, so the pooled numbers have no single referent</w:t>
            </w:r>
          </w:p>
          <w:p>
            <w:pPr>
              <w:pStyle w:val="ListParagraph"/>
              <w:numPr>
                <w:ilvl w:val="0"/>
                <w:numId w:val="2"/>
              </w:numPr>
              <w:spacing w:after="45"/>
            </w:pPr>
            <w:r>
              <w:rPr>
                <w:sz w:val="15"/>
                <w:szCs w:val="15"/>
              </w:rPr>
              <w:t xml:space="preserve">No agreement percentages or vote counts are published; the document states only that the final wording was approved by all panel members and the ASGE governing board, even where the text records open disagreement among them</w:t>
            </w:r>
          </w:p>
          <w:p>
            <w:pPr>
              <w:pStyle w:val="ListParagraph"/>
              <w:numPr>
                <w:ilvl w:val="0"/>
                <w:numId w:val="2"/>
              </w:numPr>
              <w:spacing w:after="45"/>
            </w:pPr>
            <w:r>
              <w:rPr>
                <w:sz w:val="15"/>
                <w:szCs w:val="15"/>
              </w:rPr>
              <w:t xml:space="preserve">The disclosure list covers almost the whole panel and names the manufacturers of the forceps, cholangioscopes and needles the recommendations promote; the conflicts are said to have been addressed according to ASGE policy with no statement of how, and no recusal is recorded</w:t>
            </w:r>
          </w:p>
          <w:p>
            <w:pPr>
              <w:pStyle w:val="ListParagraph"/>
              <w:numPr>
                <w:ilvl w:val="0"/>
                <w:numId w:val="2"/>
              </w:numPr>
              <w:spacing w:after="45"/>
            </w:pPr>
            <w:r>
              <w:rPr>
                <w:sz w:val="15"/>
                <w:szCs w:val="15"/>
              </w:rPr>
              <w:t xml:space="preserve">Adverse events for intraductal biopsy against brushing are called no different (odds ratio 0.53, 95% CI 0.14-2.05) on 2 and 5 events, while both severe events in the analysis, a prolonged bleed and a perforation requiring surgical choledochotomy, occurred in the biopsy arm</w:t>
            </w:r>
          </w:p>
          <w:p>
            <w:pPr>
              <w:pStyle w:val="ListParagraph"/>
              <w:numPr>
                <w:ilvl w:val="0"/>
                <w:numId w:val="2"/>
              </w:numPr>
              <w:spacing w:after="45"/>
            </w:pPr>
            <w:r>
              <w:rPr>
                <w:sz w:val="15"/>
                <w:szCs w:val="15"/>
              </w:rPr>
              <w:t xml:space="preserve">The EUS adverse-event comparison, odds ratio 8.11 (2.95-22.29) favouring EUS, counts ERCP's own procedural complications (1 severe and 27 mild pancreatitis, 10 cholangitis, 6 mild bleeds) as the comparator, yet the recommendation is EUS in addition to ERCP, so those complications are not avoided</w:t>
            </w:r>
          </w:p>
          <w:p>
            <w:pPr>
              <w:pStyle w:val="ListParagraph"/>
              <w:numPr>
                <w:ilvl w:val="0"/>
                <w:numId w:val="2"/>
              </w:numPr>
              <w:spacing w:after="45"/>
            </w:pPr>
            <w:r>
              <w:rPr>
                <w:sz w:val="15"/>
                <w:szCs w:val="15"/>
              </w:rPr>
              <w:t xml:space="preserve">EUS alone and ERCP alone did not differ in pooled sensitivity (0.74 against 0.70, P = 0.31), so the recommendation's benefit rests entirely on the combination estimate (0.88 against 0.61) pooled from 8 studies with I-squared of 53.6% and 86.4%</w:t>
            </w:r>
          </w:p>
          <w:p>
            <w:pPr>
              <w:pStyle w:val="ListParagraph"/>
              <w:numPr>
                <w:ilvl w:val="0"/>
                <w:numId w:val="2"/>
              </w:numPr>
              <w:spacing w:after="45"/>
            </w:pPr>
            <w:r>
              <w:rPr>
                <w:sz w:val="15"/>
                <w:szCs w:val="15"/>
              </w:rPr>
              <w:t xml:space="preserve">Technical success for brushing against biopsy is reported as odds ratio 3.27 (0.52-20.53) and read as no difference, while the panel concedes biopsy may not have been attempted in all strictures, so the comparison is conditional on the endoscopist having judged it feasible</w:t>
            </w:r>
          </w:p>
          <w:p>
            <w:pPr>
              <w:pStyle w:val="ListParagraph"/>
              <w:numPr>
                <w:ilvl w:val="0"/>
                <w:numId w:val="2"/>
              </w:numPr>
              <w:spacing w:after="45"/>
            </w:pPr>
            <w:r>
              <w:rPr>
                <w:sz w:val="15"/>
                <w:szCs w:val="15"/>
              </w:rPr>
              <w:t xml:space="preserve">The cholangioscopy incremental yield is 27% (9-46) from four observational studies and 41% (11-72) from the single randomised trial; the intervals overlap almost entirely and the headline figure is the observational pooling</w:t>
            </w:r>
          </w:p>
          <w:p>
            <w:pPr>
              <w:pStyle w:val="ListParagraph"/>
              <w:numPr>
                <w:ilvl w:val="0"/>
                <w:numId w:val="2"/>
              </w:numPr>
              <w:spacing w:after="45"/>
            </w:pPr>
            <w:r>
              <w:rPr>
                <w:sz w:val="15"/>
                <w:szCs w:val="15"/>
              </w:rPr>
              <w:t xml:space="preserve">Recommendation 2's three conditions carry no evidence of their own: the drainage condition rests on one reference about saline instillation and on the panel's recorded disagreement, and the single study that compared locations found cholangioscopy less sensitive than intraductal biopsy for distal strictures (50% against 76%) with no difference for proximal ones, which is not the pattern the recommendation assumes</w:t>
            </w:r>
          </w:p>
          <w:p>
            <w:pPr>
              <w:pStyle w:val="ListParagraph"/>
              <w:numPr>
                <w:ilvl w:val="0"/>
                <w:numId w:val="2"/>
              </w:numPr>
              <w:spacing w:after="45"/>
            </w:pPr>
            <w:r>
              <w:rPr>
                <w:sz w:val="15"/>
                <w:szCs w:val="15"/>
              </w:rPr>
              <w:t xml:space="preserve">Cost-effectiveness for all three recommendations rests on one cost-utility study and a willingness-to-pay threshold under $50,000, a US figure applied without sensitivity analysis; the quoted incremental cost-effectiveness ratio for cholangioscopy in primary sclerosing cholangitis is $39,277 for a gain of 0.22 quality-adjusted life years</w:t>
            </w:r>
          </w:p>
          <w:p>
            <w:pPr>
              <w:pStyle w:val="ListParagraph"/>
              <w:numPr>
                <w:ilvl w:val="0"/>
                <w:numId w:val="2"/>
              </w:numPr>
              <w:spacing w:after="45"/>
            </w:pPr>
            <w:r>
              <w:rPr>
                <w:sz w:val="15"/>
                <w:szCs w:val="15"/>
              </w:rPr>
              <w:t xml:space="preserve">Every forest plot, funnel plot, evidence profile and risk-of-bias assessment sits in a separate companion article subtitled Methodology and Review of Evidence, so the recommendations cannot be checked against the analysis in the document that states them</w:t>
            </w:r>
          </w:p>
          <w:p>
            <w:pPr>
              <w:pStyle w:val="ListParagraph"/>
              <w:numPr>
                <w:ilvl w:val="0"/>
                <w:numId w:val="2"/>
              </w:numPr>
              <w:spacing w:after="45"/>
            </w:pPr>
            <w:r>
              <w:rPr>
                <w:sz w:val="15"/>
                <w:szCs w:val="15"/>
              </w:rPr>
              <w:t xml:space="preserve">The guideline substitutes undetermined for indeterminate so that studies of a first ERCP without a prior negative brushing can be included; that changes the pre-test probability of the pooled population and no subgroup analysis accounts for it</w:t>
            </w:r>
          </w:p>
          <w:p>
            <w:pPr>
              <w:pStyle w:val="ListParagraph"/>
              <w:numPr>
                <w:ilvl w:val="0"/>
                <w:numId w:val="2"/>
              </w:numPr>
              <w:spacing w:after="45"/>
            </w:pPr>
            <w:r>
              <w:rPr>
                <w:sz w:val="15"/>
                <w:szCs w:val="15"/>
              </w:rPr>
              <w:t xml:space="preserve">The hilar transplant caveat, that the endosonographer must not perform fine-needle aspiration or biopsy of the biliary mass itself, appears only as a practice point beneath Table 1 and one sentence of text referenced to a single source, and is neither graded nor built into the wording of any recommendation</w:t>
            </w:r>
          </w:p>
          <w:p>
            <w:pPr>
              <w:pStyle w:val="ListParagraph"/>
              <w:numPr>
                <w:ilvl w:val="0"/>
                <w:numId w:val="2"/>
              </w:numPr>
              <w:spacing w:after="45"/>
            </w:pPr>
            <w:r>
              <w:rPr>
                <w:sz w:val="15"/>
                <w:szCs w:val="15"/>
              </w:rPr>
              <w:t xml:space="preserve">Confocal laser endomicroscopy is credited with pooled sensitivity 90% (86-94) at I-squared 1.6% and specificity 72% (65-79) at I-squared 0%, implausibly homogeneous for a technique the same paragraph says suffers from low interobserver agreement</w:t>
            </w:r>
          </w:p>
          <w:p>
            <w:pPr>
              <w:pStyle w:val="ListParagraph"/>
              <w:numPr>
                <w:ilvl w:val="0"/>
                <w:numId w:val="2"/>
              </w:numPr>
              <w:spacing w:after="45"/>
            </w:pPr>
            <w:r>
              <w:rPr>
                <w:sz w:val="15"/>
                <w:szCs w:val="15"/>
              </w:rPr>
              <w:t xml:space="preserve">Even the best combination leaves sensitivity at 0.66 to 0.88, so a negative endoscopic work-up excludes nothing, and in a hilar stricture the decision to resect or to enter a neoadjuvant transplant protocol will still rest on imaging, CA 19-9 and clinical suspicion</w:t>
            </w:r>
          </w:p>
          <w:p>
            <w:pPr>
              <w:pStyle w:val="ListParagraph"/>
              <w:numPr>
                <w:ilvl w:val="0"/>
                <w:numId w:val="2"/>
              </w:numPr>
              <w:spacing w:after="45"/>
            </w:pPr>
            <w:r>
              <w:rPr>
                <w:sz w:val="15"/>
                <w:szCs w:val="15"/>
              </w:rPr>
              <w:t xml:space="preserve">No linked editorial, comment or letter was found in PubMed</w:t>
            </w:r>
          </w:p>
        </w:tc>
      </w:tr>
    </w:tbl>
    <w:p>
      <w:pPr>
        <w:spacing w:after="0" w:line="276"/>
      </w:pPr>
      <w:r>
        <w:rPr>
          <w:color w:val="5A6069"/>
          <w:sz w:val="14"/>
          <w:szCs w:val="14"/>
        </w:rPr>
        <w:t xml:space="preserve">Funding: Funded exclusively by the American Society for Gastrointestinal Endoscopy with no outside funding; nearly every named panel member declares consultancy, speaking, advisory board, research support or travel and food compensation from endoscopy and device manufacturers including Boston Scientific, Olympus, Cook Medical, Pentax, Ambu, Merit Medical, Micro-Tech and Medtronic</w:t>
      </w:r>
    </w:p>
    <w:p>
      <w:pPr>
        <w:keepNext/>
        <w:spacing w:after="50" w:before="260"/>
      </w:pPr>
      <w:r>
        <w:rPr>
          <w:rFonts w:ascii="Cambria" w:cs="Cambria" w:eastAsia="Cambria" w:hAnsi="Cambria"/>
          <w:b/>
          <w:bCs/>
          <w:color w:val="17365D"/>
          <w:sz w:val="20"/>
          <w:szCs w:val="20"/>
        </w:rPr>
        <w:t xml:space="preserve">ASGE hilar</w:t>
      </w:r>
      <w:r>
        <w:rPr>
          <w:b/>
          <w:bCs/>
          <w:color w:val="176A87"/>
          <w:sz w:val="15"/>
          <w:szCs w:val="15"/>
        </w:rPr>
        <w:t xml:space="preserve">   Guideline</w:t>
      </w:r>
      <w:r>
        <w:rPr>
          <w:color w:val="5A6069"/>
          <w:sz w:val="15"/>
          <w:szCs w:val="15"/>
        </w:rPr>
        <w:t xml:space="preserve">   PMID 34023067</w:t>
      </w:r>
    </w:p>
    <w:p>
      <w:pPr>
        <w:spacing w:after="50" w:line="276"/>
      </w:pPr>
      <w:r>
        <w:rPr>
          <w:color w:val="5A6069"/>
          <w:sz w:val="17"/>
          <w:szCs w:val="17"/>
        </w:rPr>
        <w:t xml:space="preserve">ASGE guideline on the role of endoscopy in the management of malignant hilar obstruction</w:t>
      </w:r>
    </w:p>
    <w:p>
      <w:pPr>
        <w:spacing w:after="70"/>
      </w:pPr>
      <w:r>
        <w:rPr>
          <w:b/>
          <w:bCs/>
          <w:color w:val="17365D"/>
          <w:sz w:val="16"/>
          <w:szCs w:val="16"/>
        </w:rPr>
        <w:t xml:space="preserve">Bottom line. </w:t>
      </w:r>
      <w:r>
        <w:rPr>
          <w:sz w:val="16"/>
          <w:szCs w:val="16"/>
        </w:rPr>
        <w:t xml:space="preserve">The ASGE's three conditional recommendations for malignant hilar obstruction are metal or plastic stents for palliation with metal preferred where repeated intervention is to be avoided, bilateral rather than unilateral stenting when the liver is not atrophic, and against routine percutaneous drainage as first-line therapy before resection. Every recommendation rests on low quality evidence, and the bilateral-stent recommendation is made although technical success was significantly lower with bilateral placement and pooled survival, patency, drainage success and adverse events all showed no difference; the case against percutaneous drainage rests on a seeding meta-analysis the panel itself grades very low (7.8% against 17.1%, I-squared 66%). The most actionable number in the document, drain more than 50% of viable liver volume, appears only as ungraded expert opinion, as do all the statements about the transplant candidate.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All three recommendations are conditional and rest on low quality evidence, and the panel closes by listing the trials that would be needed in each area</w:t>
            </w:r>
          </w:p>
          <w:p>
            <w:pPr>
              <w:pStyle w:val="ListParagraph"/>
              <w:numPr>
                <w:ilvl w:val="0"/>
                <w:numId w:val="2"/>
              </w:numPr>
              <w:spacing w:after="45"/>
            </w:pPr>
            <w:r>
              <w:rPr>
                <w:sz w:val="15"/>
                <w:szCs w:val="15"/>
              </w:rPr>
              <w:t xml:space="preserve">The existing randomised trials of metal against plastic stents did not schedule regular plastic stent exchanges but waited for occlusion, which the panel names as the major limitation in answering its first question; future trials should compare metal stents against regularly replaced plastic stents to mirror practice</w:t>
            </w:r>
          </w:p>
          <w:p>
            <w:pPr>
              <w:pStyle w:val="ListParagraph"/>
              <w:numPr>
                <w:ilvl w:val="0"/>
                <w:numId w:val="2"/>
              </w:numPr>
              <w:spacing w:after="45"/>
            </w:pPr>
            <w:r>
              <w:rPr>
                <w:sz w:val="15"/>
                <w:szCs w:val="15"/>
              </w:rPr>
              <w:t xml:space="preserve">Evidence on survival and stent patency was rated down for imprecision because of the assumption of normality when pooling medians, and much of it came from single studies</w:t>
            </w:r>
          </w:p>
          <w:p>
            <w:pPr>
              <w:pStyle w:val="ListParagraph"/>
              <w:numPr>
                <w:ilvl w:val="0"/>
                <w:numId w:val="2"/>
              </w:numPr>
              <w:spacing w:after="45"/>
            </w:pPr>
            <w:r>
              <w:rPr>
                <w:sz w:val="15"/>
                <w:szCs w:val="15"/>
              </w:rPr>
              <w:t xml:space="preserve">The term bilateral stent placement is the wrong frame; future studies should use multisectoral stent placement, meaning right anterior, right posterior and left main duct</w:t>
            </w:r>
          </w:p>
          <w:p>
            <w:pPr>
              <w:pStyle w:val="ListParagraph"/>
              <w:numPr>
                <w:ilvl w:val="0"/>
                <w:numId w:val="2"/>
              </w:numPr>
              <w:spacing w:after="45"/>
            </w:pPr>
            <w:r>
              <w:rPr>
                <w:sz w:val="15"/>
                <w:szCs w:val="15"/>
              </w:rPr>
              <w:t xml:space="preserve">No studies reporting patient values were found for the stent-type question, so the panel relied on discussion with the patient advocate and its own assumption that patients would value survival and fewer reinterventions</w:t>
            </w:r>
          </w:p>
          <w:p>
            <w:pPr>
              <w:pStyle w:val="ListParagraph"/>
              <w:numPr>
                <w:ilvl w:val="0"/>
                <w:numId w:val="2"/>
              </w:numPr>
              <w:spacing w:after="45"/>
            </w:pPr>
            <w:r>
              <w:rPr>
                <w:sz w:val="15"/>
                <w:szCs w:val="15"/>
              </w:rPr>
              <w:t xml:space="preserve">There are no true cost-effectiveness analyses in the United States, and the one cost-effectiveness study of endoscopic against percutaneous drainage comes from Thailand with limited generalisability</w:t>
            </w:r>
          </w:p>
          <w:p>
            <w:pPr>
              <w:pStyle w:val="ListParagraph"/>
              <w:numPr>
                <w:ilvl w:val="0"/>
                <w:numId w:val="2"/>
              </w:numPr>
              <w:spacing w:after="45"/>
            </w:pPr>
            <w:r>
              <w:rPr>
                <w:sz w:val="15"/>
                <w:szCs w:val="15"/>
              </w:rPr>
              <w:t xml:space="preserve">Two of the three randomised trials of endoscopic against percutaneous drainage ended early, the Dutch trial for higher early mortality and the only US trial for prohibitively slow accrual, and the evidence was rated down for risk of bias on that account</w:t>
            </w:r>
          </w:p>
          <w:p>
            <w:pPr>
              <w:pStyle w:val="ListParagraph"/>
              <w:numPr>
                <w:ilvl w:val="0"/>
                <w:numId w:val="2"/>
              </w:numPr>
              <w:spacing w:after="45"/>
            </w:pPr>
            <w:r>
              <w:rPr>
                <w:sz w:val="15"/>
                <w:szCs w:val="15"/>
              </w:rPr>
              <w:t xml:space="preserve">The general concept statements, including those covering the transplant candidate, are expert opinions of the panel for which no systematic review was conducted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Recommendation 2 favours bilateral stenting although almost every outcome examined was null or ran the other way: technical success was significantly lower for bilateral placement (odds ratio 0.39, 95% CI 0.17-0.91), drainage success did not differ (1.0, 0.36-2.76), early and late adverse events did not differ, late stent occlusion did not differ, pooled survival did not differ (11 days, -12 to 35) and pooled patency did not differ (standardised mean difference 0.38, -0.22 to 0.99, I-squared 78%); the recommendation rests on two adjusted hazard ratios from a single randomised trial</w:t>
            </w:r>
          </w:p>
          <w:p>
            <w:pPr>
              <w:pStyle w:val="ListParagraph"/>
              <w:numPr>
                <w:ilvl w:val="0"/>
                <w:numId w:val="2"/>
              </w:numPr>
              <w:spacing w:after="45"/>
            </w:pPr>
            <w:r>
              <w:rPr>
                <w:sz w:val="15"/>
                <w:szCs w:val="15"/>
              </w:rPr>
              <w:t xml:space="preserve">Pooled survival and patency effects are computed as standardised mean differences from reported medians, patient numbers and P values on an assumption of normality that the panel itself rated the evidence down for, while continuing to use the estimates</w:t>
            </w:r>
          </w:p>
          <w:p>
            <w:pPr>
              <w:pStyle w:val="ListParagraph"/>
              <w:numPr>
                <w:ilvl w:val="0"/>
                <w:numId w:val="2"/>
              </w:numPr>
              <w:spacing w:after="45"/>
            </w:pPr>
            <w:r>
              <w:rPr>
                <w:sz w:val="15"/>
                <w:szCs w:val="15"/>
              </w:rPr>
              <w:t xml:space="preserve">Several reported P values contradict their intervals: pancreatitis after endoscopic against percutaneous drainage is given as odds ratio 3.69 (1.20-11.33, P = .22), and overall adverse events (1.8, 1.03-3.13) and cholangitis (2.04, 1.00-4.14) are described as not reaching significance although their intervals exclude or touch 1; insertion success for metal against plastic stents is 6.38 (0.86-47.45)</w:t>
            </w:r>
          </w:p>
          <w:p>
            <w:pPr>
              <w:pStyle w:val="ListParagraph"/>
              <w:numPr>
                <w:ilvl w:val="0"/>
                <w:numId w:val="2"/>
              </w:numPr>
              <w:spacing w:after="45"/>
            </w:pPr>
            <w:r>
              <w:rPr>
                <w:sz w:val="15"/>
                <w:szCs w:val="15"/>
              </w:rPr>
              <w:t xml:space="preserve">The seeding figure the panel names as the driving factor behind recommendation 3a is the weakest evidence in the document: a meta-analysis of 6 studies giving 7.8% against 17.1% (odds ratio 0.27, 95% CI 0.13-0.56) with I-squared of 66% and very few events, plus one adjusted single-centre cohort (odds ratio 6.9, 1.9-25.7), both graded very low quality by the panel itself</w:t>
            </w:r>
          </w:p>
          <w:p>
            <w:pPr>
              <w:pStyle w:val="ListParagraph"/>
              <w:numPr>
                <w:ilvl w:val="0"/>
                <w:numId w:val="2"/>
              </w:numPr>
              <w:spacing w:after="45"/>
            </w:pPr>
            <w:r>
              <w:rPr>
                <w:sz w:val="15"/>
                <w:szCs w:val="15"/>
              </w:rPr>
              <w:t xml:space="preserve">The outcomes that favoured percutaneous drainage are not reflected in the recommendation: technical success was lower with endoscopic drainage (odds ratio 0.21, 0.05-0.85) and conversion to the other procedure far commoner (18.2, 3.1-105.1), while the mortality advantage for endoscopic drainage was only a trend (risk ratio 0.53, 0.28-1.01, P = .05)</w:t>
            </w:r>
          </w:p>
          <w:p>
            <w:pPr>
              <w:pStyle w:val="ListParagraph"/>
              <w:numPr>
                <w:ilvl w:val="0"/>
                <w:numId w:val="2"/>
              </w:numPr>
              <w:spacing w:after="45"/>
            </w:pPr>
            <w:r>
              <w:rPr>
                <w:sz w:val="15"/>
                <w:szCs w:val="15"/>
              </w:rPr>
              <w:t xml:space="preserve">A mean survival difference of 27 months (95% CI 14-41) favouring endoscopic drainage in resectable patients is pooled from the medians of two retrospective studies, and the accompanying hazard ratio of 2.08 (1.28-3.71) is reported as an increase in survival with endoscopic drainage without stating the reference group</w:t>
            </w:r>
          </w:p>
          <w:p>
            <w:pPr>
              <w:pStyle w:val="ListParagraph"/>
              <w:numPr>
                <w:ilvl w:val="0"/>
                <w:numId w:val="2"/>
              </w:numPr>
              <w:spacing w:after="45"/>
            </w:pPr>
            <w:r>
              <w:rPr>
                <w:sz w:val="15"/>
                <w:szCs w:val="15"/>
              </w:rPr>
              <w:t xml:space="preserve">The evidence base is 25 studies for all three questions, assembled by locating existing systematic reviews and updating them rather than by a de novo search, and includes meeting abstracts from 2018 to 2019</w:t>
            </w:r>
          </w:p>
          <w:p>
            <w:pPr>
              <w:pStyle w:val="ListParagraph"/>
              <w:numPr>
                <w:ilvl w:val="0"/>
                <w:numId w:val="2"/>
              </w:numPr>
              <w:spacing w:after="45"/>
            </w:pPr>
            <w:r>
              <w:rPr>
                <w:sz w:val="15"/>
                <w:szCs w:val="15"/>
              </w:rPr>
              <w:t xml:space="preserve">No voting distribution is published; the text refers to the final vote among panel members without numbers, and the panel deciding between an endoscopic and a radiological procedure comprised one interventional radiologist and one pancreaticobiliary surgeon among a majority of endoscopists</w:t>
            </w:r>
          </w:p>
          <w:p>
            <w:pPr>
              <w:pStyle w:val="ListParagraph"/>
              <w:numPr>
                <w:ilvl w:val="0"/>
                <w:numId w:val="2"/>
              </w:numPr>
              <w:spacing w:after="45"/>
            </w:pPr>
            <w:r>
              <w:rPr>
                <w:sz w:val="15"/>
                <w:szCs w:val="15"/>
              </w:rPr>
              <w:t xml:space="preserve">Patient values were represented by a single advocate from the Cholangiocarcinoma Foundation plus the panel's own assumption of what patients would value, which the panel acknowledges is not a substitute for studying them</w:t>
            </w:r>
          </w:p>
          <w:p>
            <w:pPr>
              <w:pStyle w:val="ListParagraph"/>
              <w:numPr>
                <w:ilvl w:val="0"/>
                <w:numId w:val="2"/>
              </w:numPr>
              <w:spacing w:after="45"/>
            </w:pPr>
            <w:r>
              <w:rPr>
                <w:sz w:val="15"/>
                <w:szCs w:val="15"/>
              </w:rPr>
              <w:t xml:space="preserve">The equity judgement that recommending metal stents raises no issue because they are also available in resource-poor settings is asserted without evidence, in a document that accepts metal stents cost more and that no US cost-effectiveness analysis exists</w:t>
            </w:r>
          </w:p>
          <w:p>
            <w:pPr>
              <w:pStyle w:val="ListParagraph"/>
              <w:numPr>
                <w:ilvl w:val="0"/>
                <w:numId w:val="2"/>
              </w:numPr>
              <w:spacing w:after="45"/>
            </w:pPr>
            <w:r>
              <w:rPr>
                <w:sz w:val="15"/>
                <w:szCs w:val="15"/>
              </w:rPr>
              <w:t xml:space="preserve">The most actionable number in the document, drain more than 50% of the viable non-atrophic liver volume including the future liver remnant in resectable patients, appears only in the general-concepts table and the final comments, with no PICO question, no evidence synthesis and no grading</w:t>
            </w:r>
          </w:p>
          <w:p>
            <w:pPr>
              <w:pStyle w:val="ListParagraph"/>
              <w:numPr>
                <w:ilvl w:val="0"/>
                <w:numId w:val="2"/>
              </w:numPr>
              <w:spacing w:after="45"/>
            </w:pPr>
            <w:r>
              <w:rPr>
                <w:sz w:val="15"/>
                <w:szCs w:val="15"/>
              </w:rPr>
              <w:t xml:space="preserve">The general concepts covering the transplant candidate, avoid EUS with fine-needle aspiration of the lesion, avoid uncovered metal stents that are difficult to remove surgically, and avoid percutaneous drainage, are explicitly ungraded expert opinion, yet they are the statements a transplant programme would act on</w:t>
            </w:r>
          </w:p>
          <w:p>
            <w:pPr>
              <w:pStyle w:val="ListParagraph"/>
              <w:numPr>
                <w:ilvl w:val="0"/>
                <w:numId w:val="2"/>
              </w:numPr>
              <w:spacing w:after="45"/>
            </w:pPr>
            <w:r>
              <w:rPr>
                <w:sz w:val="15"/>
                <w:szCs w:val="15"/>
              </w:rPr>
              <w:t xml:space="preserve">Radiofrequency ablation and photodynamic therapy through metal stents are endorsed for tertiary centres and research settings in the general concepts with no evidence review at all</w:t>
            </w:r>
          </w:p>
          <w:p>
            <w:pPr>
              <w:pStyle w:val="ListParagraph"/>
              <w:numPr>
                <w:ilvl w:val="0"/>
                <w:numId w:val="2"/>
              </w:numPr>
              <w:spacing w:after="45"/>
            </w:pPr>
            <w:r>
              <w:rPr>
                <w:sz w:val="15"/>
                <w:szCs w:val="15"/>
              </w:rPr>
              <w:t xml:space="preserve">The panel met on 7 March 2020 with a literature base ending in 2019 and the guideline appeared in May 2021; the 2024 Asia-Pacific consensus and the 2026 ESGE guideline reach different conclusions on the same questions</w:t>
            </w:r>
          </w:p>
          <w:p>
            <w:pPr>
              <w:pStyle w:val="ListParagraph"/>
              <w:numPr>
                <w:ilvl w:val="0"/>
                <w:numId w:val="2"/>
              </w:numPr>
              <w:spacing w:after="45"/>
            </w:pPr>
            <w:r>
              <w:rPr>
                <w:sz w:val="15"/>
                <w:szCs w:val="15"/>
              </w:rPr>
              <w:t xml:space="preserve">The GRADE evidence profiles are in supplementary tables 1 to 3 and the forest and funnel plots in supplementary figures 1 to 6, none of which were reviewed here, so the pooled estimates cannot be checked against their inputs</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Funded exclusively by the American Society for Gastrointestinal Endoscopy with no outside funding; many panel members declare consulting, speaking, advisory or research relationships with stent and device manufacturers including Boston Scientific, Cook Medical, Olympus, TaeWoong, Merit Medical, Pentax and STERIS</w:t>
      </w:r>
    </w:p>
    <w:p>
      <w:pPr>
        <w:keepNext/>
        <w:spacing w:after="50" w:before="260"/>
      </w:pPr>
      <w:r>
        <w:rPr>
          <w:rFonts w:ascii="Cambria" w:cs="Cambria" w:eastAsia="Cambria" w:hAnsi="Cambria"/>
          <w:b/>
          <w:bCs/>
          <w:color w:val="17365D"/>
          <w:sz w:val="20"/>
          <w:szCs w:val="20"/>
        </w:rPr>
        <w:t xml:space="preserve">Asia-Pacific 2024</w:t>
      </w:r>
      <w:r>
        <w:rPr>
          <w:b/>
          <w:bCs/>
          <w:color w:val="176A87"/>
          <w:sz w:val="15"/>
          <w:szCs w:val="15"/>
        </w:rPr>
        <w:t xml:space="preserve">   Consensus statement</w:t>
      </w:r>
      <w:r>
        <w:rPr>
          <w:color w:val="5A6069"/>
          <w:sz w:val="15"/>
          <w:szCs w:val="15"/>
        </w:rPr>
        <w:t xml:space="preserve">   PMID 39285860</w:t>
      </w:r>
    </w:p>
    <w:p>
      <w:pPr>
        <w:spacing w:after="50" w:line="276"/>
      </w:pPr>
      <w:r>
        <w:rPr>
          <w:color w:val="5A6069"/>
          <w:sz w:val="17"/>
          <w:szCs w:val="17"/>
        </w:rPr>
        <w:t xml:space="preserve">The updated Asia-Pacific consensus statement on the role of endoscopic management in malignant hilar biliary obstruction</w:t>
      </w:r>
    </w:p>
    <w:p>
      <w:pPr>
        <w:spacing w:after="50"/>
      </w:pPr>
      <w:r>
        <w:rPr>
          <w:b/>
          <w:bCs/>
          <w:color w:val="176A87"/>
          <w:sz w:val="16"/>
          <w:szCs w:val="16"/>
        </w:rPr>
        <w:t xml:space="preserve">Population. </w:t>
      </w:r>
      <w:r>
        <w:rPr>
          <w:sz w:val="16"/>
          <w:szCs w:val="16"/>
        </w:rPr>
        <w:t xml:space="preserve">24 experts in hepatobiliary endoscopy, gastroenterologists and surgeons, from 14 countries in the Asia-Pacific region, voting anonymously in two modified Delphi rounds on statements drafted from a three-database literature search, producing 7 statements and 5 key concepts; there is no patient cohort</w:t>
      </w:r>
    </w:p>
    <w:p>
      <w:pPr>
        <w:spacing w:after="70"/>
      </w:pPr>
      <w:r>
        <w:rPr>
          <w:b/>
          <w:bCs/>
          <w:color w:val="17365D"/>
          <w:sz w:val="16"/>
          <w:szCs w:val="16"/>
        </w:rPr>
        <w:t xml:space="preserve">Bottom line. </w:t>
      </w:r>
      <w:r>
        <w:rPr>
          <w:sz w:val="16"/>
          <w:szCs w:val="16"/>
        </w:rPr>
        <w:t xml:space="preserve">The updated Asia-Pacific consensus gives a workable endoscopic algorithm for malignant hilar obstruction: combine intraductal biopsy and cytology at the index ERCP, drain more than 50% of viable liver with the stent number set by Bismuth type and sector volume, select the segment by guidewire under pre-defined imaging with air or carbon dioxide cholangiography, and use EUS-guided or percutaneous drainage as rescue. The agreement that certifies it is thinner than it appears, since the threshold counts a category the ballot does not contain and only 56% to 57% accepted the drainage and stent statements completely, and the volume rule assumes every sector is 30% of the liver rather than measuring it. Scope is endoscopic only: the algorithm's resectability node carries no criteria and no statement names a preferred route for preoperative drainage.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recommendations may assist physicians in planning treatment but should not replace the decision of a multidisciplinary team in the management of an individual patient</w:t>
            </w:r>
          </w:p>
          <w:p>
            <w:pPr>
              <w:pStyle w:val="ListParagraph"/>
              <w:numPr>
                <w:ilvl w:val="0"/>
                <w:numId w:val="2"/>
              </w:numPr>
              <w:spacing w:after="45"/>
            </w:pPr>
            <w:r>
              <w:rPr>
                <w:sz w:val="15"/>
                <w:szCs w:val="15"/>
              </w:rPr>
              <w:t xml:space="preserve">The availability and cost-effectiveness of cholangioscopy and of molecular diagnostic techniques are major limitations on their use</w:t>
            </w:r>
          </w:p>
          <w:p>
            <w:pPr>
              <w:pStyle w:val="ListParagraph"/>
              <w:numPr>
                <w:ilvl w:val="0"/>
                <w:numId w:val="2"/>
              </w:numPr>
              <w:spacing w:after="45"/>
            </w:pPr>
            <w:r>
              <w:rPr>
                <w:sz w:val="15"/>
                <w:szCs w:val="15"/>
              </w:rPr>
              <w:t xml:space="preserve">Statements 5 and 7, on rescue drainage of undrained segments and on revision of recurrent obstruction, are graded low quality evidence</w:t>
            </w:r>
          </w:p>
          <w:p>
            <w:pPr>
              <w:pStyle w:val="ListParagraph"/>
              <w:numPr>
                <w:ilvl w:val="0"/>
                <w:numId w:val="2"/>
              </w:numPr>
              <w:spacing w:after="45"/>
            </w:pPr>
            <w:r>
              <w:rPr>
                <w:sz w:val="15"/>
                <w:szCs w:val="15"/>
              </w:rPr>
              <w:t xml:space="preserve">A fully covered metal stent, although removable, might occlude segmental bile ducts when placed across the liver hilum, and evidence for placing bilateral fully covered stents is still awaited</w:t>
            </w:r>
          </w:p>
          <w:p>
            <w:pPr>
              <w:pStyle w:val="ListParagraph"/>
              <w:numPr>
                <w:ilvl w:val="0"/>
                <w:numId w:val="2"/>
              </w:numPr>
              <w:spacing w:after="45"/>
            </w:pPr>
            <w:r>
              <w:rPr>
                <w:sz w:val="15"/>
                <w:szCs w:val="15"/>
              </w:rPr>
              <w:t xml:space="preserve">Palliative biliary drainage does not alter survival outcomes or quality of life in patients with poor performance status, so careful patient selection is crucial and requires discussion of risks and benefits among the multidisciplinary team, patient and caregivers</w:t>
            </w:r>
          </w:p>
          <w:p>
            <w:pPr>
              <w:pStyle w:val="ListParagraph"/>
              <w:numPr>
                <w:ilvl w:val="0"/>
                <w:numId w:val="2"/>
              </w:numPr>
              <w:spacing w:after="45"/>
            </w:pPr>
            <w:r>
              <w:rPr>
                <w:sz w:val="15"/>
                <w:szCs w:val="15"/>
              </w:rPr>
              <w:t xml:space="preserve">The published voting distributions record limited agreement on several statements, with 56% and 57% accepting completely for the preoperative drainage and stent statements and 50% for the ablation key concept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consensus threshold is defined as over 80% voting 'accept completely' or 'accept with minor revision', but the ballot's second option is 'accept with some reservation'; the category used to certify consensus is not one the panel could vote for, and counting it conceals that only 56% and 57% accepted the drainage and stent statements completely</w:t>
            </w:r>
          </w:p>
          <w:p>
            <w:pPr>
              <w:pStyle w:val="ListParagraph"/>
              <w:numPr>
                <w:ilvl w:val="0"/>
                <w:numId w:val="2"/>
              </w:numPr>
              <w:spacing w:after="45"/>
            </w:pPr>
            <w:r>
              <w:rPr>
                <w:sz w:val="15"/>
                <w:szCs w:val="15"/>
              </w:rPr>
              <w:t xml:space="preserve">Statement 1 is graded high quality evidence while the supporting text reports brush cytology sensitivity of 21% to 56% and intraductal biopsy of 43% to 67% from observational studies, and no evidence profile, GRADE table or risk-of-bias assessment appears anywhere in the document to show how any grade was derived</w:t>
            </w:r>
          </w:p>
          <w:p>
            <w:pPr>
              <w:pStyle w:val="ListParagraph"/>
              <w:numPr>
                <w:ilvl w:val="0"/>
                <w:numId w:val="2"/>
              </w:numPr>
              <w:spacing w:after="45"/>
            </w:pPr>
            <w:r>
              <w:rPr>
                <w:sz w:val="15"/>
                <w:szCs w:val="15"/>
              </w:rPr>
              <w:t xml:space="preserve">Only the final voting distribution is published, so movement between the two rounds and the effect of the online discussion session are invisible; the ballot prints option C as 'accept with major reservation n' and provides no outcome for a statement that neither reaches 80% acceptance nor 80% rejection</w:t>
            </w:r>
          </w:p>
          <w:p>
            <w:pPr>
              <w:pStyle w:val="ListParagraph"/>
              <w:numPr>
                <w:ilvl w:val="0"/>
                <w:numId w:val="2"/>
              </w:numPr>
              <w:spacing w:after="45"/>
            </w:pPr>
            <w:r>
              <w:rPr>
                <w:sz w:val="15"/>
                <w:szCs w:val="15"/>
              </w:rPr>
              <w:t xml:space="preserve">The liver-volume rule rests on Vienne's assumption that each of the three sectors is exactly 30% of liver volume with segments I and IV making up the remaining 10%; no patient-specific volumetry is required anywhere, and the two supporting retrospective cohorts set the threshold at 50% and at 80% (hazard ratio 2.46, 95% CI 1.16-5.23)</w:t>
            </w:r>
          </w:p>
          <w:p>
            <w:pPr>
              <w:pStyle w:val="ListParagraph"/>
              <w:numPr>
                <w:ilvl w:val="0"/>
                <w:numId w:val="2"/>
              </w:numPr>
              <w:spacing w:after="45"/>
            </w:pPr>
            <w:r>
              <w:rPr>
                <w:sz w:val="15"/>
                <w:szCs w:val="15"/>
              </w:rPr>
              <w:t xml:space="preserve">Figure 2 gives identical reasoning and the same 60% figure for Bismuth II and Bismuth IIIb, so the sector arithmetic that determines how many stents a patient needs is read off a fixed diagram rather than that patient's liver</w:t>
            </w:r>
          </w:p>
          <w:p>
            <w:pPr>
              <w:pStyle w:val="ListParagraph"/>
              <w:numPr>
                <w:ilvl w:val="0"/>
                <w:numId w:val="2"/>
              </w:numPr>
              <w:spacing w:after="45"/>
            </w:pPr>
            <w:r>
              <w:rPr>
                <w:sz w:val="15"/>
                <w:szCs w:val="15"/>
              </w:rPr>
              <w:t xml:space="preserve">Statement 2 states its preoperative drainage indications (bilirubin 15 mg/dL or more, albumin under 3 g/dL, cholangitis, delayed surgery) only in a figure footnote, and the result offered in support of strict criteria is an odds ratio of 0.51 (95% CI 0.18-1.42), an interval crossing 1, described as showing lower major morbidity</w:t>
            </w:r>
          </w:p>
          <w:p>
            <w:pPr>
              <w:pStyle w:val="ListParagraph"/>
              <w:numPr>
                <w:ilvl w:val="0"/>
                <w:numId w:val="2"/>
              </w:numPr>
              <w:spacing w:after="45"/>
            </w:pPr>
            <w:r>
              <w:rPr>
                <w:sz w:val="15"/>
                <w:szCs w:val="15"/>
              </w:rPr>
              <w:t xml:space="preserve">Statement 5's evidence is a single open-label study with historical controls in which technical success favoured the percutaneous arm (100% against 84%) while clinical success and complications did not differ; the recurrent-obstruction difference that justifies the recommendation, 27% against 88% at three months, comes from that non-randomised comparison</w:t>
            </w:r>
          </w:p>
          <w:p>
            <w:pPr>
              <w:pStyle w:val="ListParagraph"/>
              <w:numPr>
                <w:ilvl w:val="0"/>
                <w:numId w:val="2"/>
              </w:numPr>
              <w:spacing w:after="45"/>
            </w:pPr>
            <w:r>
              <w:rPr>
                <w:sz w:val="15"/>
                <w:szCs w:val="15"/>
              </w:rPr>
              <w:t xml:space="preserve">Statement 6 asks the endoscopist to predict response to systemic therapy before placing the first stent, which cannot be known at the index ERCP, and its supporting studies had adjuvant therapy in only a tenth to a half of patients with one spanning 25 years, so its survival assumptions predate routine first-line chemo-immunotherapy; it attracted the document's only outright rejection</w:t>
            </w:r>
          </w:p>
          <w:p>
            <w:pPr>
              <w:pStyle w:val="ListParagraph"/>
              <w:numPr>
                <w:ilvl w:val="0"/>
                <w:numId w:val="2"/>
              </w:numPr>
              <w:spacing w:after="45"/>
            </w:pPr>
            <w:r>
              <w:rPr>
                <w:sz w:val="15"/>
                <w:szCs w:val="15"/>
              </w:rPr>
              <w:t xml:space="preserve">Statement 7 is graded low quality and rests on series of 13, 31 and 49 patients, the 13-patient comparison being explicitly non-significant</w:t>
            </w:r>
          </w:p>
          <w:p>
            <w:pPr>
              <w:pStyle w:val="ListParagraph"/>
              <w:numPr>
                <w:ilvl w:val="0"/>
                <w:numId w:val="2"/>
              </w:numPr>
              <w:spacing w:after="45"/>
            </w:pPr>
            <w:r>
              <w:rPr>
                <w:sz w:val="15"/>
                <w:szCs w:val="15"/>
              </w:rPr>
              <w:t xml:space="preserve">Scope is purely endoscopic: no statement addresses resectability, the extent of hepatectomy with caudate resection, portal vein embolisation or transplant candidacy, the algorithm's 'Resectable?' decision node carries no criteria at all, and surgery enters only as a multidisciplinary-team caveat</w:t>
            </w:r>
          </w:p>
          <w:p>
            <w:pPr>
              <w:pStyle w:val="ListParagraph"/>
              <w:numPr>
                <w:ilvl w:val="0"/>
                <w:numId w:val="2"/>
              </w:numPr>
              <w:spacing w:after="45"/>
            </w:pPr>
            <w:r>
              <w:rPr>
                <w:sz w:val="15"/>
                <w:szCs w:val="15"/>
              </w:rPr>
              <w:t xml:space="preserve">No statement names a preferred route for preoperative drainage, which the 2013 version did address; the figure routes it to 'ERCP or PTBD' without preference, so the surgeon's question is left unanswered</w:t>
            </w:r>
          </w:p>
          <w:p>
            <w:pPr>
              <w:pStyle w:val="ListParagraph"/>
              <w:numPr>
                <w:ilvl w:val="0"/>
                <w:numId w:val="2"/>
              </w:numPr>
              <w:spacing w:after="45"/>
            </w:pPr>
            <w:r>
              <w:rPr>
                <w:sz w:val="15"/>
                <w:szCs w:val="15"/>
              </w:rPr>
              <w:t xml:space="preserve">The ablation key concept passed with only 50% accepting completely, and the photodynamic therapy meta-analysis hazard ratio of 0.49 (95% CI 0.33-0.73) is quoted without characterising the studies behind it, alongside an 11.11% rate of phototoxic reaction</w:t>
            </w:r>
          </w:p>
          <w:p>
            <w:pPr>
              <w:pStyle w:val="ListParagraph"/>
              <w:numPr>
                <w:ilvl w:val="0"/>
                <w:numId w:val="2"/>
              </w:numPr>
              <w:spacing w:after="45"/>
            </w:pPr>
            <w:r>
              <w:rPr>
                <w:sz w:val="15"/>
                <w:szCs w:val="15"/>
              </w:rPr>
              <w:t xml:space="preserve">Generalisability is confined to high-volume Asia-Pacific referral centres, where hilar obstruction is commoner and more often fluke-related or associated with hepatolithiasis; the 2026 ESGE guideline, on much the same evidence, instead prefers ERCP over primary percutaneous drainage, raises the drainage target to 70% or more, and favours an uncovered metal stent in expert centres</w:t>
            </w:r>
          </w:p>
          <w:p>
            <w:pPr>
              <w:pStyle w:val="ListParagraph"/>
              <w:numPr>
                <w:ilvl w:val="0"/>
                <w:numId w:val="2"/>
              </w:numPr>
              <w:spacing w:after="45"/>
            </w:pPr>
            <w:r>
              <w:rPr>
                <w:sz w:val="15"/>
                <w:szCs w:val="15"/>
              </w:rPr>
              <w:t xml:space="preserve">The statements were finalised after public consultation at one regional meeting, with no record of external review by another society and no statement of what changed from the 2013 version it supersedes</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No funding statement; the authors declare that they have no conflict of interest</w:t>
      </w:r>
    </w:p>
    <w:p>
      <w:pPr>
        <w:keepNext/>
        <w:spacing w:after="50" w:before="260"/>
      </w:pPr>
      <w:r>
        <w:rPr>
          <w:rFonts w:ascii="Cambria" w:cs="Cambria" w:eastAsia="Cambria" w:hAnsi="Cambria"/>
          <w:b/>
          <w:bCs/>
          <w:color w:val="17365D"/>
          <w:sz w:val="20"/>
          <w:szCs w:val="20"/>
        </w:rPr>
        <w:t xml:space="preserve">Avadhani 2017</w:t>
      </w:r>
      <w:r>
        <w:rPr>
          <w:b/>
          <w:bCs/>
          <w:color w:val="176A87"/>
          <w:sz w:val="15"/>
          <w:szCs w:val="15"/>
        </w:rPr>
        <w:t xml:space="preserve">   Prospective trial</w:t>
      </w:r>
      <w:r>
        <w:rPr>
          <w:color w:val="5A6069"/>
          <w:sz w:val="15"/>
          <w:szCs w:val="15"/>
        </w:rPr>
        <w:t xml:space="preserve">   PMID 28664934</w:t>
      </w:r>
    </w:p>
    <w:p>
      <w:pPr>
        <w:spacing w:after="50" w:line="276"/>
      </w:pPr>
      <w:r>
        <w:rPr>
          <w:color w:val="5A6069"/>
          <w:sz w:val="17"/>
          <w:szCs w:val="17"/>
        </w:rPr>
        <w:t xml:space="preserve">Cytologic predictors of malignancy in bile duct brushings: a multi-reviewer analysis of 60 cases</w:t>
      </w:r>
    </w:p>
    <w:p>
      <w:pPr>
        <w:spacing w:after="50"/>
      </w:pPr>
      <w:r>
        <w:rPr>
          <w:b/>
          <w:bCs/>
          <w:color w:val="176A87"/>
          <w:sz w:val="16"/>
          <w:szCs w:val="16"/>
        </w:rPr>
        <w:t xml:space="preserve">Population. </w:t>
      </w:r>
      <w:r>
        <w:rPr>
          <w:sz w:val="16"/>
          <w:szCs w:val="16"/>
        </w:rPr>
        <w:t xml:space="preserve">60 bile duct brushings, 30 malignant with histological confirmation by biopsy (n=6) or resection (n=24) and 30 benign with at least 18 months of uneventful follow-up (15 with and 15 without a prior stent), selected from 253 eligible among 444 archival brushings at one institution over 2000-2015, each read blind by 7 reviewers for 14 malignant characteristics</w:t>
      </w:r>
    </w:p>
    <w:p>
      <w:pPr>
        <w:spacing w:after="70"/>
      </w:pPr>
      <w:r>
        <w:rPr>
          <w:b/>
          <w:bCs/>
          <w:color w:val="17365D"/>
          <w:sz w:val="16"/>
          <w:szCs w:val="16"/>
        </w:rPr>
        <w:t xml:space="preserve">Bottom line. </w:t>
      </w:r>
      <w:r>
        <w:rPr>
          <w:sz w:val="16"/>
          <w:szCs w:val="16"/>
        </w:rPr>
        <w:t xml:space="preserve">Reading a bile duct brushing for eleven defined malignant features and calling it malignant at three or more gives 70% sensitivity, 97% specificity and 83% accuracy, and general surgical pathologists apply the features about as well as cytopathologists do. Those figures come from a 50:50 archival case-control series of 60 cases at one institution, with the cut point chosen by scanning all ten cut points in the same cases, so they are a fitted operating point rather than a validated threshold and the predictive values do not carry over to clinic. No fixed combination of three features worked, a third of cancers are still missed at the recommended threshold, and neither perihilar strictures nor primary sclerosing cholangitis is identified anywhere in the cohort.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Detachment atypia, described here, is a close mimic of carcinoma in brushings and accounted for the one benign case called malignant on 7 characteristics</w:t>
            </w:r>
          </w:p>
          <w:p>
            <w:pPr>
              <w:pStyle w:val="ListParagraph"/>
              <w:numPr>
                <w:ilvl w:val="0"/>
                <w:numId w:val="2"/>
              </w:numPr>
              <w:spacing w:after="45"/>
            </w:pPr>
            <w:r>
              <w:rPr>
                <w:sz w:val="15"/>
                <w:szCs w:val="15"/>
              </w:rPr>
              <w:t xml:space="preserve">No fixed combination of criteria emerged: requiring chromatin change, nuclear irregularity and pleomorphism together performed worse than any 3 of the 11, and the authors compare this with failed attempts to find criterion combinations in rheumatic fever, Kawasaki disease and papillary thyroid carcinoma</w:t>
            </w:r>
          </w:p>
          <w:p>
            <w:pPr>
              <w:pStyle w:val="ListParagraph"/>
              <w:numPr>
                <w:ilvl w:val="0"/>
                <w:numId w:val="2"/>
              </w:numPr>
              <w:spacing w:after="45"/>
            </w:pPr>
            <w:r>
              <w:rPr>
                <w:sz w:val="15"/>
                <w:szCs w:val="15"/>
              </w:rPr>
              <w:t xml:space="preserve">Sensitivity falls as the number of required characteristics rises, so the minimal gain in specificity above three criteria comes at significant cost to sensitivity and accuracy</w:t>
            </w:r>
          </w:p>
          <w:p>
            <w:pPr>
              <w:pStyle w:val="ListParagraph"/>
              <w:numPr>
                <w:ilvl w:val="0"/>
                <w:numId w:val="2"/>
              </w:numPr>
              <w:spacing w:after="45"/>
            </w:pPr>
            <w:r>
              <w:rPr>
                <w:sz w:val="15"/>
                <w:szCs w:val="15"/>
              </w:rPr>
              <w:t xml:space="preserve">Well-differentiated tumours can be cytologically bland and extremely difficult to distinguish from benign or reactive change, particularly in primary sclerosing cholangitis, inflammation or prior stenting, which the authors say is partly responsible for the test's low sensitivity</w:t>
            </w:r>
          </w:p>
          <w:p>
            <w:pPr>
              <w:pStyle w:val="ListParagraph"/>
              <w:numPr>
                <w:ilvl w:val="0"/>
                <w:numId w:val="2"/>
              </w:numPr>
              <w:spacing w:after="45"/>
            </w:pPr>
            <w:r>
              <w:rPr>
                <w:sz w:val="15"/>
                <w:szCs w:val="15"/>
              </w:rPr>
              <w:t xml:space="preserve">Experience affected performance, with the more experienced reviewers achieving higher specificity and accuracy than the less experienced</w:t>
            </w:r>
          </w:p>
          <w:p>
            <w:pPr>
              <w:pStyle w:val="ListParagraph"/>
              <w:numPr>
                <w:ilvl w:val="0"/>
                <w:numId w:val="2"/>
              </w:numPr>
              <w:spacing w:after="45"/>
            </w:pPr>
            <w:r>
              <w:rPr>
                <w:sz w:val="15"/>
                <w:szCs w:val="15"/>
              </w:rPr>
              <w:t xml:space="preserve">A gold standard had to be constructed from reviewer agreement because no independent measure exists of whether a characteristic is present</w:t>
            </w:r>
          </w:p>
          <w:p>
            <w:pPr>
              <w:pStyle w:val="ListParagraph"/>
              <w:numPr>
                <w:ilvl w:val="0"/>
                <w:numId w:val="2"/>
              </w:numPr>
              <w:spacing w:after="45"/>
            </w:pPr>
            <w:r>
              <w:rPr>
                <w:sz w:val="15"/>
                <w:szCs w:val="15"/>
              </w:rPr>
              <w:t xml:space="preserve">Abnormal mitoses could not be evaluated at all because no two cytopathologists agreed on their presence in any of the 60 brushings</w:t>
            </w:r>
          </w:p>
          <w:p>
            <w:pPr>
              <w:pStyle w:val="ListParagraph"/>
              <w:numPr>
                <w:ilvl w:val="0"/>
                <w:numId w:val="2"/>
              </w:numPr>
              <w:spacing w:after="45"/>
            </w:pPr>
            <w:r>
              <w:rPr>
                <w:sz w:val="15"/>
                <w:szCs w:val="15"/>
              </w:rPr>
              <w:t xml:space="preserve">Features seen infrequently in malignant samples, such as prominent nucleoli at 20% to 28%, are of questionable helpfulness however specific they are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design is an archival case-control enriched to 50% malignant, so the reported predictive values do not transfer to a clinic population and the 97% specificity rests on 30 selected benign cases</w:t>
            </w:r>
          </w:p>
          <w:p>
            <w:pPr>
              <w:pStyle w:val="ListParagraph"/>
              <w:numPr>
                <w:ilvl w:val="0"/>
                <w:numId w:val="2"/>
              </w:numPr>
              <w:spacing w:after="45"/>
            </w:pPr>
            <w:r>
              <w:rPr>
                <w:sz w:val="15"/>
                <w:szCs w:val="15"/>
              </w:rPr>
              <w:t xml:space="preserve">The reference standards are asymmetric: malignancy required histology while benignity required only 18 months of uneventful follow-up; the paper argues against the 6-month standard used elsewhere but gives no justification for 18 months</w:t>
            </w:r>
          </w:p>
          <w:p>
            <w:pPr>
              <w:pStyle w:val="ListParagraph"/>
              <w:numPr>
                <w:ilvl w:val="0"/>
                <w:numId w:val="2"/>
              </w:numPr>
              <w:spacing w:after="45"/>
            </w:pPr>
            <w:r>
              <w:rPr>
                <w:sz w:val="15"/>
                <w:szCs w:val="15"/>
              </w:rPr>
              <w:t xml:space="preserve">The single benign case with 7 malignant characteristics was reclassified after the fact as a new entity, detachment atypia, which absorbs the one observation contradicting the rule being proposed</w:t>
            </w:r>
          </w:p>
          <w:p>
            <w:pPr>
              <w:pStyle w:val="ListParagraph"/>
              <w:numPr>
                <w:ilvl w:val="0"/>
                <w:numId w:val="2"/>
              </w:numPr>
              <w:spacing w:after="45"/>
            </w:pPr>
            <w:r>
              <w:rPr>
                <w:sz w:val="15"/>
                <w:szCs w:val="15"/>
              </w:rPr>
              <w:t xml:space="preserve">The 3-or-more cut point was selected by scanning all ten cut points in the same 60 cases for the best combination of sensitivity, specificity and accuracy, with no separate validation set, so 70%/97%/83% is a fitted operating point</w:t>
            </w:r>
          </w:p>
          <w:p>
            <w:pPr>
              <w:pStyle w:val="ListParagraph"/>
              <w:numPr>
                <w:ilvl w:val="0"/>
                <w:numId w:val="2"/>
              </w:numPr>
              <w:spacing w:after="45"/>
            </w:pPr>
            <w:r>
              <w:rPr>
                <w:sz w:val="15"/>
                <w:szCs w:val="15"/>
              </w:rPr>
              <w:t xml:space="preserve">Three different gold standards were run and the surviving feature list changes with each: at 7 of 7 agreement only 4 of 14 characteristics remain significant, each at exactly P = 0.0384, which indicates a single discordant case driving each</w:t>
            </w:r>
          </w:p>
          <w:p>
            <w:pPr>
              <w:pStyle w:val="ListParagraph"/>
              <w:numPr>
                <w:ilvl w:val="0"/>
                <w:numId w:val="2"/>
              </w:numPr>
              <w:spacing w:after="45"/>
            </w:pPr>
            <w:r>
              <w:rPr>
                <w:sz w:val="15"/>
                <w:szCs w:val="15"/>
              </w:rPr>
              <w:t xml:space="preserve">Necrosis is non-significant under the 2-of-3 cytopathologist standard (P = 0.7188) and significant under the 4-of-7 standard (P = 0.0384); the paper's conclusion that necrosis is unhelpful depends on which standard is chosen</w:t>
            </w:r>
          </w:p>
          <w:p>
            <w:pPr>
              <w:pStyle w:val="ListParagraph"/>
              <w:numPr>
                <w:ilvl w:val="0"/>
                <w:numId w:val="2"/>
              </w:numPr>
              <w:spacing w:after="45"/>
            </w:pPr>
            <w:r>
              <w:rPr>
                <w:sz w:val="15"/>
                <w:szCs w:val="15"/>
              </w:rPr>
              <w:t xml:space="preserve">Five of the 14 characteristics have no calculable odds ratio because a cell is empty, and three of those, hypercellularity, nuclear molding and prominent nucleoli, are nevertheless listed among the recommended 11 while Table 2 files them under less helpful characteristics</w:t>
            </w:r>
          </w:p>
          <w:p>
            <w:pPr>
              <w:pStyle w:val="ListParagraph"/>
              <w:numPr>
                <w:ilvl w:val="0"/>
                <w:numId w:val="2"/>
              </w:numPr>
              <w:spacing w:after="45"/>
            </w:pPr>
            <w:r>
              <w:rPr>
                <w:sz w:val="15"/>
                <w:szCs w:val="15"/>
              </w:rPr>
              <w:t xml:space="preserve">The calculable odds ratios reach 47.46 (95% CI 5.64-399.29) and 50.09 (5.97-420.36), intervals spanning two orders of magnitude on one or zero events in the benign group</w:t>
            </w:r>
          </w:p>
          <w:p>
            <w:pPr>
              <w:pStyle w:val="ListParagraph"/>
              <w:numPr>
                <w:ilvl w:val="0"/>
                <w:numId w:val="2"/>
              </w:numPr>
              <w:spacing w:after="45"/>
            </w:pPr>
            <w:r>
              <w:rPr>
                <w:sz w:val="15"/>
                <w:szCs w:val="15"/>
              </w:rPr>
              <w:t xml:space="preserve">Abstract and Table 1 disagree because they draw on different gold standards: three-dimensional clusters are 63% against 3% in the abstract and 52% against 3% in the 2-of-3 cytopathologist column, and nuclear irregularity 70 against 10 rather than 67 against 13</w:t>
            </w:r>
          </w:p>
          <w:p>
            <w:pPr>
              <w:pStyle w:val="ListParagraph"/>
              <w:numPr>
                <w:ilvl w:val="0"/>
                <w:numId w:val="2"/>
              </w:numPr>
              <w:spacing w:after="45"/>
            </w:pPr>
            <w:r>
              <w:rPr>
                <w:sz w:val="15"/>
                <w:szCs w:val="15"/>
              </w:rPr>
              <w:t xml:space="preserve">The text reports 22 brushings with 3 or more characteristics of which 1 was benign, while the abstract reports 20 with 4 or more of which 1 was benign; both quote the same single false positive</w:t>
            </w:r>
          </w:p>
          <w:p>
            <w:pPr>
              <w:pStyle w:val="ListParagraph"/>
              <w:numPr>
                <w:ilvl w:val="0"/>
                <w:numId w:val="2"/>
              </w:numPr>
              <w:spacing w:after="45"/>
            </w:pPr>
            <w:r>
              <w:rPr>
                <w:sz w:val="15"/>
                <w:szCs w:val="15"/>
              </w:rPr>
              <w:t xml:space="preserve">Six of the seven reviewers are authors of the paper, including the first author, a cytopathology fellow with three months of training who was classed as inexperienced after the results were known, so the interobserver data are not independent of the people who selected the criteria</w:t>
            </w:r>
          </w:p>
          <w:p>
            <w:pPr>
              <w:pStyle w:val="ListParagraph"/>
              <w:numPr>
                <w:ilvl w:val="0"/>
                <w:numId w:val="2"/>
              </w:numPr>
              <w:spacing w:after="45"/>
            </w:pPr>
            <w:r>
              <w:rPr>
                <w:sz w:val="15"/>
                <w:szCs w:val="15"/>
              </w:rPr>
              <w:t xml:space="preserve">Seven of 30 malignant brushings had none of the 11 characteristics at the primary gold standard; on blind re-review by all seven reviewers, 3 or more characteristics were found in all 7 cases, so the gold standard for feature presence is not stable on repeat reading of the same slides</w:t>
            </w:r>
          </w:p>
          <w:p>
            <w:pPr>
              <w:pStyle w:val="ListParagraph"/>
              <w:numPr>
                <w:ilvl w:val="0"/>
                <w:numId w:val="2"/>
              </w:numPr>
              <w:spacing w:after="45"/>
            </w:pPr>
            <w:r>
              <w:rPr>
                <w:sz w:val="15"/>
                <w:szCs w:val="15"/>
              </w:rPr>
              <w:t xml:space="preserve">No confidence interval is given for any sensitivity, specificity or accuracy figure, although the sample size was set to estimate a sensitivity of 80% with an interval of 70% to 90% and the observed sensitivity is 70%</w:t>
            </w:r>
          </w:p>
          <w:p>
            <w:pPr>
              <w:pStyle w:val="ListParagraph"/>
              <w:numPr>
                <w:ilvl w:val="0"/>
                <w:numId w:val="2"/>
              </w:numPr>
              <w:spacing w:after="45"/>
            </w:pPr>
            <w:r>
              <w:rPr>
                <w:sz w:val="15"/>
                <w:szCs w:val="15"/>
              </w:rPr>
              <w:t xml:space="preserve">The malignant cases' primary sites and the strictures' locations are never tabulated, so the proportion that were cholangiocarcinoma rather than pancreatic adenocarcinoma involving the duct, and the proportion that were perihilar, cannot be read; primary sclerosing cholangitis is discussed but no case is identified as such</w:t>
            </w:r>
          </w:p>
          <w:p>
            <w:pPr>
              <w:pStyle w:val="ListParagraph"/>
              <w:numPr>
                <w:ilvl w:val="0"/>
                <w:numId w:val="2"/>
              </w:numPr>
              <w:spacing w:after="45"/>
            </w:pPr>
            <w:r>
              <w:rPr>
                <w:sz w:val="15"/>
                <w:szCs w:val="15"/>
              </w:rPr>
              <w:t xml:space="preserve">Individual reviewer sensitivity ranges from 60% to 83% and specificity from 66% to 93%, a spread as wide as the improvement the rule is said to deliver</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No funding statement; M. D. Reid received an honorarium from Medtronic for participation in a panel discussion and the remaining authors declare no conflict of interest</w:t>
      </w:r>
    </w:p>
    <w:p>
      <w:pPr>
        <w:keepNext/>
        <w:spacing w:after="50" w:before="260"/>
      </w:pPr>
      <w:r>
        <w:rPr>
          <w:rFonts w:ascii="Cambria" w:cs="Cambria" w:eastAsia="Cambria" w:hAnsi="Cambria"/>
          <w:b/>
          <w:bCs/>
          <w:color w:val="17365D"/>
          <w:sz w:val="20"/>
          <w:szCs w:val="20"/>
        </w:rPr>
        <w:t xml:space="preserve">Bardhi 2025</w:t>
      </w:r>
      <w:r>
        <w:rPr>
          <w:b/>
          <w:bCs/>
          <w:color w:val="176A87"/>
          <w:sz w:val="15"/>
          <w:szCs w:val="15"/>
        </w:rPr>
        <w:t xml:space="preserve">   cohort</w:t>
      </w:r>
      <w:r>
        <w:rPr>
          <w:color w:val="5A6069"/>
          <w:sz w:val="15"/>
          <w:szCs w:val="15"/>
        </w:rPr>
        <w:t xml:space="preserve">   PMID 39716538</w:t>
      </w:r>
    </w:p>
    <w:p>
      <w:pPr>
        <w:spacing w:after="50" w:line="276"/>
      </w:pPr>
      <w:r>
        <w:rPr>
          <w:color w:val="5A6069"/>
          <w:sz w:val="17"/>
          <w:szCs w:val="17"/>
        </w:rPr>
        <w:t xml:space="preserve">Next-generation sequencing improves the detection of malignant biliary strictures and changes management</w:t>
      </w:r>
    </w:p>
    <w:p>
      <w:pPr>
        <w:spacing w:after="50"/>
      </w:pPr>
      <w:r>
        <w:rPr>
          <w:b/>
          <w:bCs/>
          <w:color w:val="176A87"/>
          <w:sz w:val="16"/>
          <w:szCs w:val="16"/>
        </w:rPr>
        <w:t xml:space="preserve">Population. </w:t>
      </w:r>
      <w:r>
        <w:rPr>
          <w:sz w:val="16"/>
          <w:szCs w:val="16"/>
        </w:rPr>
        <w:t xml:space="preserve">77 patients with biliary strictures who had brush cytology, transpapillary biopsy and BiliSeq next-generation sequencing at one ERCP at a single US centre between September 2020 and August 2022: 28 malignant and 49 benign strictures, 24 (31.2%) with primary sclerosing cholangitis and 20 with cholangiocarcinoma</w:t>
      </w:r>
    </w:p>
    <w:p>
      <w:pPr>
        <w:spacing w:after="70"/>
      </w:pPr>
      <w:r>
        <w:rPr>
          <w:b/>
          <w:bCs/>
          <w:color w:val="17365D"/>
          <w:sz w:val="16"/>
          <w:szCs w:val="16"/>
        </w:rPr>
        <w:t xml:space="preserve">Bottom line. </w:t>
      </w:r>
      <w:r>
        <w:rPr>
          <w:sz w:val="16"/>
          <w:szCs w:val="16"/>
        </w:rPr>
        <w:t xml:space="preserve">In 77 patients sampled at a single ERCP, adding the BiliSeq panel to cytology and biopsy raised sensitivity for a malignant stricture from 42.9% to 85.7%, which supports running next-generation sequencing on ERCP material when pathology is negative. The gain is not demonstrated where it is most needed: sensitivity was 20% in the five patients with primary sclerosing cholangitis and cancer, and 70% against 60% for pathology in cholangiocarcinoma (P = 0.72). No hilar subgroup exists in the dataset, the 75% management-change figure counts test positivity rather than an observed change of decision, and the panel's originator is a co-author whose laboratory ran the test.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retrospective single-centre design may have introduced bias and affected the generalisability of the findings</w:t>
            </w:r>
          </w:p>
          <w:p>
            <w:pPr>
              <w:pStyle w:val="ListParagraph"/>
              <w:numPr>
                <w:ilvl w:val="0"/>
                <w:numId w:val="2"/>
              </w:numPr>
              <w:spacing w:after="45"/>
            </w:pPr>
            <w:r>
              <w:rPr>
                <w:sz w:val="15"/>
                <w:szCs w:val="15"/>
              </w:rPr>
              <w:t xml:space="preserve">The cohort size warrants cautious interpretation and further validation across larger populations is essential; with only 28 malignant cases the confidence intervals are wide, BiliSeq sensitivity being 75% (95% CI 55.1%-89.3%)</w:t>
            </w:r>
          </w:p>
          <w:p>
            <w:pPr>
              <w:pStyle w:val="ListParagraph"/>
              <w:numPr>
                <w:ilvl w:val="0"/>
                <w:numId w:val="2"/>
              </w:numPr>
              <w:spacing w:after="45"/>
            </w:pPr>
            <w:r>
              <w:rPr>
                <w:sz w:val="15"/>
                <w:szCs w:val="15"/>
              </w:rPr>
              <w:t xml:space="preserve">BiliSeq performance by sampling method could not be assessed because the panel was run only on brush cytology and bile aspirate, with no data for transpapillary or cholangioscopy-guided biopsies, and combining cholangioscopy-guided biopsy with BiliSeq may raise sensitivity further</w:t>
            </w:r>
          </w:p>
          <w:p>
            <w:pPr>
              <w:pStyle w:val="ListParagraph"/>
              <w:numPr>
                <w:ilvl w:val="0"/>
                <w:numId w:val="2"/>
              </w:numPr>
              <w:spacing w:after="45"/>
            </w:pPr>
            <w:r>
              <w:rPr>
                <w:sz w:val="15"/>
                <w:szCs w:val="15"/>
              </w:rPr>
              <w:t xml:space="preserve">No direct comparison with FISH or methylation markers was possible because neither is part of routine practice at this centre</w:t>
            </w:r>
          </w:p>
          <w:p>
            <w:pPr>
              <w:pStyle w:val="ListParagraph"/>
              <w:numPr>
                <w:ilvl w:val="0"/>
                <w:numId w:val="2"/>
              </w:numPr>
              <w:spacing w:after="45"/>
            </w:pPr>
            <w:r>
              <w:rPr>
                <w:sz w:val="15"/>
                <w:szCs w:val="15"/>
              </w:rPr>
              <w:t xml:space="preserve">BiliSeq sensitivity in primary sclerosing cholangitis was only 20%, against 83% reported by Singhi and 75% by Kamp, which the authors attribute to a lower proportion of malignant cases, reliance on brush and bile aspirate alone, differences in stricture location, and specimen preservation and integrity during transport</w:t>
            </w:r>
          </w:p>
          <w:p>
            <w:pPr>
              <w:pStyle w:val="ListParagraph"/>
              <w:numPr>
                <w:ilvl w:val="0"/>
                <w:numId w:val="2"/>
              </w:numPr>
              <w:spacing w:after="45"/>
            </w:pPr>
            <w:r>
              <w:rPr>
                <w:sz w:val="15"/>
                <w:szCs w:val="15"/>
              </w:rPr>
              <w:t xml:space="preserve">The gain for cholangiocarcinoma was less pronounced than for malignant strictures overall, which the authors attribute to the genetic heterogeneity of cholangiocarcinoma and to mutations outside the BiliSeq panel</w:t>
            </w:r>
          </w:p>
          <w:p>
            <w:pPr>
              <w:pStyle w:val="ListParagraph"/>
              <w:numPr>
                <w:ilvl w:val="0"/>
                <w:numId w:val="2"/>
              </w:numPr>
              <w:spacing w:after="45"/>
            </w:pPr>
            <w:r>
              <w:rPr>
                <w:sz w:val="15"/>
                <w:szCs w:val="15"/>
              </w:rPr>
              <w:t xml:space="preserve">The explanations offered for the 25% false-negative rate are inadequate sampling, low specimen tumour cellularity and malignant alterations not covered by the assay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co-author developed the BiliSeq panel and reported the originating study (Singhi, Gut 2020), and the index test was run in his own institution's molecular pathology laboratory, so this real-world validation is not independent of the test's originators</w:t>
            </w:r>
          </w:p>
          <w:p>
            <w:pPr>
              <w:pStyle w:val="ListParagraph"/>
              <w:numPr>
                <w:ilvl w:val="0"/>
                <w:numId w:val="2"/>
              </w:numPr>
              <w:spacing w:after="45"/>
            </w:pPr>
            <w:r>
              <w:rPr>
                <w:sz w:val="15"/>
                <w:szCs w:val="15"/>
              </w:rPr>
              <w:t xml:space="preserve">Specificity and positive predictive value are 100% for cytology and for cytology plus biopsy because the reference standard was assembled by reviewing pathology results, imaging findings and treatments; the pathology index test is therefore part of its own reference standard and cannot generate a false positive</w:t>
            </w:r>
          </w:p>
          <w:p>
            <w:pPr>
              <w:pStyle w:val="ListParagraph"/>
              <w:numPr>
                <w:ilvl w:val="0"/>
                <w:numId w:val="2"/>
              </w:numPr>
              <w:spacing w:after="45"/>
            </w:pPr>
            <w:r>
              <w:rPr>
                <w:sz w:val="15"/>
                <w:szCs w:val="15"/>
              </w:rPr>
              <w:t xml:space="preserve">Benign status rests on a mean follow-up of 327 days with a standard deviation of 321, against a stated minimum of 6 months; one of the two BiliSeq false positives was an intraductal tubulopapillary neoplasm with KRAS and GNAS mutations, that is a genuine neoplasm counted as benign</w:t>
            </w:r>
          </w:p>
          <w:p>
            <w:pPr>
              <w:pStyle w:val="ListParagraph"/>
              <w:numPr>
                <w:ilvl w:val="0"/>
                <w:numId w:val="2"/>
              </w:numPr>
              <w:spacing w:after="45"/>
            </w:pPr>
            <w:r>
              <w:rPr>
                <w:sz w:val="15"/>
                <w:szCs w:val="15"/>
              </w:rPr>
              <w:t xml:space="preserve">The brush cytology row gives sensitivity 40.7% with an interval (22.4%-61.2%) consistent with a denominator of 27 while every other row uses 28, so the tests compared by McNemar are not computed on identical patients</w:t>
            </w:r>
          </w:p>
          <w:p>
            <w:pPr>
              <w:pStyle w:val="ListParagraph"/>
              <w:numPr>
                <w:ilvl w:val="0"/>
                <w:numId w:val="2"/>
              </w:numPr>
              <w:spacing w:after="45"/>
            </w:pPr>
            <w:r>
              <w:rPr>
                <w:sz w:val="15"/>
                <w:szCs w:val="15"/>
              </w:rPr>
              <w:t xml:space="preserve">The management-change endpoint counts test positivity rather than an observed change of decision: it is defined as a malignant stricture with negative pathology in which BiliSeq was positive, and the paper then states that BiliSeq results supported surgical decisions in combination with other diagnostics while chemotherapy regimens followed standard protocols rather than BiliSeq findings alone</w:t>
            </w:r>
          </w:p>
          <w:p>
            <w:pPr>
              <w:pStyle w:val="ListParagraph"/>
              <w:numPr>
                <w:ilvl w:val="0"/>
                <w:numId w:val="2"/>
              </w:numPr>
              <w:spacing w:after="45"/>
            </w:pPr>
            <w:r>
              <w:rPr>
                <w:sz w:val="15"/>
                <w:szCs w:val="15"/>
              </w:rPr>
              <w:t xml:space="preserve">Of the 12 patients behind the 75% figure, 2 went to hospice and 4 had pancreatic or distal disease treated by pancreatoduodenectomy; only 2 had a hilar-relevant outcome, one listed for transplantation who died waiting and one liver resection</w:t>
            </w:r>
          </w:p>
          <w:p>
            <w:pPr>
              <w:pStyle w:val="ListParagraph"/>
              <w:numPr>
                <w:ilvl w:val="0"/>
                <w:numId w:val="2"/>
              </w:numPr>
              <w:spacing w:after="45"/>
            </w:pPr>
            <w:r>
              <w:rPr>
                <w:sz w:val="15"/>
                <w:szCs w:val="15"/>
              </w:rPr>
              <w:t xml:space="preserve">Stricture location is recorded only as intrahepatic, extrahepatic or both, with no hilar category anywhere in the paper, so the perihilar subgroup cannot be identified at all</w:t>
            </w:r>
          </w:p>
          <w:p>
            <w:pPr>
              <w:pStyle w:val="ListParagraph"/>
              <w:numPr>
                <w:ilvl w:val="0"/>
                <w:numId w:val="2"/>
              </w:numPr>
              <w:spacing w:after="45"/>
            </w:pPr>
            <w:r>
              <w:rPr>
                <w:sz w:val="15"/>
                <w:szCs w:val="15"/>
              </w:rPr>
              <w:t xml:space="preserve">No numbered flow of exclusions is given and the exclusion criteria are written as a single disjunction, so the sampling frame behind the 77 patients cannot be audited</w:t>
            </w:r>
          </w:p>
          <w:p>
            <w:pPr>
              <w:pStyle w:val="ListParagraph"/>
              <w:numPr>
                <w:ilvl w:val="0"/>
                <w:numId w:val="2"/>
              </w:numPr>
              <w:spacing w:after="45"/>
            </w:pPr>
            <w:r>
              <w:rPr>
                <w:sz w:val="15"/>
                <w:szCs w:val="15"/>
              </w:rPr>
              <w:t xml:space="preserve">BiliSeq was run on bile aspirate or on brush cytology according to the preference of the performing endoscopist, and the split between the two specimen types is never reported, so the index test is two different tests pooled</w:t>
            </w:r>
          </w:p>
          <w:p>
            <w:pPr>
              <w:pStyle w:val="ListParagraph"/>
              <w:numPr>
                <w:ilvl w:val="0"/>
                <w:numId w:val="2"/>
              </w:numPr>
              <w:spacing w:after="45"/>
            </w:pPr>
            <w:r>
              <w:rPr>
                <w:sz w:val="15"/>
                <w:szCs w:val="15"/>
              </w:rPr>
              <w:t xml:space="preserve">Cholangioscopy-guided biopsy was excluded by design, yet at this centre cholangioscopy is what follows a non-diagnostic first ERCP, so the comparator is weaker than the local standard pathway</w:t>
            </w:r>
          </w:p>
          <w:p>
            <w:pPr>
              <w:pStyle w:val="ListParagraph"/>
              <w:numPr>
                <w:ilvl w:val="0"/>
                <w:numId w:val="2"/>
              </w:numPr>
              <w:spacing w:after="45"/>
            </w:pPr>
            <w:r>
              <w:rPr>
                <w:sz w:val="15"/>
                <w:szCs w:val="15"/>
              </w:rPr>
              <w:t xml:space="preserve">The two clinically decisive subgroups are both null: sensitivity was 20% (95% CI 0.5%-71.6%) in the five patients with primary sclerosing cholangitis and cancer, and 70% against 60% for pathology in cholangiocarcinoma (P = 0.72); only the whole-cohort comparisons reach significance and no adjustment is made across the three analyses</w:t>
            </w:r>
          </w:p>
          <w:p>
            <w:pPr>
              <w:pStyle w:val="ListParagraph"/>
              <w:numPr>
                <w:ilvl w:val="0"/>
                <w:numId w:val="2"/>
              </w:numPr>
              <w:spacing w:after="45"/>
            </w:pPr>
            <w:r>
              <w:rPr>
                <w:sz w:val="15"/>
                <w:szCs w:val="15"/>
              </w:rPr>
              <w:t xml:space="preserve">The BiliSeq ROC area is printed as 0.85 (95% CI, 0.85-0.94), with the lower bound equal to the point estimate</w:t>
            </w:r>
          </w:p>
          <w:p>
            <w:pPr>
              <w:pStyle w:val="ListParagraph"/>
              <w:numPr>
                <w:ilvl w:val="0"/>
                <w:numId w:val="2"/>
              </w:numPr>
              <w:spacing w:after="45"/>
            </w:pPr>
            <w:r>
              <w:rPr>
                <w:sz w:val="15"/>
                <w:szCs w:val="15"/>
              </w:rPr>
              <w:t xml:space="preserve">Table 1 gives cholangiocarcinoma as 20 (67.7%) of 28, which should read 71.4%, and the malignancy-type percentages sum to 96.3%</w:t>
            </w:r>
          </w:p>
          <w:p>
            <w:pPr>
              <w:pStyle w:val="ListParagraph"/>
              <w:numPr>
                <w:ilvl w:val="0"/>
                <w:numId w:val="2"/>
              </w:numPr>
              <w:spacing w:after="45"/>
            </w:pPr>
            <w:r>
              <w:rPr>
                <w:sz w:val="15"/>
                <w:szCs w:val="15"/>
              </w:rPr>
              <w:t xml:space="preserve">Follow-up is reported as not differing between groups with P = 0.5 in Table 1 and P = 0.74 in the text for the same comparison</w:t>
            </w:r>
          </w:p>
          <w:p>
            <w:pPr>
              <w:pStyle w:val="ListParagraph"/>
              <w:numPr>
                <w:ilvl w:val="0"/>
                <w:numId w:val="2"/>
              </w:numPr>
              <w:spacing w:after="45"/>
            </w:pPr>
            <w:r>
              <w:rPr>
                <w:sz w:val="15"/>
                <w:szCs w:val="15"/>
              </w:rPr>
              <w:t xml:space="preserve">Two of the 49 patients classified as benign died during follow-up and the causes are not given</w:t>
            </w:r>
          </w:p>
          <w:p>
            <w:pPr>
              <w:pStyle w:val="ListParagraph"/>
              <w:numPr>
                <w:ilvl w:val="0"/>
                <w:numId w:val="2"/>
              </w:numPr>
              <w:spacing w:after="45"/>
            </w:pPr>
            <w:r>
              <w:rPr>
                <w:sz w:val="15"/>
                <w:szCs w:val="15"/>
              </w:rPr>
              <w:t xml:space="preserve">A linked editorial (Alipour, Gastrointest Endosc 2025;102:64-66, PMID 40518235) was identified in PubMed but could not be obtained, so no point above draws on it</w:t>
            </w:r>
          </w:p>
        </w:tc>
      </w:tr>
    </w:tbl>
    <w:p>
      <w:pPr>
        <w:spacing w:after="0" w:line="276"/>
      </w:pPr>
      <w:r>
        <w:rPr>
          <w:color w:val="5A6069"/>
          <w:sz w:val="14"/>
          <w:szCs w:val="14"/>
        </w:rPr>
        <w:t xml:space="preserve">Funding: No funding statement; A. Singhi declares an honorarium from Foundation Medicine and all other authors declare no financial relationships</w:t>
      </w:r>
    </w:p>
    <w:p>
      <w:pPr>
        <w:keepNext/>
        <w:spacing w:after="50" w:before="260"/>
      </w:pPr>
      <w:r>
        <w:rPr>
          <w:rFonts w:ascii="Cambria" w:cs="Cambria" w:eastAsia="Cambria" w:hAnsi="Cambria"/>
          <w:b/>
          <w:bCs/>
          <w:color w:val="17365D"/>
          <w:sz w:val="20"/>
          <w:szCs w:val="20"/>
        </w:rPr>
        <w:t xml:space="preserve">BCAT</w:t>
      </w:r>
      <w:r>
        <w:rPr>
          <w:b/>
          <w:bCs/>
          <w:color w:val="176A87"/>
          <w:sz w:val="15"/>
          <w:szCs w:val="15"/>
        </w:rPr>
        <w:t xml:space="preserve">   Randomised trial</w:t>
      </w:r>
      <w:r>
        <w:rPr>
          <w:color w:val="5A6069"/>
          <w:sz w:val="15"/>
          <w:szCs w:val="15"/>
        </w:rPr>
        <w:t xml:space="preserve">   PMID 29405274</w:t>
      </w:r>
    </w:p>
    <w:p>
      <w:pPr>
        <w:spacing w:after="50" w:line="276"/>
      </w:pPr>
      <w:r>
        <w:rPr>
          <w:color w:val="5A6069"/>
          <w:sz w:val="17"/>
          <w:szCs w:val="17"/>
        </w:rPr>
        <w:t xml:space="preserve">Randomized clinical trial of adjuvant gemcitabine chemotherapy versus observation in resected bile duct cancer</w:t>
      </w:r>
    </w:p>
    <w:p>
      <w:pPr>
        <w:spacing w:after="50"/>
      </w:pPr>
      <w:r>
        <w:rPr>
          <w:b/>
          <w:bCs/>
          <w:color w:val="176A87"/>
          <w:sz w:val="16"/>
          <w:szCs w:val="16"/>
        </w:rPr>
        <w:t xml:space="preserve">Population. </w:t>
      </w:r>
      <w:r>
        <w:rPr>
          <w:sz w:val="16"/>
          <w:szCs w:val="16"/>
        </w:rPr>
        <w:t xml:space="preserve">225 patients analysed of 226 randomised at 48 Japanese hospitals between 2007 and 2011 after macroscopically curative resection of extrahepatic bile duct cancer, 117 gemcitabine and 108 observation, comprising 102 perihilar and 123 distal tumours; intrahepatic cholangiocarcinoma was not eligible</w:t>
      </w:r>
    </w:p>
    <w:p>
      <w:pPr>
        <w:spacing w:after="70"/>
      </w:pPr>
      <w:r>
        <w:rPr>
          <w:b/>
          <w:bCs/>
          <w:color w:val="17365D"/>
          <w:sz w:val="16"/>
          <w:szCs w:val="16"/>
        </w:rPr>
        <w:t xml:space="preserve">Bottom line. </w:t>
      </w:r>
      <w:r>
        <w:rPr>
          <w:sz w:val="16"/>
          <w:szCs w:val="16"/>
        </w:rPr>
        <w:t xml:space="preserve">BCAT is a clean negative adjuvant trial: gemcitabine after resection of extrahepatic bile duct cancer gave a hazard ratio of 1.01 (0.70-1.45) for survival and 0.93 for relapse-free survival, with no subgroup benefiting and 58% grade 3-4 neutropenia. It says nothing about intrahepatic cholangiocarcinoma, which was ineligible, and nothing about the oral fluoropyrimidines now used. Its control arm did far better than assumed, 51.6% 5-year survival against an assumed 30%, because the enrolment criteria excluded nearly everyone at real risk.</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Recruitment was terminated before the planned 300 patients were reached, which may have led to an underpowered analysis; enrolment slowed after about 2009 because most patients wanted adjuvant chemotherapy</w:t>
            </w:r>
          </w:p>
          <w:p>
            <w:pPr>
              <w:pStyle w:val="ListParagraph"/>
              <w:numPr>
                <w:ilvl w:val="0"/>
                <w:numId w:val="2"/>
              </w:numPr>
              <w:spacing w:after="45"/>
            </w:pPr>
            <w:r>
              <w:rPr>
                <w:sz w:val="15"/>
                <w:szCs w:val="15"/>
              </w:rPr>
              <w:t xml:space="preserve">The authors calculate only a 2.8% probability that the result would have been statistically significant even if the expected 189 deaths had occurred, and conclude increasing to 300 patients would not have changed the result</w:t>
            </w:r>
          </w:p>
          <w:p>
            <w:pPr>
              <w:pStyle w:val="ListParagraph"/>
              <w:numPr>
                <w:ilvl w:val="0"/>
                <w:numId w:val="2"/>
              </w:numPr>
              <w:spacing w:after="45"/>
            </w:pPr>
            <w:r>
              <w:rPr>
                <w:sz w:val="15"/>
                <w:szCs w:val="15"/>
              </w:rPr>
              <w:t xml:space="preserve">They state that adjuvant therapy should not target all patients but should focus on high-risk features after resection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enrolled only perihilar and distal bile duct cancer, with intrahepatic cholangiocarcinoma and gallbladder cancer excluded, so a negative adjuvant result here cannot be carried to resected iCCA, which is how this trial is often cited</w:t>
            </w:r>
          </w:p>
          <w:p>
            <w:pPr>
              <w:pStyle w:val="ListParagraph"/>
              <w:numPr>
                <w:ilvl w:val="0"/>
                <w:numId w:val="2"/>
              </w:numPr>
              <w:spacing w:after="45"/>
            </w:pPr>
            <w:r>
              <w:rPr>
                <w:sz w:val="15"/>
                <w:szCs w:val="15"/>
              </w:rPr>
              <w:t xml:space="preserve">The 2.8% figure the authors use to dismiss underpowering is a conditional calculation made after the observed curves were known; it answers whether this result would have changed, not whether the trial could have detected a true moderate effect</w:t>
            </w:r>
          </w:p>
          <w:p>
            <w:pPr>
              <w:pStyle w:val="ListParagraph"/>
              <w:numPr>
                <w:ilvl w:val="0"/>
                <w:numId w:val="2"/>
              </w:numPr>
              <w:spacing w:after="45"/>
            </w:pPr>
            <w:r>
              <w:rPr>
                <w:sz w:val="15"/>
                <w:szCs w:val="15"/>
              </w:rPr>
              <w:t xml:space="preserve">Observed 5-year survival in the control arm was about 50% against an assumed 30%, because R2 resections, distant metastases, severe surgical complications, in-hospital deaths and gallbladder cancer were all excluded, so the trial tested adjuvant therapy in the patients least likely to need it</w:t>
            </w:r>
          </w:p>
          <w:p>
            <w:pPr>
              <w:pStyle w:val="ListParagraph"/>
              <w:numPr>
                <w:ilvl w:val="0"/>
                <w:numId w:val="2"/>
              </w:numPr>
              <w:spacing w:after="45"/>
            </w:pPr>
            <w:r>
              <w:rPr>
                <w:sz w:val="15"/>
                <w:szCs w:val="15"/>
              </w:rPr>
              <w:t xml:space="preserve">Only 61 of 117 (52.1%) completed protocol therapy and the median relative dose intensity was 82.2%, so the negative result is a test of gemcitabine as delivered to half the arm rather than of the intended regimen</w:t>
            </w:r>
          </w:p>
          <w:p>
            <w:pPr>
              <w:pStyle w:val="ListParagraph"/>
              <w:numPr>
                <w:ilvl w:val="0"/>
                <w:numId w:val="2"/>
              </w:numPr>
              <w:spacing w:after="45"/>
            </w:pPr>
            <w:r>
              <w:rPr>
                <w:sz w:val="15"/>
                <w:szCs w:val="15"/>
              </w:rPr>
              <w:t xml:space="preserve">The trial was open-label with no placebo, and recurrence was ascertained without a described blinded review, in a design where the observation arm had no scheduled treatment contact</w:t>
            </w:r>
          </w:p>
          <w:p>
            <w:pPr>
              <w:pStyle w:val="ListParagraph"/>
              <w:numPr>
                <w:ilvl w:val="0"/>
                <w:numId w:val="2"/>
              </w:numPr>
              <w:spacing w:after="45"/>
            </w:pPr>
            <w:r>
              <w:rPr>
                <w:sz w:val="15"/>
                <w:szCs w:val="15"/>
              </w:rPr>
              <w:t xml:space="preserve">Grade 3 or 4 neutropenia occurred in 58.4% against 3.8% and leucopenia in 29.2% against 1.9%, so the arms were trivially distinguishable to investigators and patients despite the survival curves overlapping</w:t>
            </w:r>
          </w:p>
          <w:p>
            <w:pPr>
              <w:pStyle w:val="ListParagraph"/>
              <w:numPr>
                <w:ilvl w:val="0"/>
                <w:numId w:val="2"/>
              </w:numPr>
              <w:spacing w:after="45"/>
            </w:pPr>
            <w:r>
              <w:rPr>
                <w:sz w:val="15"/>
                <w:szCs w:val="15"/>
              </w:rPr>
              <w:t xml:space="preserve">Subgroup P values are reported for node-positive, node-negative, R0 and R1 strata, each far from significance, and 3-year survival was numerically worse with gemcitabine in node-positive patients, yet the discussion still recommends targeting high-risk features with adjuvant therapy</w:t>
            </w:r>
          </w:p>
          <w:p>
            <w:pPr>
              <w:pStyle w:val="ListParagraph"/>
              <w:numPr>
                <w:ilvl w:val="0"/>
                <w:numId w:val="2"/>
              </w:numPr>
              <w:spacing w:after="45"/>
            </w:pPr>
            <w:r>
              <w:rPr>
                <w:sz w:val="15"/>
                <w:szCs w:val="15"/>
              </w:rPr>
              <w:t xml:space="preserve">Eli Lilly Japan, which markets gemcitabine, part-funded a trial of gemcitabine; the authors declare no conflict of interest, which sits oddly with the funding statement on the same page</w:t>
            </w:r>
          </w:p>
          <w:p>
            <w:pPr>
              <w:pStyle w:val="ListParagraph"/>
              <w:numPr>
                <w:ilvl w:val="0"/>
                <w:numId w:val="2"/>
              </w:numPr>
              <w:spacing w:after="45"/>
            </w:pPr>
            <w:r>
              <w:rPr>
                <w:sz w:val="15"/>
                <w:szCs w:val="15"/>
              </w:rPr>
              <w:t xml:space="preserve">The comparator is observation, not the oral fluoropyrimidine that BILCAP and ASCOT later supported, so the trial cannot inform the choice a surgeon actually faces today</w:t>
            </w:r>
          </w:p>
          <w:p>
            <w:pPr>
              <w:pStyle w:val="ListParagraph"/>
              <w:numPr>
                <w:ilvl w:val="0"/>
                <w:numId w:val="2"/>
              </w:numPr>
              <w:spacing w:after="45"/>
            </w:pPr>
            <w:r>
              <w:rPr>
                <w:sz w:val="15"/>
                <w:szCs w:val="15"/>
              </w:rPr>
              <w:t xml:space="preserve">48.9% of patients had a hepatectomy and 15.5% a portal vein resection, so the cohort mixes two very different operations with different recovery trajectories and no stratification or separate analysis by operation type for the primary endpoint</w:t>
            </w:r>
          </w:p>
          <w:p>
            <w:pPr>
              <w:pStyle w:val="ListParagraph"/>
              <w:numPr>
                <w:ilvl w:val="0"/>
                <w:numId w:val="2"/>
              </w:numPr>
              <w:spacing w:after="45"/>
            </w:pPr>
            <w:r>
              <w:rPr>
                <w:sz w:val="15"/>
                <w:szCs w:val="15"/>
              </w:rPr>
              <w:t xml:space="preserve">No linked editorial or comment was found in PubMed, so no independent published appraisal accompanies the result</w:t>
            </w:r>
          </w:p>
        </w:tc>
      </w:tr>
    </w:tbl>
    <w:p>
      <w:pPr>
        <w:spacing w:after="0" w:line="276"/>
      </w:pPr>
      <w:r>
        <w:rPr>
          <w:color w:val="5A6069"/>
          <w:sz w:val="14"/>
          <w:szCs w:val="14"/>
        </w:rPr>
        <w:t xml:space="preserve">Funding: Supported by the Nagoya Surgery Support Organization and Eli Lilly Japan K.K., stated to have had no role in design, data collection, analysis or interpretation; the authors declare no conflict of interest</w:t>
      </w:r>
    </w:p>
    <w:p>
      <w:pPr>
        <w:keepNext/>
        <w:spacing w:after="50" w:before="260"/>
      </w:pPr>
      <w:r>
        <w:rPr>
          <w:rFonts w:ascii="Cambria" w:cs="Cambria" w:eastAsia="Cambria" w:hAnsi="Cambria"/>
          <w:b/>
          <w:bCs/>
          <w:color w:val="17365D"/>
          <w:sz w:val="20"/>
          <w:szCs w:val="20"/>
        </w:rPr>
        <w:t xml:space="preserve">BILCAP</w:t>
      </w:r>
      <w:r>
        <w:rPr>
          <w:b/>
          <w:bCs/>
          <w:color w:val="176A87"/>
          <w:sz w:val="15"/>
          <w:szCs w:val="15"/>
        </w:rPr>
        <w:t xml:space="preserve">   Randomised trial</w:t>
      </w:r>
      <w:r>
        <w:rPr>
          <w:color w:val="5A6069"/>
          <w:sz w:val="15"/>
          <w:szCs w:val="15"/>
        </w:rPr>
        <w:t xml:space="preserve">   PMID 30922733</w:t>
      </w:r>
    </w:p>
    <w:p>
      <w:pPr>
        <w:spacing w:after="50" w:line="276"/>
      </w:pPr>
      <w:r>
        <w:rPr>
          <w:color w:val="5A6069"/>
          <w:sz w:val="17"/>
          <w:szCs w:val="17"/>
        </w:rPr>
        <w:t xml:space="preserve">Capecitabine compared with observation in resected biliary tract cancer (BILCAP): a randomised, controlled, multicentre, phase 3 study</w:t>
      </w:r>
    </w:p>
    <w:p>
      <w:pPr>
        <w:spacing w:after="50"/>
      </w:pPr>
      <w:r>
        <w:rPr>
          <w:b/>
          <w:bCs/>
          <w:color w:val="176A87"/>
          <w:sz w:val="16"/>
          <w:szCs w:val="16"/>
        </w:rPr>
        <w:t xml:space="preserve">Population. </w:t>
      </w:r>
      <w:r>
        <w:rPr>
          <w:sz w:val="16"/>
          <w:szCs w:val="16"/>
        </w:rPr>
        <w:t xml:space="preserve">447 patients randomised after curative-intent resection of biliary tract cancer at 44 UK specialist centres between March 2006 and December 2014, of whom 84 (19%) had intrahepatic cholangiocarcinoma, 128 hilar, 156 lower common bile duct and 79 muscle-invasive gallbladder cancer; 168 (38%) were R1 and 210 (47%) node-positive</w:t>
      </w:r>
    </w:p>
    <w:p>
      <w:pPr>
        <w:spacing w:after="70"/>
      </w:pPr>
      <w:r>
        <w:rPr>
          <w:b/>
          <w:bCs/>
          <w:color w:val="17365D"/>
          <w:sz w:val="16"/>
          <w:szCs w:val="16"/>
        </w:rPr>
        <w:t xml:space="preserve">Bottom line. </w:t>
      </w:r>
      <w:r>
        <w:rPr>
          <w:sz w:val="16"/>
          <w:szCs w:val="16"/>
        </w:rPr>
        <w:t xml:space="preserve">BILCAP is the largest adjuvant trial in resected biliary tract cancer and is the reason capecitabine is offered after resection, with intention-to-treat median survival of 51.1 against 36.4 months. It did not meet its primary endpoint: HR 0.81 (0.63-1.04), p = 0.097, and the significant results come from a covariate-adjusted sensitivity model and from the per-protocol population of an unblinded trial. Only 19% of patients had intrahepatic disease and no site-specific estimate was reported, so the iCCA-specific benefit remains untested.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recruitment period ran about ten years, during which trial standards changed, so the 2005 protocol is open to criticism; in particular there was no fully defined statistical analysis plan when the study started</w:t>
            </w:r>
          </w:p>
          <w:p>
            <w:pPr>
              <w:pStyle w:val="ListParagraph"/>
              <w:numPr>
                <w:ilvl w:val="0"/>
                <w:numId w:val="2"/>
              </w:numPr>
              <w:spacing w:after="45"/>
            </w:pPr>
            <w:r>
              <w:rPr>
                <w:sz w:val="15"/>
                <w:szCs w:val="15"/>
              </w:rPr>
              <w:t xml:space="preserve">The heterogeneity of biliary tract cancers, both surgical and biological, makes an overall interpretation of the findings more complex</w:t>
            </w:r>
          </w:p>
          <w:p>
            <w:pPr>
              <w:pStyle w:val="ListParagraph"/>
              <w:numPr>
                <w:ilvl w:val="0"/>
                <w:numId w:val="2"/>
              </w:numPr>
              <w:spacing w:after="45"/>
            </w:pPr>
            <w:r>
              <w:rPr>
                <w:sz w:val="15"/>
                <w:szCs w:val="15"/>
              </w:rPr>
              <w:t xml:space="preserve">The surgical centre was not included in the modelling analyses adjusted for minimisation factors</w:t>
            </w:r>
          </w:p>
          <w:p>
            <w:pPr>
              <w:pStyle w:val="ListParagraph"/>
              <w:numPr>
                <w:ilvl w:val="0"/>
                <w:numId w:val="2"/>
              </w:numPr>
              <w:spacing w:after="45"/>
            </w:pPr>
            <w:r>
              <w:rPr>
                <w:sz w:val="15"/>
                <w:szCs w:val="15"/>
              </w:rPr>
              <w:t xml:space="preserve">The authors concede the trial was negative for the prespecified primary endpoint of overall survival by intention to treat, and argue from the data taken as a whole instead</w:t>
            </w:r>
          </w:p>
          <w:p>
            <w:pPr>
              <w:pStyle w:val="ListParagraph"/>
              <w:numPr>
                <w:ilvl w:val="0"/>
                <w:numId w:val="2"/>
              </w:numPr>
              <w:spacing w:after="45"/>
            </w:pPr>
            <w:r>
              <w:rPr>
                <w:sz w:val="15"/>
                <w:szCs w:val="15"/>
              </w:rPr>
              <w:t xml:space="preserve">There was no recurrence-free survival difference between 24 and 60 months, which the authors read as recurrence deferred rather than prevented</w:t>
            </w:r>
          </w:p>
          <w:p>
            <w:pPr>
              <w:pStyle w:val="ListParagraph"/>
              <w:numPr>
                <w:ilvl w:val="0"/>
                <w:numId w:val="2"/>
              </w:numPr>
              <w:spacing w:after="45"/>
            </w:pPr>
            <w:r>
              <w:rPr>
                <w:sz w:val="15"/>
                <w:szCs w:val="15"/>
              </w:rPr>
              <w:t xml:space="preserve">Quality-of-life differences, although statistically significant in places, were modest and unlikely to be clinically significant, and peripheral neuropathy scores should be read as hand-foot syndrome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failed, HR 0.81 (0.63-1.04), p = 0.097, and every positive number in the paper comes from either a covariate-adjusted sensitivity model or the per-protocol population; in an unblinded trial the per-protocol analysis reintroduces precisely the selection that randomisation existed to remove</w:t>
            </w:r>
          </w:p>
          <w:p>
            <w:pPr>
              <w:pStyle w:val="ListParagraph"/>
              <w:numPr>
                <w:ilvl w:val="0"/>
                <w:numId w:val="2"/>
              </w:numPr>
              <w:spacing w:after="45"/>
            </w:pPr>
            <w:r>
              <w:rPr>
                <w:sz w:val="15"/>
                <w:szCs w:val="15"/>
              </w:rPr>
              <w:t xml:space="preserve">The per-protocol population excluded patients who failed to complete even one cycle of capecitabine, so it is defined by tolerance of treatment, which tracks fitness and therefore survival; the 210 against 220 comparison is not a randomised contrast</w:t>
            </w:r>
          </w:p>
          <w:p>
            <w:pPr>
              <w:pStyle w:val="ListParagraph"/>
              <w:numPr>
                <w:ilvl w:val="0"/>
                <w:numId w:val="2"/>
              </w:numPr>
              <w:spacing w:after="45"/>
            </w:pPr>
            <w:r>
              <w:rPr>
                <w:sz w:val="15"/>
                <w:szCs w:val="15"/>
              </w:rPr>
              <w:t xml:space="preserve">The event target was cut from 270 to 234 by the data monitoring committee in July 2013 because events were accruing more slowly than assumed, which raised the detectable effect from HR 0.71 to 0.69 and left the trial with less power against the effect it was designed to find</w:t>
            </w:r>
          </w:p>
          <w:p>
            <w:pPr>
              <w:pStyle w:val="ListParagraph"/>
              <w:numPr>
                <w:ilvl w:val="0"/>
                <w:numId w:val="2"/>
              </w:numPr>
              <w:spacing w:after="45"/>
            </w:pPr>
            <w:r>
              <w:rPr>
                <w:sz w:val="15"/>
                <w:szCs w:val="15"/>
              </w:rPr>
              <w:t xml:space="preserve">Nodal status is one of the covariates that turns the sensitivity model positive, yet lymphadenectomy was not mandated for intrahepatic cholangiocarcinoma, so the adjustment variable is ascertained less completely in exactly the subgroup to which this result is now applied</w:t>
            </w:r>
          </w:p>
          <w:p>
            <w:pPr>
              <w:pStyle w:val="ListParagraph"/>
              <w:numPr>
                <w:ilvl w:val="0"/>
                <w:numId w:val="2"/>
              </w:numPr>
              <w:spacing w:after="45"/>
            </w:pPr>
            <w:r>
              <w:rPr>
                <w:sz w:val="15"/>
                <w:szCs w:val="15"/>
              </w:rPr>
              <w:t xml:space="preserve">Intrahepatic cholangiocarcinoma is 84 of 447 patients and no site-specific hazard ratio is reported anywhere, so the adjuvant standard for resected iCCA rests on 19% of a trial that was not powered for site</w:t>
            </w:r>
          </w:p>
          <w:p>
            <w:pPr>
              <w:pStyle w:val="ListParagraph"/>
              <w:numPr>
                <w:ilvl w:val="0"/>
                <w:numId w:val="2"/>
              </w:numPr>
              <w:spacing w:after="45"/>
            </w:pPr>
            <w:r>
              <w:rPr>
                <w:sz w:val="15"/>
                <w:szCs w:val="15"/>
              </w:rPr>
              <w:t xml:space="preserve">The recurrence-free survival hazard ratio is 0.75 (0.58-0.98) over the first 24 months and 1.48 (0.80-2.77) afterwards, which is a clear departure from proportional hazards; no test of the proportional hazards assumption is reported for the overall survival model whose single hazard ratio carries the conclusion</w:t>
            </w:r>
          </w:p>
          <w:p>
            <w:pPr>
              <w:pStyle w:val="ListParagraph"/>
              <w:numPr>
                <w:ilvl w:val="0"/>
                <w:numId w:val="2"/>
              </w:numPr>
              <w:spacing w:after="45"/>
            </w:pPr>
            <w:r>
              <w:rPr>
                <w:sz w:val="15"/>
                <w:szCs w:val="15"/>
              </w:rPr>
              <w:t xml:space="preserve">Adverse events for toxicity were not monitored in the observation group at all, so the 21% against 10% serious adverse event comparison is between a monitored arm and an unmonitored one and cannot be read as a between-group difference</w:t>
            </w:r>
          </w:p>
          <w:p>
            <w:pPr>
              <w:pStyle w:val="ListParagraph"/>
              <w:numPr>
                <w:ilvl w:val="0"/>
                <w:numId w:val="2"/>
              </w:numPr>
              <w:spacing w:after="45"/>
            </w:pPr>
            <w:r>
              <w:rPr>
                <w:sz w:val="15"/>
                <w:szCs w:val="15"/>
              </w:rPr>
              <w:t xml:space="preserve">Compliance was poor enough to matter: 55% completed all eight cycles, 46% required dose reduction and 32% stopped for toxicity, so the regimen as delivered differs substantially from the regimen as prescribed</w:t>
            </w:r>
          </w:p>
          <w:p>
            <w:pPr>
              <w:pStyle w:val="ListParagraph"/>
              <w:numPr>
                <w:ilvl w:val="0"/>
                <w:numId w:val="2"/>
              </w:numPr>
              <w:spacing w:after="45"/>
            </w:pPr>
            <w:r>
              <w:rPr>
                <w:sz w:val="15"/>
                <w:szCs w:val="15"/>
              </w:rPr>
              <w:t xml:space="preserve">The cost-effectiveness case is built on a mean QALY gain of 0.035 whose confidence interval (-0.034 to 0.104) includes both zero and net harm, in a trial that missed its primary endpoint</w:t>
            </w:r>
          </w:p>
          <w:p>
            <w:pPr>
              <w:pStyle w:val="ListParagraph"/>
              <w:numPr>
                <w:ilvl w:val="0"/>
                <w:numId w:val="2"/>
              </w:numPr>
              <w:spacing w:after="45"/>
            </w:pPr>
            <w:r>
              <w:rPr>
                <w:sz w:val="15"/>
                <w:szCs w:val="15"/>
              </w:rPr>
              <w:t xml:space="preserve">38% of patients had R1 resections and 47% were node-positive, a considerably higher-risk population than a typical resected iCCA, so the absolute survival difference does not transfer to a margin-negative, node-negative patient</w:t>
            </w:r>
          </w:p>
          <w:p>
            <w:pPr>
              <w:pStyle w:val="ListParagraph"/>
              <w:numPr>
                <w:ilvl w:val="0"/>
                <w:numId w:val="2"/>
              </w:numPr>
              <w:spacing w:after="45"/>
            </w:pPr>
            <w:r>
              <w:rPr>
                <w:sz w:val="15"/>
                <w:szCs w:val="15"/>
              </w:rPr>
              <w:t xml:space="preserve">The subgroup hazard ratios quoted for men, 0.70 (0.50-0.99), and poorly differentiated disease, 0.60 (0.39-0.93), have no significant heterogeneity test behind them and invite over-reading of who benefits</w:t>
            </w:r>
          </w:p>
          <w:p>
            <w:pPr>
              <w:pStyle w:val="ListParagraph"/>
              <w:numPr>
                <w:ilvl w:val="0"/>
                <w:numId w:val="2"/>
              </w:numPr>
              <w:spacing w:after="45"/>
            </w:pPr>
            <w:r>
              <w:rPr>
                <w:sz w:val="15"/>
                <w:szCs w:val="15"/>
              </w:rPr>
              <w:t xml:space="preserve">Roche funded the trial with an advisory role in its design, and Roche markets capecitabine; several authors declare Roche honoraria or research funding, which bears on a conclusion that defines Roche's drug as the standard of care</w:t>
            </w:r>
          </w:p>
          <w:p>
            <w:pPr>
              <w:pStyle w:val="ListParagraph"/>
              <w:numPr>
                <w:ilvl w:val="0"/>
                <w:numId w:val="2"/>
              </w:numPr>
              <w:spacing w:after="45"/>
            </w:pPr>
            <w:r>
              <w:rPr>
                <w:sz w:val="15"/>
                <w:szCs w:val="15"/>
              </w:rPr>
              <w:t xml:space="preserve">The authors state in their own key-messages box that the trial is 'uniquely placed to define the standard of care as capecitabine' and that another surveillance-controlled trial is unlikely to be done, a position that converts a failed primary endpoint into a practice standard by declaring the question closed</w:t>
            </w:r>
          </w:p>
          <w:p>
            <w:pPr>
              <w:pStyle w:val="ListParagraph"/>
              <w:numPr>
                <w:ilvl w:val="0"/>
                <w:numId w:val="2"/>
              </w:numPr>
              <w:spacing w:after="45"/>
            </w:pPr>
            <w:r>
              <w:rPr>
                <w:sz w:val="15"/>
                <w:szCs w:val="15"/>
              </w:rPr>
              <w:t xml:space="preserve">The linked comment by Malka and Edeline (Lancet Oncol 2019, PMID 30922732) asks whether this evidence suffices to define a standard of care; it was identified from the citation record and its arguments are not reproduced here</w:t>
            </w:r>
          </w:p>
        </w:tc>
      </w:tr>
    </w:tbl>
    <w:p>
      <w:pPr>
        <w:spacing w:after="0" w:line="276"/>
      </w:pPr>
      <w:r>
        <w:rPr>
          <w:color w:val="5A6069"/>
          <w:sz w:val="14"/>
          <w:szCs w:val="14"/>
        </w:rPr>
        <w:t xml:space="preserve">Funding: Cancer Research UK and Roche; the funder had an advisory role in study design but no role in running the study, data collection, analysis, interpretation or writing; several authors declare honoraria and research funding from Roche among many other companies, all stated to be outside the submitted work</w:t>
      </w:r>
    </w:p>
    <w:p>
      <w:pPr>
        <w:keepNext/>
        <w:spacing w:after="50" w:before="260"/>
      </w:pPr>
      <w:r>
        <w:rPr>
          <w:rFonts w:ascii="Cambria" w:cs="Cambria" w:eastAsia="Cambria" w:hAnsi="Cambria"/>
          <w:b/>
          <w:bCs/>
          <w:color w:val="17365D"/>
          <w:sz w:val="20"/>
          <w:szCs w:val="20"/>
        </w:rPr>
        <w:t xml:space="preserve">BiliSeq multi-institutional</w:t>
      </w:r>
      <w:r>
        <w:rPr>
          <w:b/>
          <w:bCs/>
          <w:color w:val="176A87"/>
          <w:sz w:val="15"/>
          <w:szCs w:val="15"/>
        </w:rPr>
        <w:t xml:space="preserve">   cohort</w:t>
      </w:r>
      <w:r>
        <w:rPr>
          <w:color w:val="5A6069"/>
          <w:sz w:val="15"/>
          <w:szCs w:val="15"/>
        </w:rPr>
        <w:t xml:space="preserve">   PMID 41905432</w:t>
      </w:r>
    </w:p>
    <w:p>
      <w:pPr>
        <w:spacing w:after="50" w:line="276"/>
      </w:pPr>
      <w:r>
        <w:rPr>
          <w:color w:val="5A6069"/>
          <w:sz w:val="17"/>
          <w:szCs w:val="17"/>
        </w:rPr>
        <w:t xml:space="preserve">DNA/RNA-Based Next-Generation Sequencing Improves the Early Diagnosis and Management of Neoplastic Bile Duct Strictures: A 6-Year, Prospective, Multi-Institutional, Real-Time Study</w:t>
      </w:r>
    </w:p>
    <w:p>
      <w:pPr>
        <w:spacing w:after="50"/>
      </w:pPr>
      <w:r>
        <w:rPr>
          <w:b/>
          <w:bCs/>
          <w:color w:val="176A87"/>
          <w:sz w:val="16"/>
          <w:szCs w:val="16"/>
        </w:rPr>
        <w:t xml:space="preserve">Population. </w:t>
      </w:r>
      <w:r>
        <w:rPr>
          <w:sz w:val="16"/>
          <w:szCs w:val="16"/>
        </w:rPr>
        <w:t xml:space="preserve">2116 patients and 2908 ERCP-obtained brushings, biopsies and bile samples from 28 US institutions between 2018 and 2024, of whom 1979 had follow-up for the accuracy analysis, comprising 1108 neoplastic and 871 benign strictures; 327 patients had primary sclerosing cholangitis and 548 strictures were indeterminate</w:t>
      </w:r>
    </w:p>
    <w:p>
      <w:pPr>
        <w:spacing w:after="70"/>
      </w:pPr>
      <w:r>
        <w:rPr>
          <w:b/>
          <w:bCs/>
          <w:color w:val="17365D"/>
          <w:sz w:val="16"/>
          <w:szCs w:val="16"/>
        </w:rPr>
        <w:t xml:space="preserve">Bottom line. </w:t>
      </w:r>
      <w:r>
        <w:rPr>
          <w:sz w:val="16"/>
          <w:szCs w:val="16"/>
        </w:rPr>
        <w:t xml:space="preserve">Across 2116 patients at 28 institutions, DNA and RNA sequencing of ERCP specimens detected neoplastic strictures with 82% sensitivity and 98% specificity against 44% and 99% for pathology, rising to 88% combined, and for intrahepatic or hilar strictures the gap is 80% against 36%. It is not a head-to-head comparison: the two tests were run on different specimens, FISH and EUS-FNA were never compared, and submission was at endoscopist discretion. Only 2% of the neoplasms were purely dysplastic, so no earlier-stage or survival benefit is shown, and the therapeutic claim rests on 56 patients with stable disease.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Follow-up and diagnostic pathology were unavailable for some patients, with the remainder requiring at least one year of close clinicoradiographic follow-up to establish the cause of the stricture</w:t>
            </w:r>
          </w:p>
          <w:p>
            <w:pPr>
              <w:pStyle w:val="ListParagraph"/>
              <w:numPr>
                <w:ilvl w:val="0"/>
                <w:numId w:val="2"/>
              </w:numPr>
              <w:spacing w:after="45"/>
            </w:pPr>
            <w:r>
              <w:rPr>
                <w:sz w:val="15"/>
                <w:szCs w:val="15"/>
              </w:rPr>
              <w:t xml:space="preserve">Identical specimens were not used for sequencing and pathological assessment, which the authors say may explain the discordant performance but argue cannot account for a 38 percentage point sensitivity gap across more than 2000 specimens</w:t>
            </w:r>
          </w:p>
          <w:p>
            <w:pPr>
              <w:pStyle w:val="ListParagraph"/>
              <w:numPr>
                <w:ilvl w:val="0"/>
                <w:numId w:val="2"/>
              </w:numPr>
              <w:spacing w:after="45"/>
            </w:pPr>
            <w:r>
              <w:rPr>
                <w:sz w:val="15"/>
                <w:szCs w:val="15"/>
              </w:rPr>
              <w:t xml:space="preserve">The study does not address the ideal gene panel or the limit of detection</w:t>
            </w:r>
          </w:p>
          <w:p>
            <w:pPr>
              <w:pStyle w:val="ListParagraph"/>
              <w:numPr>
                <w:ilvl w:val="0"/>
                <w:numId w:val="2"/>
              </w:numPr>
              <w:spacing w:after="45"/>
            </w:pPr>
            <w:r>
              <w:rPr>
                <w:sz w:val="15"/>
                <w:szCs w:val="15"/>
              </w:rPr>
              <w:t xml:space="preserve">Detection of an alteration was less frequent in Hispanic patients, although performance was otherwise similar across backgrounds</w:t>
            </w:r>
          </w:p>
          <w:p>
            <w:pPr>
              <w:pStyle w:val="ListParagraph"/>
              <w:numPr>
                <w:ilvl w:val="0"/>
                <w:numId w:val="2"/>
              </w:numPr>
              <w:spacing w:after="45"/>
            </w:pPr>
            <w:r>
              <w:rPr>
                <w:sz w:val="15"/>
                <w:szCs w:val="15"/>
              </w:rPr>
              <w:t xml:space="preserve">No cost-effectiveness analysis was performed and the benefit of matched therapy requires a randomised trial</w:t>
            </w:r>
          </w:p>
          <w:p>
            <w:pPr>
              <w:pStyle w:val="ListParagraph"/>
              <w:numPr>
                <w:ilvl w:val="0"/>
                <w:numId w:val="2"/>
              </w:numPr>
              <w:spacing w:after="45"/>
            </w:pPr>
            <w:r>
              <w:rPr>
                <w:sz w:val="15"/>
                <w:szCs w:val="15"/>
              </w:rPr>
              <w:t xml:space="preserve">FISH results were not collected across sites, so no direct comparison with FISH was possible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comparison that carries the paper, 82% against 44% sensitivity, is between tests run on different specimens; the authors' defence is the size of the gap and the size of the cohort, which is an argument from magnitude rather than a controlled comparison</w:t>
            </w:r>
          </w:p>
          <w:p>
            <w:pPr>
              <w:pStyle w:val="ListParagraph"/>
              <w:numPr>
                <w:ilvl w:val="0"/>
                <w:numId w:val="2"/>
              </w:numPr>
              <w:spacing w:after="45"/>
            </w:pPr>
            <w:r>
              <w:rPr>
                <w:sz w:val="15"/>
                <w:szCs w:val="15"/>
              </w:rPr>
              <w:t xml:space="preserve">FISH, the adjunct actually used in primary sclerosing cholangitis, was never compared directly because the data were not collected, and the paper instead argues against FISH on the grounds that it does not identify genes or actionable targets, which is not a sensitivity comparison</w:t>
            </w:r>
          </w:p>
          <w:p>
            <w:pPr>
              <w:pStyle w:val="ListParagraph"/>
              <w:numPr>
                <w:ilvl w:val="0"/>
                <w:numId w:val="2"/>
              </w:numPr>
              <w:spacing w:after="45"/>
            </w:pPr>
            <w:r>
              <w:rPr>
                <w:sz w:val="15"/>
                <w:szCs w:val="15"/>
              </w:rPr>
              <w:t xml:space="preserve">EUS-guided fine-needle aspiration, the alternative for distal strictures, was also not compared, so the test is positioned against the weakest available comparator</w:t>
            </w:r>
          </w:p>
          <w:p>
            <w:pPr>
              <w:pStyle w:val="ListParagraph"/>
              <w:numPr>
                <w:ilvl w:val="0"/>
                <w:numId w:val="2"/>
              </w:numPr>
              <w:spacing w:after="45"/>
            </w:pPr>
            <w:r>
              <w:rPr>
                <w:sz w:val="15"/>
                <w:szCs w:val="15"/>
              </w:rPr>
              <w:t xml:space="preserve">A stricture could be classified as neoplastic on imaging plus 12 months of clinical or radiographic progression rather than on tissue, so the reference standard partly incorporates the work-up the positive test triggers, which inflates sensitivity</w:t>
            </w:r>
          </w:p>
          <w:p>
            <w:pPr>
              <w:pStyle w:val="ListParagraph"/>
              <w:numPr>
                <w:ilvl w:val="0"/>
                <w:numId w:val="2"/>
              </w:numPr>
              <w:spacing w:after="45"/>
            </w:pPr>
            <w:r>
              <w:rPr>
                <w:sz w:val="15"/>
                <w:szCs w:val="15"/>
              </w:rPr>
              <w:t xml:space="preserve">Specimens were submitted at the endoscopist's discretion rather than consecutively, so this is not a consecutive series and the prevalence of 56% neoplastic strictures reflects referral and submission behaviour rather than any defined population</w:t>
            </w:r>
          </w:p>
          <w:p>
            <w:pPr>
              <w:pStyle w:val="ListParagraph"/>
              <w:numPr>
                <w:ilvl w:val="0"/>
                <w:numId w:val="2"/>
              </w:numPr>
              <w:spacing w:after="45"/>
            </w:pPr>
            <w:r>
              <w:rPr>
                <w:sz w:val="15"/>
                <w:szCs w:val="15"/>
              </w:rPr>
              <w:t xml:space="preserve">5% of patients had no follow-up and were dropped from the accuracy analysis without characterisation, and these are the patients whose strictures were least likely to be resolved</w:t>
            </w:r>
          </w:p>
          <w:p>
            <w:pPr>
              <w:pStyle w:val="ListParagraph"/>
              <w:numPr>
                <w:ilvl w:val="0"/>
                <w:numId w:val="2"/>
              </w:numPr>
              <w:spacing w:after="45"/>
            </w:pPr>
            <w:r>
              <w:rPr>
                <w:sz w:val="15"/>
                <w:szCs w:val="15"/>
              </w:rPr>
              <w:t xml:space="preserve">Only 2% of neoplastic strictures were purely dysplastic, so outside primary sclerosing cholangitis this is earlier detection of established cancer rather than early detection, and no survival, resectability or stage-shift benefit is demonstrated anywhere in the paper</w:t>
            </w:r>
          </w:p>
          <w:p>
            <w:pPr>
              <w:pStyle w:val="ListParagraph"/>
              <w:numPr>
                <w:ilvl w:val="0"/>
                <w:numId w:val="2"/>
              </w:numPr>
              <w:spacing w:after="45"/>
            </w:pPr>
            <w:r>
              <w:rPr>
                <w:sz w:val="15"/>
                <w:szCs w:val="15"/>
              </w:rPr>
              <w:t xml:space="preserve">The clinical-utility claim rests on 56 patients whose management changed, of whom 37 (66%) had stable disease or a response by RECIST; stable disease as the endpoint in an uncontrolled series cannot distinguish treatment effect from natural history</w:t>
            </w:r>
          </w:p>
          <w:p>
            <w:pPr>
              <w:pStyle w:val="ListParagraph"/>
              <w:numPr>
                <w:ilvl w:val="0"/>
                <w:numId w:val="2"/>
              </w:numPr>
              <w:spacing w:after="45"/>
            </w:pPr>
            <w:r>
              <w:rPr>
                <w:sz w:val="15"/>
                <w:szCs w:val="15"/>
              </w:rPr>
              <w:t xml:space="preserve">All testing was done in the single laboratory that developed the assay despite 28 contributing institutions, so the multi-institutional design applies to specimen collection and not to assay performance</w:t>
            </w:r>
          </w:p>
          <w:p>
            <w:pPr>
              <w:pStyle w:val="ListParagraph"/>
              <w:numPr>
                <w:ilvl w:val="0"/>
                <w:numId w:val="2"/>
              </w:numPr>
              <w:spacing w:after="45"/>
            </w:pPr>
            <w:r>
              <w:rPr>
                <w:sz w:val="15"/>
                <w:szCs w:val="15"/>
              </w:rPr>
              <w:t xml:space="preserve">Two assay versions with very different content, 28 genes and 167 fusions against 161 genes and 763 fusions, are pooled into one sensitivity figure, and the actionable-alteration yield is reported for v3 only, so neither number describes a single test</w:t>
            </w:r>
          </w:p>
          <w:p>
            <w:pPr>
              <w:pStyle w:val="ListParagraph"/>
              <w:numPr>
                <w:ilvl w:val="0"/>
                <w:numId w:val="2"/>
              </w:numPr>
              <w:spacing w:after="45"/>
            </w:pPr>
            <w:r>
              <w:rPr>
                <w:sz w:val="15"/>
                <w:szCs w:val="15"/>
              </w:rPr>
              <w:t xml:space="preserve">Sixteen false positives occurred with variant allele frequencies from 1.5% to 30%, including KRAS, TP53, GNAS and CTNNB1, and at a 1.5% allele frequency the distinction between a false positive and a sampling-limited true positive is not resolvable from the data presented</w:t>
            </w:r>
          </w:p>
          <w:p>
            <w:pPr>
              <w:pStyle w:val="ListParagraph"/>
              <w:numPr>
                <w:ilvl w:val="0"/>
                <w:numId w:val="2"/>
              </w:numPr>
              <w:spacing w:after="45"/>
            </w:pPr>
            <w:r>
              <w:rPr>
                <w:sz w:val="15"/>
                <w:szCs w:val="15"/>
              </w:rPr>
              <w:t xml:space="preserve">The actionable-alteration figure differs between the abstract (20% of v3-positive neoplasms) and the body (23%, 188 of 812), and the discrepancy is not explained</w:t>
            </w:r>
          </w:p>
          <w:p>
            <w:pPr>
              <w:pStyle w:val="ListParagraph"/>
              <w:numPr>
                <w:ilvl w:val="0"/>
                <w:numId w:val="2"/>
              </w:numPr>
              <w:spacing w:after="45"/>
            </w:pPr>
            <w:r>
              <w:rPr>
                <w:sz w:val="15"/>
                <w:szCs w:val="15"/>
              </w:rPr>
              <w:t xml:space="preserve">The senior author declares honoraria from Foundation Medicine and Olympus in a paper recommending routine sequencing of endoscopically obtained biliary specimens</w:t>
            </w:r>
          </w:p>
          <w:p>
            <w:pPr>
              <w:pStyle w:val="ListParagraph"/>
              <w:numPr>
                <w:ilvl w:val="0"/>
                <w:numId w:val="2"/>
              </w:numPr>
              <w:spacing w:after="45"/>
            </w:pPr>
            <w:r>
              <w:rPr>
                <w:sz w:val="15"/>
                <w:szCs w:val="15"/>
              </w:rPr>
              <w:t xml:space="preserve">No linked editorial or comment was found in PubMed, so no independent published appraisal accompanies the accuracy claims</w:t>
            </w:r>
          </w:p>
        </w:tc>
      </w:tr>
    </w:tbl>
    <w:p>
      <w:pPr>
        <w:spacing w:after="0" w:line="276"/>
      </w:pPr>
      <w:r>
        <w:rPr>
          <w:color w:val="5A6069"/>
          <w:sz w:val="14"/>
          <w:szCs w:val="14"/>
        </w:rPr>
        <w:t xml:space="preserve">Funding: Supported in part by the National Institutes of Health (P30DK120531, U01CA200466, P30CA047904), the National Pancreas Foundation Western PA Chapter, the Sky Foundation and the Pancreatic Cancer Action Network; the senior author received honoraria from Foundation Medicine and Olympus Corporation of Americas and the remaining authors disclose no conflicts</w:t>
      </w:r>
    </w:p>
    <w:p>
      <w:pPr>
        <w:keepNext/>
        <w:spacing w:after="50" w:before="260"/>
      </w:pPr>
      <w:r>
        <w:rPr>
          <w:rFonts w:ascii="Cambria" w:cs="Cambria" w:eastAsia="Cambria" w:hAnsi="Cambria"/>
          <w:b/>
          <w:bCs/>
          <w:color w:val="17365D"/>
          <w:sz w:val="20"/>
          <w:szCs w:val="20"/>
        </w:rPr>
        <w:t xml:space="preserve">BiliSeq validation</w:t>
      </w:r>
      <w:r>
        <w:rPr>
          <w:b/>
          <w:bCs/>
          <w:color w:val="176A87"/>
          <w:sz w:val="15"/>
          <w:szCs w:val="15"/>
        </w:rPr>
        <w:t xml:space="preserve">   cohort</w:t>
      </w:r>
      <w:r>
        <w:rPr>
          <w:color w:val="5A6069"/>
          <w:sz w:val="15"/>
          <w:szCs w:val="15"/>
        </w:rPr>
        <w:t xml:space="preserve">   PMID 30971436</w:t>
      </w:r>
    </w:p>
    <w:p>
      <w:pPr>
        <w:spacing w:after="50" w:line="276"/>
      </w:pPr>
      <w:r>
        <w:rPr>
          <w:color w:val="5A6069"/>
          <w:sz w:val="17"/>
          <w:szCs w:val="17"/>
        </w:rPr>
        <w:t xml:space="preserve">Integrating next-generation sequencing to endoscopic retrograde cholangiopancreatography (ERCP)-obtained biliary specimens improves the detection and management of patients with malignant bile duct strictures</w:t>
      </w:r>
    </w:p>
    <w:p>
      <w:pPr>
        <w:spacing w:after="50"/>
      </w:pPr>
      <w:r>
        <w:rPr>
          <w:b/>
          <w:bCs/>
          <w:color w:val="176A87"/>
          <w:sz w:val="16"/>
          <w:szCs w:val="16"/>
        </w:rPr>
        <w:t xml:space="preserve">Population. </w:t>
      </w:r>
      <w:r>
        <w:rPr>
          <w:sz w:val="16"/>
          <w:szCs w:val="16"/>
        </w:rPr>
        <w:t xml:space="preserve">252 patients and 346 biliary specimens obtained at ERCP at a single centre, a 57-patient training cohort from September 2014 to April 2016 followed by a prospective validation cohort of 195 from September 2016 to August 2018; 220 had adequate follow-up for the accuracy analysis, 38 strictures were intrahepatic and 47 hilar, 22 patients had intrahepatic cholangiocarcinoma and 37 had primary sclerosing cholangitis</w:t>
      </w:r>
    </w:p>
    <w:p>
      <w:pPr>
        <w:spacing w:after="70"/>
      </w:pPr>
      <w:r>
        <w:rPr>
          <w:b/>
          <w:bCs/>
          <w:color w:val="17365D"/>
          <w:sz w:val="16"/>
          <w:szCs w:val="16"/>
        </w:rPr>
        <w:t xml:space="preserve">Bottom line. </w:t>
      </w:r>
      <w:r>
        <w:rPr>
          <w:sz w:val="16"/>
          <w:szCs w:val="16"/>
        </w:rPr>
        <w:t xml:space="preserve">This is the study that put targeted sequencing of ERCP specimens into the work-up of an indeterminate biliary stricture, raising sensitivity for high-grade dysplasia or cancer from 48% with pathology to 73% alone and 83% combined, with specificity held at 99%. It does not make a negative test reassuring: a quarter of cancers were missed and the negative predictive value is 63%. Sequencing and pathology were run on different specimens, only 38 of 252 strictures were intrahepatic, and the panel does not detect FGFR2 fusions.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Follow-up diagnostic pathology was available for only 66% of patients, which the authors attribute to most biliary malignancies being unresectable or the patients being poor surgical candidates</w:t>
            </w:r>
          </w:p>
          <w:p>
            <w:pPr>
              <w:pStyle w:val="ListParagraph"/>
              <w:numPr>
                <w:ilvl w:val="0"/>
                <w:numId w:val="2"/>
              </w:numPr>
              <w:spacing w:after="45"/>
            </w:pPr>
            <w:r>
              <w:rPr>
                <w:sz w:val="15"/>
                <w:szCs w:val="15"/>
              </w:rPr>
              <w:t xml:space="preserve">A separate bile duct specimen from the one used for pathological evaluation was used for sequencing in order to ensure sufficient DNA, which the authors say may explain incongruent results between the two modalities</w:t>
            </w:r>
          </w:p>
          <w:p>
            <w:pPr>
              <w:pStyle w:val="ListParagraph"/>
              <w:numPr>
                <w:ilvl w:val="0"/>
                <w:numId w:val="2"/>
              </w:numPr>
              <w:spacing w:after="45"/>
            </w:pPr>
            <w:r>
              <w:rPr>
                <w:sz w:val="15"/>
                <w:szCs w:val="15"/>
              </w:rPr>
              <w:t xml:space="preserve">The study does not address the optimal gene panel or the best approach to integrating sequencing into stricture evaluation</w:t>
            </w:r>
          </w:p>
          <w:p>
            <w:pPr>
              <w:pStyle w:val="ListParagraph"/>
              <w:numPr>
                <w:ilvl w:val="0"/>
                <w:numId w:val="2"/>
              </w:numPr>
              <w:spacing w:after="45"/>
            </w:pPr>
            <w:r>
              <w:rPr>
                <w:sz w:val="15"/>
                <w:szCs w:val="15"/>
              </w:rPr>
              <w:t xml:space="preserve">No single modality or combination reached 95% sensitivity without a loss of specificity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negative result does not exclude cancer and the paper does not lead with that: there were 37 false negatives (25%) and the negative predictive value is only 63%, so a clinician who stops at a negative BiliSeq is wrong a third of the time</w:t>
            </w:r>
          </w:p>
          <w:p>
            <w:pPr>
              <w:pStyle w:val="ListParagraph"/>
              <w:numPr>
                <w:ilvl w:val="0"/>
                <w:numId w:val="2"/>
              </w:numPr>
              <w:spacing w:after="45"/>
            </w:pPr>
            <w:r>
              <w:rPr>
                <w:sz w:val="15"/>
                <w:szCs w:val="15"/>
              </w:rPr>
              <w:t xml:space="preserve">In 12 of those false-negative cases the same panel found an alteration in the resected tumour, which means the failure was sampling or tumour cellularity below the 3% allele-frequency limit rather than tumour biology, and that failure mode is not quantifiable prospectively</w:t>
            </w:r>
          </w:p>
          <w:p>
            <w:pPr>
              <w:pStyle w:val="ListParagraph"/>
              <w:numPr>
                <w:ilvl w:val="0"/>
                <w:numId w:val="2"/>
              </w:numPr>
              <w:spacing w:after="45"/>
            </w:pPr>
            <w:r>
              <w:rPr>
                <w:sz w:val="15"/>
                <w:szCs w:val="15"/>
              </w:rPr>
              <w:t xml:space="preserve">Specificity of 100% is computed against a reference standard in which brushing cytology and negative biopsies were disallowed as evidence in either direction, and 34% of patients were adjudicated on clinical and radiographic course rather than tissue, a standard that cannot generate a false positive for a molecular test</w:t>
            </w:r>
          </w:p>
          <w:p>
            <w:pPr>
              <w:pStyle w:val="ListParagraph"/>
              <w:numPr>
                <w:ilvl w:val="0"/>
                <w:numId w:val="2"/>
              </w:numPr>
              <w:spacing w:after="45"/>
            </w:pPr>
            <w:r>
              <w:rPr>
                <w:sz w:val="15"/>
                <w:szCs w:val="15"/>
              </w:rPr>
              <w:t xml:space="preserve">The sequencing and the pathology were done on different specimens, so the central 73% against 48% sensitivity comparison is not a head-to-head test on the same material; the authors concede the specimen difference may explain discordance but still draw the comparison</w:t>
            </w:r>
          </w:p>
          <w:p>
            <w:pPr>
              <w:pStyle w:val="ListParagraph"/>
              <w:numPr>
                <w:ilvl w:val="0"/>
                <w:numId w:val="2"/>
              </w:numPr>
              <w:spacing w:after="45"/>
            </w:pPr>
            <w:r>
              <w:rPr>
                <w:sz w:val="15"/>
                <w:szCs w:val="15"/>
              </w:rPr>
              <w:t xml:space="preserve">The assay was run on a purpose-collected brush or biopsy placed directly into DNA lysis buffer in the laboratory that developed it, so nothing here addresses performance on residual CytoLyt or formalin-fixed material, where other groups report assay failure near 11%</w:t>
            </w:r>
          </w:p>
          <w:p>
            <w:pPr>
              <w:pStyle w:val="ListParagraph"/>
              <w:numPr>
                <w:ilvl w:val="0"/>
                <w:numId w:val="2"/>
              </w:numPr>
              <w:spacing w:after="45"/>
            </w:pPr>
            <w:r>
              <w:rPr>
                <w:sz w:val="15"/>
                <w:szCs w:val="15"/>
              </w:rPr>
              <w:t xml:space="preserve">The 28-gene panel does not detect FGFR2 fusions and omits chromatin remodelling genes such as ARID1A, which together occur in up to 20% of intrahepatic cholangiocarcinomas, so the panel misses the alterations that matter most for iCCA treatment while the paper's therapeutic yield is presented as 13%</w:t>
            </w:r>
          </w:p>
          <w:p>
            <w:pPr>
              <w:pStyle w:val="ListParagraph"/>
              <w:numPr>
                <w:ilvl w:val="0"/>
                <w:numId w:val="2"/>
              </w:numPr>
              <w:spacing w:after="45"/>
            </w:pPr>
            <w:r>
              <w:rPr>
                <w:sz w:val="15"/>
                <w:szCs w:val="15"/>
              </w:rPr>
              <w:t xml:space="preserve">The primary sclerosing cholangitis result, where the gain over cytology is largest at 83% against 8%, rests on 12 malignant cases with a confidence interval of 0.51 to 0.98</w:t>
            </w:r>
          </w:p>
          <w:p>
            <w:pPr>
              <w:pStyle w:val="ListParagraph"/>
              <w:numPr>
                <w:ilvl w:val="0"/>
                <w:numId w:val="2"/>
              </w:numPr>
              <w:spacing w:after="45"/>
            </w:pPr>
            <w:r>
              <w:rPr>
                <w:sz w:val="15"/>
                <w:szCs w:val="15"/>
              </w:rPr>
              <w:t xml:space="preserve">Only 38 of 252 strictures were intrahepatic, so the paper that is cited for molecular diagnosis of iCCA mostly studied extrahepatic and distal disease and reports no intrahepatic-specific sensitivity</w:t>
            </w:r>
          </w:p>
          <w:p>
            <w:pPr>
              <w:pStyle w:val="ListParagraph"/>
              <w:numPr>
                <w:ilvl w:val="0"/>
                <w:numId w:val="2"/>
              </w:numPr>
              <w:spacing w:after="45"/>
            </w:pPr>
            <w:r>
              <w:rPr>
                <w:sz w:val="15"/>
                <w:szCs w:val="15"/>
              </w:rPr>
              <w:t xml:space="preserve">The two trastuzumab responses are single cases treated concurrently with gemcitabine-cisplatin and followed for 8 and 12 months, so the shrinkage cannot be attributed to the targeted agent, yet they carry the paper's clinical-utility claim</w:t>
            </w:r>
          </w:p>
          <w:p>
            <w:pPr>
              <w:pStyle w:val="ListParagraph"/>
              <w:numPr>
                <w:ilvl w:val="0"/>
                <w:numId w:val="2"/>
              </w:numPr>
              <w:spacing w:after="45"/>
            </w:pPr>
            <w:r>
              <w:rPr>
                <w:sz w:val="15"/>
                <w:szCs w:val="15"/>
              </w:rPr>
              <w:t xml:space="preserve">Adding CA19-9 raises sensitivity to 95% at the cost of dropping specificity to 68%, which means roughly a third of benign strictures would be called malignant; that combination is presented alongside the others without stating that it is clinically unusable</w:t>
            </w:r>
          </w:p>
          <w:p>
            <w:pPr>
              <w:pStyle w:val="ListParagraph"/>
              <w:numPr>
                <w:ilvl w:val="0"/>
                <w:numId w:val="2"/>
              </w:numPr>
              <w:spacing w:after="45"/>
            </w:pPr>
            <w:r>
              <w:rPr>
                <w:sz w:val="15"/>
                <w:szCs w:val="15"/>
              </w:rPr>
              <w:t xml:space="preserve">The first author declares an honorarium from Foundation Medicine, a commercial sequencing provider, in a paper advocating routine sequencing of biliary specimens</w:t>
            </w:r>
          </w:p>
          <w:p>
            <w:pPr>
              <w:pStyle w:val="ListParagraph"/>
              <w:numPr>
                <w:ilvl w:val="0"/>
                <w:numId w:val="2"/>
              </w:numPr>
              <w:spacing w:after="45"/>
            </w:pPr>
            <w:r>
              <w:rPr>
                <w:sz w:val="15"/>
                <w:szCs w:val="15"/>
              </w:rPr>
              <w:t xml:space="preserve">No linked editorial or comment was found in PubMed, so no independent published appraisal accompanies the accuracy claims</w:t>
            </w:r>
          </w:p>
        </w:tc>
      </w:tr>
    </w:tbl>
    <w:p>
      <w:pPr>
        <w:spacing w:after="0" w:line="276"/>
      </w:pPr>
      <w:r>
        <w:rPr>
          <w:color w:val="5A6069"/>
          <w:sz w:val="14"/>
          <w:szCs w:val="14"/>
        </w:rPr>
        <w:t xml:space="preserve">Funding: Funded by the University of Pittsburgh Institute of Precision Medicine; the first author has received an honorarium from Foundation Medicine</w:t>
      </w:r>
    </w:p>
    <w:p>
      <w:pPr>
        <w:keepNext/>
        <w:spacing w:after="50" w:before="260"/>
      </w:pPr>
      <w:r>
        <w:rPr>
          <w:rFonts w:ascii="Cambria" w:cs="Cambria" w:eastAsia="Cambria" w:hAnsi="Cambria"/>
          <w:b/>
          <w:bCs/>
          <w:color w:val="17365D"/>
          <w:sz w:val="20"/>
          <w:szCs w:val="20"/>
        </w:rPr>
        <w:t xml:space="preserve">Bismuth-Corlette</w:t>
      </w:r>
      <w:r>
        <w:rPr>
          <w:b/>
          <w:bCs/>
          <w:color w:val="176A87"/>
          <w:sz w:val="15"/>
          <w:szCs w:val="15"/>
        </w:rPr>
        <w:t xml:space="preserve">   Case series</w:t>
      </w:r>
      <w:r>
        <w:rPr>
          <w:color w:val="5A6069"/>
          <w:sz w:val="15"/>
          <w:szCs w:val="15"/>
        </w:rPr>
        <w:t xml:space="preserve">   PMID 1309988</w:t>
      </w:r>
    </w:p>
    <w:p>
      <w:pPr>
        <w:spacing w:after="50" w:line="276"/>
      </w:pPr>
      <w:r>
        <w:rPr>
          <w:color w:val="5A6069"/>
          <w:sz w:val="17"/>
          <w:szCs w:val="17"/>
        </w:rPr>
        <w:t xml:space="preserve">Management strategies in resection for hilar cholangiocarcinoma</w:t>
      </w:r>
    </w:p>
    <w:p>
      <w:pPr>
        <w:spacing w:after="50"/>
      </w:pPr>
      <w:r>
        <w:rPr>
          <w:b/>
          <w:bCs/>
          <w:color w:val="176A87"/>
          <w:sz w:val="16"/>
          <w:szCs w:val="16"/>
        </w:rPr>
        <w:t xml:space="preserve">Population. </w:t>
      </w:r>
      <w:r>
        <w:rPr>
          <w:sz w:val="16"/>
          <w:szCs w:val="16"/>
        </w:rPr>
        <w:t xml:space="preserve">23 resections for hilar cholangiocarcinoma performed between January 1960 and December 1990 at one Paris centre, drawn from 136 consecutive patients of whom 122 were considered suitable for surgical treatment, with 3 further patients treated by total hepatectomy and transplantation excluded from the outcome analysis</w:t>
      </w:r>
    </w:p>
    <w:p>
      <w:pPr>
        <w:spacing w:after="70"/>
      </w:pPr>
      <w:r>
        <w:rPr>
          <w:b/>
          <w:bCs/>
          <w:color w:val="17365D"/>
          <w:sz w:val="16"/>
          <w:szCs w:val="16"/>
        </w:rPr>
        <w:t xml:space="preserve">Bottom line. </w:t>
      </w:r>
      <w:r>
        <w:rPr>
          <w:sz w:val="16"/>
          <w:szCs w:val="16"/>
        </w:rPr>
        <w:t xml:space="preserve">This is the source of the modified Bismuth-Corlette classification and of the type-driven operation: local excision for type I, with caudate resection added for type II, with right or left hepatectomy for type III, and transplantation considered for type IV. It rests on 23 resections over thirty years at one centre, one to four patients per type, no comparison group, no statistical test of any kind, and a classification the paper itself shows is unreliable before operation, four operative type IV lesions becoming nine on histology. What it establishes is that margin clearance rather than nodal status drove outcome in this series and that achieving it requires the hepatectomy the anatomy dictates; the survival figures and the type IV recommendation should not be carried forward.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only that the results depend entirely on obtaining histologically free resection margins, that extensive preoperative and perioperative assessment is needed so that inappropriate extensive resection is avoided, that prospective studies of preoperative biliary drainage in obstructive jaundice have failed to show significant overall benefit although they still use it in selected cases, and that published results of transplantation for this disease have generally been poor with a high incidence of recurrence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Twenty-three resections accumulated over thirty years at one centre, during which imaging, staging and operative technique changed completely; the type-specific operative recommendations rest on one to four patients per tumour type, and the type IV recommendation of transplantation on three patients, one of whom recurred in the hepatic pedicle 8 months after transplantation</w:t>
            </w:r>
          </w:p>
          <w:p>
            <w:pPr>
              <w:pStyle w:val="ListParagraph"/>
              <w:numPr>
                <w:ilvl w:val="0"/>
                <w:numId w:val="2"/>
              </w:numPr>
              <w:spacing w:after="45"/>
            </w:pPr>
            <w:r>
              <w:rPr>
                <w:sz w:val="15"/>
                <w:szCs w:val="15"/>
              </w:rPr>
              <w:t xml:space="preserve">No statistical comparison of any kind appears in the paper: no P value, no log-rank test and no confidence interval, so the claim that group C outcomes exceeded groups A and B is purely descriptive</w:t>
            </w:r>
          </w:p>
          <w:p>
            <w:pPr>
              <w:pStyle w:val="ListParagraph"/>
              <w:numPr>
                <w:ilvl w:val="0"/>
                <w:numId w:val="2"/>
              </w:numPr>
              <w:spacing w:after="45"/>
            </w:pPr>
            <w:r>
              <w:rPr>
                <w:sz w:val="15"/>
                <w:szCs w:val="15"/>
              </w:rPr>
              <w:t xml:space="preserve">Three different counts are given for the same set of potentially curative resections: 7 patients with two type I lesions in the abstract, 8 patients with three type I lesions in the Results and Discussion, and 9 patients in group C in Table 2</w:t>
            </w:r>
          </w:p>
          <w:p>
            <w:pPr>
              <w:pStyle w:val="ListParagraph"/>
              <w:numPr>
                <w:ilvl w:val="0"/>
                <w:numId w:val="2"/>
              </w:numPr>
              <w:spacing w:after="45"/>
            </w:pPr>
            <w:r>
              <w:rPr>
                <w:sz w:val="15"/>
                <w:szCs w:val="15"/>
              </w:rPr>
              <w:t xml:space="preserve">The 70-year-old patient with a papillary tumour who survived 11 years free of recurrence was removed from the survival analysis as atypical after her outcome was known, while remaining the case that supports the abstract's recommendation of local excision for type I disease; she is 71 in Table 1 and 70 in the text</w:t>
            </w:r>
          </w:p>
          <w:p>
            <w:pPr>
              <w:pStyle w:val="ListParagraph"/>
              <w:numPr>
                <w:ilvl w:val="0"/>
                <w:numId w:val="2"/>
              </w:numPr>
              <w:spacing w:after="45"/>
            </w:pPr>
            <w:r>
              <w:rPr>
                <w:sz w:val="15"/>
                <w:szCs w:val="15"/>
              </w:rPr>
              <w:t xml:space="preserve">The claim that local recurrence was never observed when the margin was histologically free is contradicted by the paper's own Table 1 and Results, where two group C patients died of recurrence at 14 and 22 months, one of them with recurrence at the anastomosis and in the hepatic pedicle at 10 months</w:t>
            </w:r>
          </w:p>
          <w:p>
            <w:pPr>
              <w:pStyle w:val="ListParagraph"/>
              <w:numPr>
                <w:ilvl w:val="0"/>
                <w:numId w:val="2"/>
              </w:numPr>
              <w:spacing w:after="45"/>
            </w:pPr>
            <w:r>
              <w:rPr>
                <w:sz w:val="15"/>
                <w:szCs w:val="15"/>
              </w:rPr>
              <w:t xml:space="preserve">Operative mortality is reported as zero with mortality defined as death during or within two months of surgery, a window wider than the conventional 30 or 90 days; zero events in 23 patients carries an upper confidence bound near 15%</w:t>
            </w:r>
          </w:p>
          <w:p>
            <w:pPr>
              <w:pStyle w:val="ListParagraph"/>
              <w:numPr>
                <w:ilvl w:val="0"/>
                <w:numId w:val="2"/>
              </w:numPr>
              <w:spacing w:after="45"/>
            </w:pPr>
            <w:r>
              <w:rPr>
                <w:sz w:val="15"/>
                <w:szCs w:val="15"/>
              </w:rPr>
              <w:t xml:space="preserve">There is no comparison group: patients treated by surgical bypass or transtumoral intubation were never analysed, only 23 of 122 operated patients were resected, and the survival credited to margin-negative resection is uncontrolled and heavily selected</w:t>
            </w:r>
          </w:p>
          <w:p>
            <w:pPr>
              <w:pStyle w:val="ListParagraph"/>
              <w:numPr>
                <w:ilvl w:val="0"/>
                <w:numId w:val="2"/>
              </w:numPr>
              <w:spacing w:after="45"/>
            </w:pPr>
            <w:r>
              <w:rPr>
                <w:sz w:val="15"/>
                <w:szCs w:val="15"/>
              </w:rPr>
              <w:t xml:space="preserve">Group B is defined as microscopic tumour at the resection margin or lymph nodes outside the hepatic pedicle, so margin status and nodal status are mixed in one group and the margin effect is not isolated</w:t>
            </w:r>
          </w:p>
          <w:p>
            <w:pPr>
              <w:pStyle w:val="ListParagraph"/>
              <w:numPr>
                <w:ilvl w:val="0"/>
                <w:numId w:val="2"/>
              </w:numPr>
              <w:spacing w:after="45"/>
            </w:pPr>
            <w:r>
              <w:rPr>
                <w:sz w:val="15"/>
                <w:szCs w:val="15"/>
              </w:rPr>
              <w:t xml:space="preserve">Figure 1, showing operative type IV rising from 4 to 9 on postoperative histology, includes the 3 transplanted patients and so counts 26 cases, while the survival analysis excludes them and counts 23, so classification accuracy and outcome are computed on different denominators</w:t>
            </w:r>
          </w:p>
          <w:p>
            <w:pPr>
              <w:pStyle w:val="ListParagraph"/>
              <w:numPr>
                <w:ilvl w:val="0"/>
                <w:numId w:val="2"/>
              </w:numPr>
              <w:spacing w:after="45"/>
            </w:pPr>
            <w:r>
              <w:rPr>
                <w:sz w:val="15"/>
                <w:szCs w:val="15"/>
              </w:rPr>
              <w:t xml:space="preserve">Follow-up averaged 26 months with a minimum of 6, and 10 patients were still alive at 6 to 48 months, so the 3-year figures of 25% overall survival and 50% in group C rest on almost no patients still at risk, with no numbers at risk given anywhere</w:t>
            </w:r>
          </w:p>
          <w:p>
            <w:pPr>
              <w:pStyle w:val="ListParagraph"/>
              <w:numPr>
                <w:ilvl w:val="0"/>
                <w:numId w:val="2"/>
              </w:numPr>
              <w:spacing w:after="45"/>
            </w:pPr>
            <w:r>
              <w:rPr>
                <w:sz w:val="15"/>
                <w:szCs w:val="15"/>
              </w:rPr>
              <w:t xml:space="preserve">Caudate resection was performed in only 8 of the 13 liver resections, yet the recommendation is that every type II to IV lesion requires it; that recommendation rests on Nimura's anatomical argument rather than on any comparison within this series</w:t>
            </w:r>
          </w:p>
          <w:p>
            <w:pPr>
              <w:pStyle w:val="ListParagraph"/>
              <w:numPr>
                <w:ilvl w:val="0"/>
                <w:numId w:val="2"/>
              </w:numPr>
              <w:spacing w:after="45"/>
            </w:pPr>
            <w:r>
              <w:rPr>
                <w:sz w:val="15"/>
                <w:szCs w:val="15"/>
              </w:rPr>
              <w:t xml:space="preserve">Table 3's assessment of curability excludes the 4 patients with gross residual tumour and 3 with distant nodal disease, leaving 16 patients from whom the entire type-specific operative algorithm is derived</w:t>
            </w:r>
          </w:p>
          <w:p>
            <w:pPr>
              <w:pStyle w:val="ListParagraph"/>
              <w:numPr>
                <w:ilvl w:val="0"/>
                <w:numId w:val="2"/>
              </w:numPr>
              <w:spacing w:after="45"/>
            </w:pPr>
            <w:r>
              <w:rPr>
                <w:sz w:val="15"/>
                <w:szCs w:val="15"/>
              </w:rPr>
              <w:t xml:space="preserve">Ten of the 23 patients (43%) had already undergone surgical drainage or transtumoral intubation elsewhere and all but 5 had been investigated or treated at another institution, so this is a referred, pre-treated population</w:t>
            </w:r>
          </w:p>
          <w:p>
            <w:pPr>
              <w:pStyle w:val="ListParagraph"/>
              <w:numPr>
                <w:ilvl w:val="0"/>
                <w:numId w:val="2"/>
              </w:numPr>
              <w:spacing w:after="45"/>
            </w:pPr>
            <w:r>
              <w:rPr>
                <w:sz w:val="15"/>
                <w:szCs w:val="15"/>
              </w:rPr>
              <w:t xml:space="preserve">Preoperative percutaneous drainage is endorsed for selected cases while the paper itself cites two prospective studies showing no benefit, and only one patient in the series actually received it</w:t>
            </w:r>
          </w:p>
          <w:p>
            <w:pPr>
              <w:pStyle w:val="ListParagraph"/>
              <w:numPr>
                <w:ilvl w:val="0"/>
                <w:numId w:val="2"/>
              </w:numPr>
              <w:spacing w:after="45"/>
            </w:pPr>
            <w:r>
              <w:rPr>
                <w:sz w:val="15"/>
                <w:szCs w:val="15"/>
              </w:rPr>
              <w:t xml:space="preserve">Denominators shift between the 136 consecutive patients, the 122 taken to surgery and the 23 resected, with the 19% resectability rate and the 15.6% and 7.4% curative resection rates all computed on 122</w:t>
            </w:r>
          </w:p>
          <w:p>
            <w:pPr>
              <w:pStyle w:val="ListParagraph"/>
              <w:numPr>
                <w:ilvl w:val="0"/>
                <w:numId w:val="2"/>
              </w:numPr>
              <w:spacing w:after="45"/>
            </w:pPr>
            <w:r>
              <w:rPr>
                <w:sz w:val="15"/>
                <w:szCs w:val="15"/>
              </w:rPr>
              <w:t xml:space="preserve">No chemotherapy, radiotherapy or adjuvant treatment data are reported for any patient, and causes of death are not tabulated</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No funding statement and no declaration of interests anywhere in the paper</w:t>
      </w:r>
    </w:p>
    <w:p>
      <w:pPr>
        <w:keepNext/>
        <w:spacing w:after="50" w:before="260"/>
      </w:pPr>
      <w:r>
        <w:rPr>
          <w:rFonts w:ascii="Cambria" w:cs="Cambria" w:eastAsia="Cambria" w:hAnsi="Cambria"/>
          <w:b/>
          <w:bCs/>
          <w:color w:val="17365D"/>
          <w:sz w:val="20"/>
          <w:szCs w:val="20"/>
        </w:rPr>
        <w:t xml:space="preserve">BSG 2023</w:t>
      </w:r>
      <w:r>
        <w:rPr>
          <w:b/>
          <w:bCs/>
          <w:color w:val="176A87"/>
          <w:sz w:val="15"/>
          <w:szCs w:val="15"/>
        </w:rPr>
        <w:t xml:space="preserve">   Guideline</w:t>
      </w:r>
      <w:r>
        <w:rPr>
          <w:color w:val="5A6069"/>
          <w:sz w:val="15"/>
          <w:szCs w:val="15"/>
        </w:rPr>
        <w:t xml:space="preserve">   PMID 37770126</w:t>
      </w:r>
    </w:p>
    <w:p>
      <w:pPr>
        <w:spacing w:after="50" w:line="276"/>
      </w:pPr>
      <w:r>
        <w:rPr>
          <w:color w:val="5A6069"/>
          <w:sz w:val="17"/>
          <w:szCs w:val="17"/>
        </w:rPr>
        <w:t xml:space="preserve">British Society of Gastroenterology guidelines for the diagnosis and management of cholangiocarcinoma</w:t>
      </w:r>
    </w:p>
    <w:p>
      <w:pPr>
        <w:spacing w:after="70"/>
      </w:pPr>
      <w:r>
        <w:rPr>
          <w:b/>
          <w:bCs/>
          <w:color w:val="17365D"/>
          <w:sz w:val="16"/>
          <w:szCs w:val="16"/>
        </w:rPr>
        <w:t xml:space="preserve">Bottom line. </w:t>
      </w:r>
      <w:r>
        <w:rPr>
          <w:sz w:val="16"/>
          <w:szCs w:val="16"/>
        </w:rPr>
        <w:t xml:space="preserve">The BSG guidelines are the most operational document in this set for UK practice: 50 GRADE-graded recommendations covering staging imaging, biopsy, high-volume resection, 24 weeks of adjuvant capecitabine, molecular profiling at the earliest opportunity, and iCCA transplantation only inside a national protocol. Its strongest surgical recommendation rests on BILCAP's per-protocol result, it sets no nodal dissection standard while making nodal status decisive, and one recommendation is graded with a category outside the GRADE scheme it declares. The November 2022 search closed before KEYNOTE-966 and the HER2 and futibatinib data.</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frame the document as guidance rather than protocol, requiring individual patient-centred decisions</w:t>
            </w:r>
          </w:p>
          <w:p>
            <w:pPr>
              <w:pStyle w:val="ListParagraph"/>
              <w:numPr>
                <w:ilvl w:val="0"/>
                <w:numId w:val="2"/>
              </w:numPr>
              <w:spacing w:after="45"/>
            </w:pPr>
            <w:r>
              <w:rPr>
                <w:sz w:val="15"/>
                <w:szCs w:val="15"/>
              </w:rPr>
              <w:t xml:space="preserve">They state revision will be needed within five years</w:t>
            </w:r>
          </w:p>
          <w:p>
            <w:pPr>
              <w:pStyle w:val="ListParagraph"/>
              <w:numPr>
                <w:ilvl w:val="0"/>
                <w:numId w:val="2"/>
              </w:numPr>
              <w:spacing w:after="45"/>
            </w:pPr>
            <w:r>
              <w:rPr>
                <w:sz w:val="15"/>
                <w:szCs w:val="15"/>
              </w:rPr>
              <w:t xml:space="preserve">They state that the size criteria for transplantation in iCCA need to be monitored and modified to improve recruitment to the national protocol</w:t>
            </w:r>
          </w:p>
          <w:p>
            <w:pPr>
              <w:pStyle w:val="ListParagraph"/>
              <w:numPr>
                <w:ilvl w:val="0"/>
                <w:numId w:val="2"/>
              </w:numPr>
              <w:spacing w:after="45"/>
            </w:pPr>
            <w:r>
              <w:rPr>
                <w:sz w:val="15"/>
                <w:szCs w:val="15"/>
              </w:rPr>
              <w:t xml:space="preserve">Searches were completed in November 2022</w:t>
            </w:r>
          </w:p>
          <w:p>
            <w:pPr>
              <w:pStyle w:val="ListParagraph"/>
              <w:numPr>
                <w:ilvl w:val="0"/>
                <w:numId w:val="2"/>
              </w:numPr>
              <w:spacing w:after="45"/>
            </w:pPr>
            <w:r>
              <w:rPr>
                <w:sz w:val="15"/>
                <w:szCs w:val="15"/>
              </w:rPr>
              <w:t xml:space="preserve">Several recommendations carry an explicit quality of evidence of LOW, including offering surgery when histology cannot exclude malignancy</w:t>
            </w:r>
          </w:p>
          <w:p>
            <w:pPr>
              <w:pStyle w:val="ListParagraph"/>
              <w:numPr>
                <w:ilvl w:val="0"/>
                <w:numId w:val="2"/>
              </w:numPr>
              <w:spacing w:after="45"/>
            </w:pPr>
            <w:r>
              <w:rPr>
                <w:sz w:val="15"/>
                <w:szCs w:val="15"/>
              </w:rPr>
              <w:t xml:space="preserve">Recommendation 46 states that development and funding of clinical trials is key because the pharmacological management of symptoms has not been properly evaluated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Adjuvant capecitabine is a STRONG recommendation on moderate evidence although BILCAP missed significance on intention-to-treat and showed no benefit in its intrahepatic subgroup, so the document's firmest surgical statement rests on a per-protocol result with ACTICCA-1 still unreported</w:t>
            </w:r>
          </w:p>
          <w:p>
            <w:pPr>
              <w:pStyle w:val="ListParagraph"/>
              <w:numPr>
                <w:ilvl w:val="0"/>
                <w:numId w:val="2"/>
              </w:numPr>
              <w:spacing w:after="45"/>
            </w:pPr>
            <w:r>
              <w:rPr>
                <w:sz w:val="15"/>
                <w:szCs w:val="15"/>
              </w:rPr>
              <w:t xml:space="preserve">Transplantation for iCCA is routed into a national protocol whose size criteria the guideline simultaneously says need modifying to improve recruitment, which concedes the criteria are set too tightly to be tested while offering no alternative threshold</w:t>
            </w:r>
          </w:p>
          <w:p>
            <w:pPr>
              <w:pStyle w:val="ListParagraph"/>
              <w:numPr>
                <w:ilvl w:val="0"/>
                <w:numId w:val="2"/>
              </w:numPr>
              <w:spacing w:after="45"/>
            </w:pPr>
            <w:r>
              <w:rPr>
                <w:sz w:val="15"/>
                <w:szCs w:val="15"/>
              </w:rPr>
              <w:t xml:space="preserve">The two established transplant pathways are left unresolved: neither the very-early cirrhotic tumour nor the locally advanced tumour stable on chemotherapy is given a criterion, so UK practice is directed to a protocol rather than to a decision</w:t>
            </w:r>
          </w:p>
          <w:p>
            <w:pPr>
              <w:pStyle w:val="ListParagraph"/>
              <w:numPr>
                <w:ilvl w:val="0"/>
                <w:numId w:val="2"/>
              </w:numPr>
              <w:spacing w:after="45"/>
            </w:pPr>
            <w:r>
              <w:rPr>
                <w:sz w:val="15"/>
                <w:szCs w:val="15"/>
              </w:rPr>
              <w:t xml:space="preserve">Nothing is said about regional lymphadenectomy or a minimum node yield at resection for iCCA, although nodal status determines both stage and the adjuvant decision Recommendation 37 then makes</w:t>
            </w:r>
          </w:p>
          <w:p>
            <w:pPr>
              <w:pStyle w:val="ListParagraph"/>
              <w:numPr>
                <w:ilvl w:val="0"/>
                <w:numId w:val="2"/>
              </w:numPr>
              <w:spacing w:after="45"/>
            </w:pPr>
            <w:r>
              <w:rPr>
                <w:sz w:val="15"/>
                <w:szCs w:val="15"/>
              </w:rPr>
              <w:t xml:space="preserve">Recommendation 34 is printed with a quality of evidence of STRONG, a category that does not exist in the GRADE scheme the guideline declares it is using, so at least one of 50 graded recommendations cannot be interpreted</w:t>
            </w:r>
          </w:p>
          <w:p>
            <w:pPr>
              <w:pStyle w:val="ListParagraph"/>
              <w:numPr>
                <w:ilvl w:val="0"/>
                <w:numId w:val="2"/>
              </w:numPr>
              <w:spacing w:after="45"/>
            </w:pPr>
            <w:r>
              <w:rPr>
                <w:sz w:val="15"/>
                <w:szCs w:val="15"/>
              </w:rPr>
              <w:t xml:space="preserve">First-line immunotherapy is recommended only conditionally, if approved and available, which makes the central systemic recommendation dependent on local reimbursement rather than on the trial evidence</w:t>
            </w:r>
          </w:p>
          <w:p>
            <w:pPr>
              <w:pStyle w:val="ListParagraph"/>
              <w:numPr>
                <w:ilvl w:val="0"/>
                <w:numId w:val="2"/>
              </w:numPr>
              <w:spacing w:after="45"/>
            </w:pPr>
            <w:r>
              <w:rPr>
                <w:sz w:val="15"/>
                <w:szCs w:val="15"/>
              </w:rPr>
              <w:t xml:space="preserve">The November 2022 search closed before KEYNOTE-966, the HER2 data and futibatinib, so a 50-recommendation document published in 2024 describes a systemic landscape that had already changed</w:t>
            </w:r>
          </w:p>
          <w:p>
            <w:pPr>
              <w:pStyle w:val="ListParagraph"/>
              <w:numPr>
                <w:ilvl w:val="0"/>
                <w:numId w:val="2"/>
              </w:numPr>
              <w:spacing w:after="45"/>
            </w:pPr>
            <w:r>
              <w:rPr>
                <w:sz w:val="15"/>
                <w:szCs w:val="15"/>
              </w:rPr>
              <w:t xml:space="preserve">Molecular profiling at the earliest opportunity is a STRONG recommendation on high evidence, with a companion recommendation to reserve tissue for it before planning immunohistochemistry; no assay failure rate, panel content or turnaround expectation is given, so the recommendation is strong on process and silent on feasibility</w:t>
            </w:r>
          </w:p>
          <w:p>
            <w:pPr>
              <w:pStyle w:val="ListParagraph"/>
              <w:numPr>
                <w:ilvl w:val="0"/>
                <w:numId w:val="2"/>
              </w:numPr>
              <w:spacing w:after="45"/>
            </w:pPr>
            <w:r>
              <w:rPr>
                <w:sz w:val="15"/>
                <w:szCs w:val="15"/>
              </w:rPr>
              <w:t xml:space="preserve">Resection is restricted to high-volume centres with full supporting services as a STRONG recommendation on moderate evidence, with no volume threshold stated, which makes the recommendation unauditable</w:t>
            </w:r>
          </w:p>
          <w:p>
            <w:pPr>
              <w:pStyle w:val="ListParagraph"/>
              <w:numPr>
                <w:ilvl w:val="0"/>
                <w:numId w:val="2"/>
              </w:numPr>
              <w:spacing w:after="45"/>
            </w:pPr>
            <w:r>
              <w:rPr>
                <w:sz w:val="15"/>
                <w:szCs w:val="15"/>
              </w:rPr>
              <w:t xml:space="preserve">FDG-PET/CT is recommended for all nodal and distant staging as STRONG on moderate evidence, with no sensitivity, specificity or change-in-management data supplied in the recommendation text</w:t>
            </w:r>
          </w:p>
          <w:p>
            <w:pPr>
              <w:pStyle w:val="ListParagraph"/>
              <w:numPr>
                <w:ilvl w:val="0"/>
                <w:numId w:val="2"/>
              </w:numPr>
              <w:spacing w:after="45"/>
            </w:pPr>
            <w:r>
              <w:rPr>
                <w:sz w:val="15"/>
                <w:szCs w:val="15"/>
              </w:rPr>
              <w:t xml:space="preserve">Perihilar transplantation under 3 cm is given a MODERATE recommendation on the basis that it gives long-term disease-free survival, a statement of fact about outcomes rather than a comparison with resection, and the 3 cm figure is carried across to the iCCA discussion by proximity rather than by evidence</w:t>
            </w:r>
          </w:p>
          <w:p>
            <w:pPr>
              <w:pStyle w:val="ListParagraph"/>
              <w:numPr>
                <w:ilvl w:val="0"/>
                <w:numId w:val="2"/>
              </w:numPr>
              <w:spacing w:after="45"/>
            </w:pPr>
            <w:r>
              <w:rPr>
                <w:sz w:val="15"/>
                <w:szCs w:val="15"/>
              </w:rPr>
              <w:t xml:space="preserve">No linked editorial or comment was found in PubMed; the only linked item is a 2025 Gut letter naming the Guidelines Development Group (PMID 39160057), so no independent appraisal of the recommendations exists in the citation record</w:t>
            </w:r>
          </w:p>
        </w:tc>
      </w:tr>
    </w:tbl>
    <w:p>
      <w:pPr>
        <w:spacing w:after="0" w:line="276"/>
      </w:pPr>
      <w:r>
        <w:rPr>
          <w:color w:val="5A6069"/>
          <w:sz w:val="14"/>
          <w:szCs w:val="14"/>
        </w:rPr>
        <w:t xml:space="preserve">Funding: The authors declare no specific grant from any public, commercial or not-for-profit funding agency and no competing interests; the guidelines were not commissioned and were externally peer reviewed</w:t>
      </w:r>
    </w:p>
    <w:p>
      <w:pPr>
        <w:keepNext/>
        <w:spacing w:after="50" w:before="260"/>
      </w:pPr>
      <w:r>
        <w:rPr>
          <w:rFonts w:ascii="Cambria" w:cs="Cambria" w:eastAsia="Cambria" w:hAnsi="Cambria"/>
          <w:b/>
          <w:bCs/>
          <w:color w:val="17365D"/>
          <w:sz w:val="20"/>
          <w:szCs w:val="20"/>
        </w:rPr>
        <w:t xml:space="preserve">ClarIDHy</w:t>
      </w:r>
      <w:r>
        <w:rPr>
          <w:b/>
          <w:bCs/>
          <w:color w:val="176A87"/>
          <w:sz w:val="15"/>
          <w:szCs w:val="15"/>
        </w:rPr>
        <w:t xml:space="preserve">   Randomised trial</w:t>
      </w:r>
      <w:r>
        <w:rPr>
          <w:color w:val="5A6069"/>
          <w:sz w:val="15"/>
          <w:szCs w:val="15"/>
        </w:rPr>
        <w:t xml:space="preserve">   PMID 34554208</w:t>
      </w:r>
    </w:p>
    <w:p>
      <w:pPr>
        <w:spacing w:after="50" w:line="276"/>
      </w:pPr>
      <w:r>
        <w:rPr>
          <w:color w:val="5A6069"/>
          <w:sz w:val="17"/>
          <w:szCs w:val="17"/>
        </w:rPr>
        <w:t xml:space="preserve">Final Overall Survival Efficacy Results of Ivosidenib for Patients With Advanced Cholangiocarcinoma With IDH1 Mutation: The Phase 3 Randomized Clinical ClarIDHy Trial</w:t>
      </w:r>
    </w:p>
    <w:p>
      <w:pPr>
        <w:spacing w:after="50"/>
      </w:pPr>
      <w:r>
        <w:rPr>
          <w:b/>
          <w:bCs/>
          <w:color w:val="176A87"/>
          <w:sz w:val="16"/>
          <w:szCs w:val="16"/>
        </w:rPr>
        <w:t xml:space="preserve">Population. </w:t>
      </w:r>
      <w:r>
        <w:rPr>
          <w:sz w:val="16"/>
          <w:szCs w:val="16"/>
        </w:rPr>
        <w:t xml:space="preserve">187 patients with unresectable or metastatic IDH1-mutant cholangiocarcinoma randomised 2:1 at 49 hospitals in six countries between February 2017 and May 2020, 126 ivosidenib and 61 placebo; 171 of 187 (over 90%) had intrahepatic disease, 93% were metastatic, 47% had had two prior lines and 70% carried IDH1 R132C</w:t>
      </w:r>
    </w:p>
    <w:p>
      <w:pPr>
        <w:spacing w:after="70"/>
      </w:pPr>
      <w:r>
        <w:rPr>
          <w:b/>
          <w:bCs/>
          <w:color w:val="17365D"/>
          <w:sz w:val="16"/>
          <w:szCs w:val="16"/>
        </w:rPr>
        <w:t xml:space="preserve">Bottom line. </w:t>
      </w:r>
      <w:r>
        <w:rPr>
          <w:sz w:val="16"/>
          <w:szCs w:val="16"/>
        </w:rPr>
        <w:t xml:space="preserve">This is the final overall survival report of ClarIDHy and the reason ivosidenib is used in IDH1-mutant cholangiocarcinoma: median survival 10.3 against 7.5 months with preserved physical functioning and a tolerable safety profile. The survival endpoint was not met as randomised, HR 0.79 (0.56-1.12), P = .09, and the significant figure requires a crossover-adjustment model in a trial where 70% of controls crossed over. Response was 2%, so nothing here suggests the drug can convert unresectable disease.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treatment effect estimate on the primary overall survival analysis was very likely confounded by the allowance of crossover, which was built in on the advice of patient advocacy groups and clinicians to support accrual in a rare biomarker-selected population</w:t>
            </w:r>
          </w:p>
          <w:p>
            <w:pPr>
              <w:pStyle w:val="ListParagraph"/>
              <w:numPr>
                <w:ilvl w:val="0"/>
                <w:numId w:val="2"/>
              </w:numPr>
              <w:spacing w:after="45"/>
            </w:pPr>
            <w:r>
              <w:rPr>
                <w:sz w:val="15"/>
                <w:szCs w:val="15"/>
              </w:rPr>
              <w:t xml:space="preserve">Quality-of-life analyses were limited by small sample sizes at day 1 of cycle 2 and cycle 3, partly because of rapid progression and withdrawal</w:t>
            </w:r>
          </w:p>
          <w:p>
            <w:pPr>
              <w:pStyle w:val="ListParagraph"/>
              <w:numPr>
                <w:ilvl w:val="0"/>
                <w:numId w:val="2"/>
              </w:numPr>
              <w:spacing w:after="45"/>
            </w:pPr>
            <w:r>
              <w:rPr>
                <w:sz w:val="15"/>
                <w:szCs w:val="15"/>
              </w:rPr>
              <w:t xml:space="preserve">The comutation analysis was limited by the absence of on-study biopsies, so resistance mechanisms are unknown and are being pursued in separate circulating tumour DNA studies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final intention-to-treat overall survival result is negative, HR 0.79 (0.56-1.12), one-sided P = .09 on 150 events, and the positive claim comes entirely from a rank-preserving structural failure time model that assumes the drug's effect is identical whenever it is given</w:t>
            </w:r>
          </w:p>
          <w:p>
            <w:pPr>
              <w:pStyle w:val="ListParagraph"/>
              <w:numPr>
                <w:ilvl w:val="0"/>
                <w:numId w:val="2"/>
              </w:numPr>
              <w:spacing w:after="45"/>
            </w:pPr>
            <w:r>
              <w:rPr>
                <w:sz w:val="15"/>
                <w:szCs w:val="15"/>
              </w:rPr>
              <w:t xml:space="preserve">The model-derived placebo median of 5.1 months is 2.4 months shorter than the 7.5 months actually observed, so the adjusted comparison replaces measured survival in the control arm with an estimate generated under the assumption being tested</w:t>
            </w:r>
          </w:p>
          <w:p>
            <w:pPr>
              <w:pStyle w:val="ListParagraph"/>
              <w:numPr>
                <w:ilvl w:val="0"/>
                <w:numId w:val="2"/>
              </w:numPr>
              <w:spacing w:after="45"/>
            </w:pPr>
            <w:r>
              <w:rPr>
                <w:sz w:val="15"/>
                <w:szCs w:val="15"/>
              </w:rPr>
              <w:t xml:space="preserve">70% of placebo patients, 43 of 61, crossed over; a design that routes the majority of controls onto the experimental drug cannot answer a survival question, and the paper describes this trade-off as supporting accrual rather than as removing the endpoint</w:t>
            </w:r>
          </w:p>
          <w:p>
            <w:pPr>
              <w:pStyle w:val="ListParagraph"/>
              <w:numPr>
                <w:ilvl w:val="0"/>
                <w:numId w:val="2"/>
              </w:numPr>
              <w:spacing w:after="45"/>
            </w:pPr>
            <w:r>
              <w:rPr>
                <w:sz w:val="15"/>
                <w:szCs w:val="15"/>
              </w:rPr>
              <w:t xml:space="preserve">Objective response was 2%, three partial responses, and the clinical signal is 51% against 28% stable disease, a category whose size depends on the scan interval; median treatment duration was 2.8 against 1.6 months</w:t>
            </w:r>
          </w:p>
          <w:p>
            <w:pPr>
              <w:pStyle w:val="ListParagraph"/>
              <w:numPr>
                <w:ilvl w:val="0"/>
                <w:numId w:val="2"/>
              </w:numPr>
              <w:spacing w:after="45"/>
            </w:pPr>
            <w:r>
              <w:rPr>
                <w:sz w:val="15"/>
                <w:szCs w:val="15"/>
              </w:rPr>
              <w:t xml:space="preserve">The comparator is placebo rather than the second-line standard established by ABC-06, so the trial establishes activity against nothing and not benefit against what a patient would otherwise be offered</w:t>
            </w:r>
          </w:p>
          <w:p>
            <w:pPr>
              <w:pStyle w:val="ListParagraph"/>
              <w:numPr>
                <w:ilvl w:val="0"/>
                <w:numId w:val="2"/>
              </w:numPr>
              <w:spacing w:after="45"/>
            </w:pPr>
            <w:r>
              <w:rPr>
                <w:sz w:val="15"/>
                <w:szCs w:val="15"/>
              </w:rPr>
              <w:t xml:space="preserve">Quality-of-life differences of 11.0 and 12.3 points are reported with P values from timepoints where, in the companion primary publication, fewer than half the placebo patients contributed data; the patients who felt worst progressed and left the study, which biases a between-arm comparison of those who remained</w:t>
            </w:r>
          </w:p>
          <w:p>
            <w:pPr>
              <w:pStyle w:val="ListParagraph"/>
              <w:numPr>
                <w:ilvl w:val="0"/>
                <w:numId w:val="2"/>
              </w:numPr>
              <w:spacing w:after="45"/>
            </w:pPr>
            <w:r>
              <w:rPr>
                <w:sz w:val="15"/>
                <w:szCs w:val="15"/>
              </w:rPr>
              <w:t xml:space="preserve">Baseline ascites was present in 27% and 21% of the arms, so the commonest grade 3 or worse event, ascites in 9% against 7%, is largely a disease event and the safety comparison carries almost no information about the drug</w:t>
            </w:r>
          </w:p>
          <w:p>
            <w:pPr>
              <w:pStyle w:val="ListParagraph"/>
              <w:numPr>
                <w:ilvl w:val="0"/>
                <w:numId w:val="2"/>
              </w:numPr>
              <w:spacing w:after="45"/>
            </w:pPr>
            <w:r>
              <w:rPr>
                <w:sz w:val="15"/>
                <w:szCs w:val="15"/>
              </w:rPr>
              <w:t xml:space="preserve">Protocol deviations are visible in the baseline data, with one ivosidenib patient at ECOG performance status 3 and one placebo patient at 2 against a stated requirement of 0 to 1, and these are not addressed in the analysis</w:t>
            </w:r>
          </w:p>
          <w:p>
            <w:pPr>
              <w:pStyle w:val="ListParagraph"/>
              <w:numPr>
                <w:ilvl w:val="0"/>
                <w:numId w:val="2"/>
              </w:numPr>
              <w:spacing w:after="45"/>
            </w:pPr>
            <w:r>
              <w:rPr>
                <w:sz w:val="15"/>
                <w:szCs w:val="15"/>
              </w:rPr>
              <w:t xml:space="preserve">The 10.3-month median survival is said to compare favourably with the published literature on chemotherapy and other targeted agents, a cross-trial comparison made in place of the randomised comparison the trial could not deliver</w:t>
            </w:r>
          </w:p>
          <w:p>
            <w:pPr>
              <w:pStyle w:val="ListParagraph"/>
              <w:numPr>
                <w:ilvl w:val="0"/>
                <w:numId w:val="2"/>
              </w:numPr>
              <w:spacing w:after="45"/>
            </w:pPr>
            <w:r>
              <w:rPr>
                <w:sz w:val="15"/>
                <w:szCs w:val="15"/>
              </w:rPr>
              <w:t xml:space="preserve">Only 15% of patients remained on ivosidenib for a year, so the benefit as experienced by most patients is a few weeks of radiographic stability</w:t>
            </w:r>
          </w:p>
          <w:p>
            <w:pPr>
              <w:pStyle w:val="ListParagraph"/>
              <w:numPr>
                <w:ilvl w:val="0"/>
                <w:numId w:val="2"/>
              </w:numPr>
              <w:spacing w:after="45"/>
            </w:pPr>
            <w:r>
              <w:rPr>
                <w:sz w:val="15"/>
                <w:szCs w:val="15"/>
              </w:rPr>
              <w:t xml:space="preserve">Agios designed the trial and analysed the data for its own drug, with company employees and stockholders as authors and no independent statistical replication described</w:t>
            </w:r>
          </w:p>
          <w:p>
            <w:pPr>
              <w:pStyle w:val="ListParagraph"/>
              <w:numPr>
                <w:ilvl w:val="0"/>
                <w:numId w:val="2"/>
              </w:numPr>
              <w:spacing w:after="45"/>
            </w:pPr>
            <w:r>
              <w:rPr>
                <w:sz w:val="15"/>
                <w:szCs w:val="15"/>
              </w:rPr>
              <w:t xml:space="preserve">The paper describes its own findings as heralding a paradigm shift in the same paragraph that concedes the primary survival analysis was confounded</w:t>
            </w:r>
          </w:p>
          <w:p>
            <w:pPr>
              <w:pStyle w:val="ListParagraph"/>
              <w:numPr>
                <w:ilvl w:val="0"/>
                <w:numId w:val="2"/>
              </w:numPr>
              <w:spacing w:after="45"/>
            </w:pPr>
            <w:r>
              <w:rPr>
                <w:sz w:val="15"/>
                <w:szCs w:val="15"/>
              </w:rPr>
              <w:t xml:space="preserve">Linked commentary and correspondence on the ClarIDHy primary report (de la Fouchardiere, PMID 32416071; Gervaso, Pellicori and Fazio, PMID 32758465) were paywalled and not read; the cost-effectiveness point attributed to them is second-hand and should be treated as provisional</w:t>
            </w:r>
          </w:p>
        </w:tc>
      </w:tr>
    </w:tbl>
    <w:p>
      <w:pPr>
        <w:spacing w:after="0" w:line="276"/>
      </w:pPr>
      <w:r>
        <w:rPr>
          <w:color w:val="5A6069"/>
          <w:sz w:val="14"/>
          <w:szCs w:val="14"/>
        </w:rPr>
        <w:t xml:space="preserve">Funding: Agios Pharmaceuticals, which designed the study and analysed the data and funded the medical writing; several authors were Agios employees or stockholders and the academic authors declare extensive consultancies and research funding across the industry</w:t>
      </w:r>
    </w:p>
    <w:p>
      <w:pPr>
        <w:keepNext/>
        <w:spacing w:after="50" w:before="260"/>
      </w:pPr>
      <w:r>
        <w:rPr>
          <w:rFonts w:ascii="Cambria" w:cs="Cambria" w:eastAsia="Cambria" w:hAnsi="Cambria"/>
          <w:b/>
          <w:bCs/>
          <w:color w:val="17365D"/>
          <w:sz w:val="20"/>
          <w:szCs w:val="20"/>
        </w:rPr>
        <w:t xml:space="preserve">de Vries 2020</w:t>
      </w:r>
      <w:r>
        <w:rPr>
          <w:b/>
          <w:bCs/>
          <w:color w:val="176A87"/>
          <w:sz w:val="15"/>
          <w:szCs w:val="15"/>
        </w:rPr>
        <w:t xml:space="preserve">   cohort</w:t>
      </w:r>
      <w:r>
        <w:rPr>
          <w:color w:val="5A6069"/>
          <w:sz w:val="15"/>
          <w:szCs w:val="15"/>
        </w:rPr>
        <w:t xml:space="preserve">   PMID 31858509</w:t>
      </w:r>
    </w:p>
    <w:p>
      <w:pPr>
        <w:spacing w:after="50" w:line="276"/>
      </w:pPr>
      <w:r>
        <w:rPr>
          <w:color w:val="5A6069"/>
          <w:sz w:val="17"/>
          <w:szCs w:val="17"/>
        </w:rPr>
        <w:t xml:space="preserve">Limited diagnostic accuracy and clinical impact of single-operator peroral cholangioscopy for indeterminate biliary strictures</w:t>
      </w:r>
    </w:p>
    <w:p>
      <w:pPr>
        <w:spacing w:after="50"/>
      </w:pPr>
      <w:r>
        <w:rPr>
          <w:b/>
          <w:bCs/>
          <w:color w:val="176A87"/>
          <w:sz w:val="16"/>
          <w:szCs w:val="16"/>
        </w:rPr>
        <w:t xml:space="preserve">Population. </w:t>
      </w:r>
      <w:r>
        <w:rPr>
          <w:sz w:val="16"/>
          <w:szCs w:val="16"/>
        </w:rPr>
        <w:t xml:space="preserve">80 patients with indeterminate biliary strictures who underwent single-operator peroral cholangioscopy at one Dutch tertiary centre between November 2007 and September 2018, from 185 cholangioscopies and 86 performed for that indication: 32 (40%) with primary sclerosing cholangitis, 36 (45%) with hilar strictures and 22 (28%) with a malignant final diagnosis; targeted biopsies were taken in 57 and brush cytology performed in 58</w:t>
      </w:r>
    </w:p>
    <w:p>
      <w:pPr>
        <w:spacing w:after="70"/>
      </w:pPr>
      <w:r>
        <w:rPr>
          <w:b/>
          <w:bCs/>
          <w:color w:val="17365D"/>
          <w:sz w:val="16"/>
          <w:szCs w:val="16"/>
        </w:rPr>
        <w:t xml:space="preserve">Bottom line. </w:t>
      </w:r>
      <w:r>
        <w:rPr>
          <w:sz w:val="16"/>
          <w:szCs w:val="16"/>
        </w:rPr>
        <w:t xml:space="preserve">In 80 patients with indeterminate strictures, 40% of them with primary sclerosing cholangitis and 45% hilar, single-operator cholangioscopy performed worse than the brush cytology taken at the same procedure: visual impression 64% sensitive and 62% specific, targeted biopsy 15% and 65%, brush cytology 47% and 95%, and the result changed management in 17%. The low biopsy figure is largely specimen failure rather than misreading, since 33% of biopsies were inconclusive on a median of three and excluding them raises specificity to 95.6% while sensitivity reaches only 21.4%, and the three tests were computed on three different overlapping subsets with no paired comparison. It is the strongest published warning that cholangioscopy's reported accuracy, most of it from first-generation devices in cohorts with little primary sclerosing cholangitis, does not transfer to a stented PSC population.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Data were gathered over an extended period with two generations of cholangioscope, the majority of procedures using the lower-resolution first-generation device, which could have lowered diagnostic accuracy for both visual assessment and targeted biopsies; the authors note that the perceived value of the technique is itself largely based on first-generation studies</w:t>
            </w:r>
          </w:p>
          <w:p>
            <w:pPr>
              <w:pStyle w:val="ListParagraph"/>
              <w:numPr>
                <w:ilvl w:val="0"/>
                <w:numId w:val="2"/>
              </w:numPr>
              <w:spacing w:after="45"/>
            </w:pPr>
            <w:r>
              <w:rPr>
                <w:sz w:val="15"/>
                <w:szCs w:val="15"/>
              </w:rPr>
              <w:t xml:space="preserve">Endoscopists and pathologists were not blinded to previous diagnostic results, which could have influenced their assessment of visual features and tissue samples, although the authors would expect non-blinding to raise rather than lower accuracy</w:t>
            </w:r>
          </w:p>
          <w:p>
            <w:pPr>
              <w:pStyle w:val="ListParagraph"/>
              <w:numPr>
                <w:ilvl w:val="0"/>
                <w:numId w:val="2"/>
              </w:numPr>
              <w:spacing w:after="45"/>
            </w:pPr>
            <w:r>
              <w:rPr>
                <w:sz w:val="15"/>
                <w:szCs w:val="15"/>
              </w:rPr>
              <w:t xml:space="preserve">A plastic stent was removed immediately before cholangioscopy in 55%, a potential confounder for visual impression, targeted biopsies and brush cytology; the authors believe stent friction produces epithelial change and neovascularisation mistaken for neoplasia, and concede that the same manoeuvre or the biopsies may have raised the yield of the brush cytology taken afterwards</w:t>
            </w:r>
          </w:p>
          <w:p>
            <w:pPr>
              <w:pStyle w:val="ListParagraph"/>
              <w:numPr>
                <w:ilvl w:val="0"/>
                <w:numId w:val="2"/>
              </w:numPr>
              <w:spacing w:after="45"/>
            </w:pPr>
            <w:r>
              <w:rPr>
                <w:sz w:val="15"/>
                <w:szCs w:val="15"/>
              </w:rPr>
              <w:t xml:space="preserve">The tertiary referral setting carries a risk of selection bias that could have reduced the apparent accuracy, and the prevalence of primary sclerosing cholangitis at 40% is high, with visual assessment performing worst in that subgroup</w:t>
            </w:r>
          </w:p>
          <w:p>
            <w:pPr>
              <w:pStyle w:val="ListParagraph"/>
              <w:numPr>
                <w:ilvl w:val="0"/>
                <w:numId w:val="2"/>
              </w:numPr>
              <w:spacing w:after="45"/>
            </w:pPr>
            <w:r>
              <w:rPr>
                <w:sz w:val="15"/>
                <w:szCs w:val="15"/>
              </w:rPr>
              <w:t xml:space="preserve">A median of three biopsies with 33% inconclusive is the likely explanation for the low biopsy sensitivity; series reporting under 6% inconclusive took at least four biopsies, so the authors recommend a minimum of four, ideally with a pathologist on site</w:t>
            </w:r>
          </w:p>
          <w:p>
            <w:pPr>
              <w:pStyle w:val="ListParagraph"/>
              <w:numPr>
                <w:ilvl w:val="0"/>
                <w:numId w:val="2"/>
              </w:numPr>
              <w:spacing w:after="45"/>
            </w:pPr>
            <w:r>
              <w:rPr>
                <w:sz w:val="15"/>
                <w:szCs w:val="15"/>
              </w:rPr>
              <w:t xml:space="preserve">The reference standard allowed only 6 months of benign follow-up, which may misclassify indolent cholangiocarcinoma</w:t>
            </w:r>
          </w:p>
          <w:p>
            <w:pPr>
              <w:pStyle w:val="ListParagraph"/>
              <w:numPr>
                <w:ilvl w:val="0"/>
                <w:numId w:val="2"/>
              </w:numPr>
              <w:spacing w:after="45"/>
            </w:pPr>
            <w:r>
              <w:rPr>
                <w:sz w:val="15"/>
                <w:szCs w:val="15"/>
              </w:rPr>
              <w:t xml:space="preserve">No validated criteria for cholangioscopic visual assessment exist, and the criteria for pathological assessment and the processing of targeted biopsies are poorly reported in the comparison literature</w:t>
            </w:r>
          </w:p>
          <w:p>
            <w:pPr>
              <w:pStyle w:val="ListParagraph"/>
              <w:numPr>
                <w:ilvl w:val="0"/>
                <w:numId w:val="2"/>
              </w:numPr>
              <w:spacing w:after="45"/>
            </w:pPr>
            <w:r>
              <w:rPr>
                <w:sz w:val="15"/>
                <w:szCs w:val="15"/>
              </w:rPr>
              <w:t xml:space="preserve">The adverse event rate of 13% sits inside a reported range of 2.8% to 21.4% that reflects differences in definition and registration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three tests are compared on three different and only partly overlapping subsets, visual impression in 80 patients, targeted biopsies in 57 and brush cytology in 58, with no paired statistical test anywhere, so the headline conclusion that brush cytology is superior rests on an unpaired comparison</w:t>
            </w:r>
          </w:p>
          <w:p>
            <w:pPr>
              <w:pStyle w:val="ListParagraph"/>
              <w:numPr>
                <w:ilvl w:val="0"/>
                <w:numId w:val="2"/>
              </w:numPr>
              <w:spacing w:after="45"/>
            </w:pPr>
            <w:r>
              <w:rPr>
                <w:sz w:val="15"/>
                <w:szCs w:val="15"/>
              </w:rPr>
              <w:t xml:space="preserve">Biopsy sensitivity is 15% with a 95% interval of 0% to 31%, so it is not distinguishable from nil, and the positive predictive value of 75% rests on 3 true positives and 1 false positive</w:t>
            </w:r>
          </w:p>
          <w:p>
            <w:pPr>
              <w:pStyle w:val="ListParagraph"/>
              <w:numPr>
                <w:ilvl w:val="0"/>
                <w:numId w:val="2"/>
              </w:numPr>
              <w:spacing w:after="45"/>
            </w:pPr>
            <w:r>
              <w:rPr>
                <w:sz w:val="15"/>
                <w:szCs w:val="15"/>
              </w:rPr>
              <w:t xml:space="preserve">The intention-to-diagnose analysis counts the 18 inconclusive biopsies (33%) as errors, which is what produces the 65% specificity; excluding them raises specificity to 95.6% while sensitivity reaches only 21.4%, so the headline numbers are driven by specimen failure rather than by misreading, a distinction the conclusion does not preserve</w:t>
            </w:r>
          </w:p>
          <w:p>
            <w:pPr>
              <w:pStyle w:val="ListParagraph"/>
              <w:numPr>
                <w:ilvl w:val="0"/>
                <w:numId w:val="2"/>
              </w:numPr>
              <w:spacing w:after="45"/>
            </w:pPr>
            <w:r>
              <w:rPr>
                <w:sz w:val="15"/>
                <w:szCs w:val="15"/>
              </w:rPr>
              <w:t xml:space="preserve">The number of biopsies was recorded in only 43 of 57 patients, so the median of three on which the sampling explanation rests is itself incomplete, and the recommendation of at least four biopsies comes from other series and from a non-significant trend in the 14 second-generation patients</w:t>
            </w:r>
          </w:p>
          <w:p>
            <w:pPr>
              <w:pStyle w:val="ListParagraph"/>
              <w:numPr>
                <w:ilvl w:val="0"/>
                <w:numId w:val="2"/>
              </w:numPr>
              <w:spacing w:after="45"/>
            </w:pPr>
            <w:r>
              <w:rPr>
                <w:sz w:val="15"/>
                <w:szCs w:val="15"/>
              </w:rPr>
              <w:t xml:space="preserve">Clinical impact was adjudicated retrospectively from the medical records by a single unblinded reviewer, the first author, against three categories he defined, with no second reviewer and no agreement statistic; the resulting 17% is then set against Chen's 64%, which is a comparison of two differently constructed adjudications</w:t>
            </w:r>
          </w:p>
          <w:p>
            <w:pPr>
              <w:pStyle w:val="ListParagraph"/>
              <w:numPr>
                <w:ilvl w:val="0"/>
                <w:numId w:val="2"/>
              </w:numPr>
              <w:spacing w:after="45"/>
            </w:pPr>
            <w:r>
              <w:rPr>
                <w:sz w:val="15"/>
                <w:szCs w:val="15"/>
              </w:rPr>
              <w:t xml:space="preserve">Twenty-six of 80 patients (33%) died during follow-up with no cause given per patient, while benign classification required only 6 months without malignant features, so a patient who died early without resection could be counted benign</w:t>
            </w:r>
          </w:p>
          <w:p>
            <w:pPr>
              <w:pStyle w:val="ListParagraph"/>
              <w:numPr>
                <w:ilvl w:val="0"/>
                <w:numId w:val="2"/>
              </w:numPr>
              <w:spacing w:after="45"/>
            </w:pPr>
            <w:r>
              <w:rPr>
                <w:sz w:val="15"/>
                <w:szCs w:val="15"/>
              </w:rPr>
              <w:t xml:space="preserve">Two patients with suspected cholangiocarcinoma but no definitive pathological diagnosis or resection are counted as malignant, so both arms of the reference standard rest partly on clinical judgement</w:t>
            </w:r>
          </w:p>
          <w:p>
            <w:pPr>
              <w:pStyle w:val="ListParagraph"/>
              <w:numPr>
                <w:ilvl w:val="0"/>
                <w:numId w:val="2"/>
              </w:numPr>
              <w:spacing w:after="45"/>
            </w:pPr>
            <w:r>
              <w:rPr>
                <w:sz w:val="15"/>
                <w:szCs w:val="15"/>
              </w:rPr>
              <w:t xml:space="preserve">Where the 4 premalignant lesions sit in the 2x2 tables is never stated: the tables use 22 malignant and 58 benign while the aetiology table lists 22 malignant plus 4 premalignant</w:t>
            </w:r>
          </w:p>
          <w:p>
            <w:pPr>
              <w:pStyle w:val="ListParagraph"/>
              <w:numPr>
                <w:ilvl w:val="0"/>
                <w:numId w:val="2"/>
              </w:numPr>
              <w:spacing w:after="45"/>
            </w:pPr>
            <w:r>
              <w:rPr>
                <w:sz w:val="15"/>
                <w:szCs w:val="15"/>
              </w:rPr>
              <w:t xml:space="preserve">Neovascularisation, the feature the authors identify as most affected by stents, is reported descriptively (12 of 22 malignant, 16 of 58 benign) with no accuracy calculation and no statistical test of the stent association (20 of 28 patients with neovascularisation had a stent removed, against 24 of 52 without)</w:t>
            </w:r>
          </w:p>
          <w:p>
            <w:pPr>
              <w:pStyle w:val="ListParagraph"/>
              <w:numPr>
                <w:ilvl w:val="0"/>
                <w:numId w:val="2"/>
              </w:numPr>
              <w:spacing w:after="45"/>
            </w:pPr>
            <w:r>
              <w:rPr>
                <w:sz w:val="15"/>
                <w:szCs w:val="15"/>
              </w:rPr>
              <w:t xml:space="preserve">The two explanations the paper offers for its negative result, the primary sclerosing cholangitis subgroup and the second-generation device, are both in supplementary tables, as are the likelihood ratios, so neither can be checked against the published text</w:t>
            </w:r>
          </w:p>
          <w:p>
            <w:pPr>
              <w:pStyle w:val="ListParagraph"/>
              <w:numPr>
                <w:ilvl w:val="0"/>
                <w:numId w:val="2"/>
              </w:numPr>
              <w:spacing w:after="45"/>
            </w:pPr>
            <w:r>
              <w:rPr>
                <w:sz w:val="15"/>
                <w:szCs w:val="15"/>
              </w:rPr>
              <w:t xml:space="preserve">Table 4 sets this study's 64%/62% and 15%/65% against twelve prior series reporting visual sensitivity of 78% to 100% and biopsy sensitivity of 43% to 88%, but several of those series do not state their primary sclerosing cholangitis prevalence and one excluded it, so the comparison that frames this result as an outlier is not matched on the variable the authors blame</w:t>
            </w:r>
          </w:p>
          <w:p>
            <w:pPr>
              <w:pStyle w:val="ListParagraph"/>
              <w:numPr>
                <w:ilvl w:val="0"/>
                <w:numId w:val="2"/>
              </w:numPr>
              <w:spacing w:after="45"/>
            </w:pPr>
            <w:r>
              <w:rPr>
                <w:sz w:val="15"/>
                <w:szCs w:val="15"/>
              </w:rPr>
              <w:t xml:space="preserve">Over 11 years, 86 cholangioscopies for this indication were performed by three endoscopists, roughly eight a year for the whole unit, and no per-operator results are given for a procedure the paper itself says requires expertise</w:t>
            </w:r>
          </w:p>
          <w:p>
            <w:pPr>
              <w:pStyle w:val="ListParagraph"/>
              <w:numPr>
                <w:ilvl w:val="0"/>
                <w:numId w:val="2"/>
              </w:numPr>
              <w:spacing w:after="45"/>
            </w:pPr>
            <w:r>
              <w:rPr>
                <w:sz w:val="15"/>
                <w:szCs w:val="15"/>
              </w:rPr>
              <w:t xml:space="preserve">A cardiac arrest during cholangioscopy followed by a stroke is counted inside the 13% adverse-event total but sits outside the three events labelled serious, so the stated serious-event rate of 4% excludes the most severe event recorded</w:t>
            </w:r>
          </w:p>
          <w:p>
            <w:pPr>
              <w:pStyle w:val="ListParagraph"/>
              <w:numPr>
                <w:ilvl w:val="0"/>
                <w:numId w:val="2"/>
              </w:numPr>
              <w:spacing w:after="45"/>
            </w:pPr>
            <w:r>
              <w:rPr>
                <w:sz w:val="15"/>
                <w:szCs w:val="15"/>
              </w:rPr>
              <w:t xml:space="preserve">Both false-positive brush cytology results occurred in non-PSC patients with a plastic stent removed before the procedure, that is by the same mechanism the authors invoke to explain cholangioscopy's false positives, and the comparator is nonetheless presented as superior</w:t>
            </w:r>
          </w:p>
          <w:p>
            <w:pPr>
              <w:pStyle w:val="ListParagraph"/>
              <w:numPr>
                <w:ilvl w:val="0"/>
                <w:numId w:val="2"/>
              </w:numPr>
              <w:spacing w:after="45"/>
            </w:pPr>
            <w:r>
              <w:rPr>
                <w:sz w:val="15"/>
                <w:szCs w:val="15"/>
              </w:rPr>
              <w:t xml:space="preserve">Cost is quoted at 4680 euros per patient from a single external reference with no local costing and no cost-effectiveness analysis, while the conclusion advises against adopting the technique as standard of care</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No funding statement; the authors declare that they have no conflict of interest, and no additional institutional review board permission was required because the study was retrospective</w:t>
      </w:r>
    </w:p>
    <w:p>
      <w:pPr>
        <w:keepNext/>
        <w:spacing w:after="50" w:before="260"/>
      </w:pPr>
      <w:r>
        <w:rPr>
          <w:rFonts w:ascii="Cambria" w:cs="Cambria" w:eastAsia="Cambria" w:hAnsi="Cambria"/>
          <w:b/>
          <w:bCs/>
          <w:color w:val="17365D"/>
          <w:sz w:val="20"/>
          <w:szCs w:val="20"/>
        </w:rPr>
        <w:t xml:space="preserve">DRAINAGE</w:t>
      </w:r>
      <w:r>
        <w:rPr>
          <w:b/>
          <w:bCs/>
          <w:color w:val="176A87"/>
          <w:sz w:val="15"/>
          <w:szCs w:val="15"/>
        </w:rPr>
        <w:t xml:space="preserve">   Randomised trial</w:t>
      </w:r>
      <w:r>
        <w:rPr>
          <w:color w:val="5A6069"/>
          <w:sz w:val="15"/>
          <w:szCs w:val="15"/>
        </w:rPr>
        <w:t xml:space="preserve">   PMID 30122355</w:t>
      </w:r>
    </w:p>
    <w:p>
      <w:pPr>
        <w:spacing w:after="50" w:line="276"/>
      </w:pPr>
      <w:r>
        <w:rPr>
          <w:color w:val="5A6069"/>
          <w:sz w:val="17"/>
          <w:szCs w:val="17"/>
        </w:rPr>
        <w:t xml:space="preserve">Endoscopic versus percutaneous biliary drainage in patients with resectable perihilar cholangiocarcinoma: a multicentre, randomised controlled trial</w:t>
      </w:r>
    </w:p>
    <w:p>
      <w:pPr>
        <w:spacing w:after="50"/>
      </w:pPr>
      <w:r>
        <w:rPr>
          <w:b/>
          <w:bCs/>
          <w:color w:val="176A87"/>
          <w:sz w:val="16"/>
          <w:szCs w:val="16"/>
        </w:rPr>
        <w:t xml:space="preserve">Population. </w:t>
      </w:r>
      <w:r>
        <w:rPr>
          <w:sz w:val="16"/>
          <w:szCs w:val="16"/>
        </w:rPr>
        <w:t xml:space="preserve">54 patients with potentially resectable perihilar cholangiocarcinoma requiring major hepatectomy and with biliary obstruction of the future liver remnant (bilirubin above 50 micromol/L), randomised 1:1 to endoscopic or percutaneous transhepatic drainage at four Dutch academic centres between 26 September 2013 and 29 April 2016, out of 261 screened and against a planned 106; 42 reached exploratory laparotomy and 23 resection</w:t>
      </w:r>
    </w:p>
    <w:p>
      <w:pPr>
        <w:spacing w:after="70"/>
      </w:pPr>
      <w:r>
        <w:rPr>
          <w:b/>
          <w:bCs/>
          <w:color w:val="17365D"/>
          <w:sz w:val="16"/>
          <w:szCs w:val="16"/>
        </w:rPr>
        <w:t xml:space="preserve">Bottom line. </w:t>
      </w:r>
      <w:r>
        <w:rPr>
          <w:sz w:val="16"/>
          <w:szCs w:val="16"/>
        </w:rPr>
        <w:t xml:space="preserve">DRAINAGE is the only completed randomised comparison of endoscopic and percutaneous drainage before resection of perihilar cholangiocarcinoma, and it was negative on its primary endpoint: severe drainage-related complications in 67% of the endoscopic and 63% of the percutaneous arm, relative risk 0.94 (95% CI 0.64-1.40). It was stopped at 54 of 106 patients on an all-cause mortality difference of 41% against 11% that its own authors call prone to type I error and for which no mechanism was found, in a cohort whose overall 90-day mortality was 26% against 10% in contemporaneous non-trial patients at the same centres. With 56% crossover from endoscopic to percutaneous drainage, what the trial compares is an endoscopic-first strategy with percutaneous rescue against primary percutaneous drainage, not the two techniques.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Early termination left a relatively small sample that was underpowered for the primary outcome, so the data should be interpreted with caution</w:t>
            </w:r>
          </w:p>
          <w:p>
            <w:pPr>
              <w:pStyle w:val="ListParagraph"/>
              <w:numPr>
                <w:ilvl w:val="0"/>
                <w:numId w:val="2"/>
              </w:numPr>
              <w:spacing w:after="45"/>
            </w:pPr>
            <w:r>
              <w:rPr>
                <w:sz w:val="15"/>
                <w:szCs w:val="15"/>
              </w:rPr>
              <w:t xml:space="preserve">The low patient numbers make the study prone to type I error, which the authors state explicitly of the mortality finding</w:t>
            </w:r>
          </w:p>
          <w:p>
            <w:pPr>
              <w:pStyle w:val="ListParagraph"/>
              <w:numPr>
                <w:ilvl w:val="0"/>
                <w:numId w:val="2"/>
              </w:numPr>
              <w:spacing w:after="45"/>
            </w:pPr>
            <w:r>
              <w:rPr>
                <w:sz w:val="15"/>
                <w:szCs w:val="15"/>
              </w:rPr>
              <w:t xml:space="preserve">A third of patients entered after failed or inadequate stenting elsewhere, which might have selected patients at risk of worse outcome and affected the outcome of subsequent procedures, although a sensitivity analysis excluding them showed no difference</w:t>
            </w:r>
          </w:p>
          <w:p>
            <w:pPr>
              <w:pStyle w:val="ListParagraph"/>
              <w:numPr>
                <w:ilvl w:val="0"/>
                <w:numId w:val="2"/>
              </w:numPr>
              <w:spacing w:after="45"/>
            </w:pPr>
            <w:r>
              <w:rPr>
                <w:sz w:val="15"/>
                <w:szCs w:val="15"/>
              </w:rPr>
              <w:t xml:space="preserve">No causal relation for the excess mortality was identified by the safety monitoring board or the steering committee, and the cause remains unresolved</w:t>
            </w:r>
          </w:p>
          <w:p>
            <w:pPr>
              <w:pStyle w:val="ListParagraph"/>
              <w:numPr>
                <w:ilvl w:val="0"/>
                <w:numId w:val="2"/>
              </w:numPr>
              <w:spacing w:after="45"/>
            </w:pPr>
            <w:r>
              <w:rPr>
                <w:sz w:val="15"/>
                <w:szCs w:val="15"/>
              </w:rPr>
              <w:t xml:space="preserve">Details on bile loss and bile cultures were not collected, reflecting standard care, although they would have been valuable for the hypotheses offered</w:t>
            </w:r>
          </w:p>
          <w:p>
            <w:pPr>
              <w:pStyle w:val="ListParagraph"/>
              <w:numPr>
                <w:ilvl w:val="0"/>
                <w:numId w:val="2"/>
              </w:numPr>
              <w:spacing w:after="45"/>
            </w:pPr>
            <w:r>
              <w:rPr>
                <w:sz w:val="15"/>
                <w:szCs w:val="15"/>
              </w:rPr>
              <w:t xml:space="preserve">13% of randomised patients had advanced tumours or benign disease on additional staging after randomisation, which probably affected survival outcomes</w:t>
            </w:r>
          </w:p>
          <w:p>
            <w:pPr>
              <w:pStyle w:val="ListParagraph"/>
              <w:numPr>
                <w:ilvl w:val="0"/>
                <w:numId w:val="2"/>
              </w:numPr>
              <w:spacing w:after="45"/>
            </w:pPr>
            <w:r>
              <w:rPr>
                <w:sz w:val="15"/>
                <w:szCs w:val="15"/>
              </w:rPr>
              <w:t xml:space="preserve">The 90-day mortality after resection of 30% is remarkably high against 10% in similar patients treated at the same centres but not recruited during the trial period, which the authors attribute to the high number of extended resections with portal vein reconstruction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designed to show superiority of percutaneous drainage and powered on an assumed complication rate of 50% endoscopic against 25% percutaneous; the observed rates were 67% and 63%, so the hypothesised effect was absent and the trial was stopped for a harm in the arm it was built to favour</w:t>
            </w:r>
          </w:p>
          <w:p>
            <w:pPr>
              <w:pStyle w:val="ListParagraph"/>
              <w:numPr>
                <w:ilvl w:val="0"/>
                <w:numId w:val="2"/>
              </w:numPr>
              <w:spacing w:after="45"/>
            </w:pPr>
            <w:r>
              <w:rPr>
                <w:sz w:val="15"/>
                <w:szCs w:val="15"/>
              </w:rPr>
              <w:t xml:space="preserve">The stopping rule was not prespecified: after the first annual progress report the safety board decided the trial would end if the mortality imbalance increased without a satisfying explanation, with no alpha-spending function and no formal boundary, and the endpoint used was all-cause mortality from randomisation to 90 days after surgery, a window not among the listed secondary outcomes</w:t>
            </w:r>
          </w:p>
          <w:p>
            <w:pPr>
              <w:pStyle w:val="ListParagraph"/>
              <w:numPr>
                <w:ilvl w:val="0"/>
                <w:numId w:val="2"/>
              </w:numPr>
              <w:spacing w:after="45"/>
            </w:pPr>
            <w:r>
              <w:rPr>
                <w:sz w:val="15"/>
                <w:szCs w:val="15"/>
              </w:rPr>
              <w:t xml:space="preserve">The 11 deaths in the percutaneous arm include two myocardial infarctions and one progressive disease in patients found unresectable, and one patient with therapy-resistant cholangitis who requested euthanasia, so the stopping decision rests on all-cause mortality rather than on drainage-attributable death</w:t>
            </w:r>
          </w:p>
          <w:p>
            <w:pPr>
              <w:pStyle w:val="ListParagraph"/>
              <w:numPr>
                <w:ilvl w:val="0"/>
                <w:numId w:val="2"/>
              </w:numPr>
              <w:spacing w:after="45"/>
            </w:pPr>
            <w:r>
              <w:rPr>
                <w:sz w:val="15"/>
                <w:szCs w:val="15"/>
              </w:rPr>
              <w:t xml:space="preserve">The prespecified primary analysis was a Mann-Whitney U test on the number of complications; the paper reports a Jonckheere-Terpstra test instead (p=0.88), a change made after termination because of the small sample</w:t>
            </w:r>
          </w:p>
          <w:p>
            <w:pPr>
              <w:pStyle w:val="ListParagraph"/>
              <w:numPr>
                <w:ilvl w:val="0"/>
                <w:numId w:val="2"/>
              </w:numPr>
              <w:spacing w:after="45"/>
            </w:pPr>
            <w:r>
              <w:rPr>
                <w:sz w:val="15"/>
                <w:szCs w:val="15"/>
              </w:rPr>
              <w:t xml:space="preserve">56% of the endoscopic arm crossed over to percutaneous drainage and crossover was mandatory after two failed endoscopic attempts, so the comparison is of initial strategies and the best-performing arm is in effect endoscopic-first with percutaneous rescue; the post-hoc three-way split gives 9% mortality for endoscopic only, 13% for both routes and 41% for percutaneous only, on 11 to 27 patients per cell</w:t>
            </w:r>
          </w:p>
          <w:p>
            <w:pPr>
              <w:pStyle w:val="ListParagraph"/>
              <w:numPr>
                <w:ilvl w:val="0"/>
                <w:numId w:val="2"/>
              </w:numPr>
              <w:spacing w:after="45"/>
            </w:pPr>
            <w:r>
              <w:rPr>
                <w:sz w:val="15"/>
                <w:szCs w:val="15"/>
              </w:rPr>
              <w:t xml:space="preserve">Percutaneous drainage was better on the process measures: technical success 93% against 74% (p=0.07), therapeutic success 78% against 63%, shorter procedure duration and only one crossover; yet bilirubin at two weeks was lower in the endoscopic arm (49 against 100 micromol/L, p=0.04), which is not reconciled with its lower technical success</w:t>
            </w:r>
          </w:p>
          <w:p>
            <w:pPr>
              <w:pStyle w:val="ListParagraph"/>
              <w:numPr>
                <w:ilvl w:val="0"/>
                <w:numId w:val="2"/>
              </w:numPr>
              <w:spacing w:after="45"/>
            </w:pPr>
            <w:r>
              <w:rPr>
                <w:sz w:val="15"/>
                <w:szCs w:val="15"/>
              </w:rPr>
              <w:t xml:space="preserve">The baseline table declares the groups similar without a single P value, while C-reactive protein was 10 mg/L (6-19) against 21 (15-32), leucocytes 7.8 against 9.4 x10^9/L and total bilirubin 249 against 280 micromol/L, all higher in the percutaneous arm; none of these was a stratification factor and no analysis adjusts for them</w:t>
            </w:r>
          </w:p>
          <w:p>
            <w:pPr>
              <w:pStyle w:val="ListParagraph"/>
              <w:numPr>
                <w:ilvl w:val="0"/>
                <w:numId w:val="2"/>
              </w:numPr>
              <w:spacing w:after="45"/>
            </w:pPr>
            <w:r>
              <w:rPr>
                <w:sz w:val="15"/>
                <w:szCs w:val="15"/>
              </w:rPr>
              <w:t xml:space="preserve">Eastern Cooperative Oncology Group scores were missing for three patients in the endoscopic arm and the printed rows account for only 24 of 27</w:t>
            </w:r>
          </w:p>
          <w:p>
            <w:pPr>
              <w:pStyle w:val="ListParagraph"/>
              <w:numPr>
                <w:ilvl w:val="0"/>
                <w:numId w:val="2"/>
              </w:numPr>
              <w:spacing w:after="45"/>
            </w:pPr>
            <w:r>
              <w:rPr>
                <w:sz w:val="15"/>
                <w:szCs w:val="15"/>
              </w:rPr>
              <w:t xml:space="preserve">Percutaneous drains were left in situ postoperatively as transanastomotic drains in 100% of the percutaneous arm against 50% of the endoscopic arm, a difference in postoperative management rather than in preoperative drainage route, and it is not separated from the mortality signal</w:t>
            </w:r>
          </w:p>
          <w:p>
            <w:pPr>
              <w:pStyle w:val="ListParagraph"/>
              <w:numPr>
                <w:ilvl w:val="0"/>
                <w:numId w:val="2"/>
              </w:numPr>
              <w:spacing w:after="45"/>
            </w:pPr>
            <w:r>
              <w:rPr>
                <w:sz w:val="15"/>
                <w:szCs w:val="15"/>
              </w:rPr>
              <w:t xml:space="preserve">The percutaneous arm waited 16 days longer for surgery (65 against 49 days, p=0.07) and carried drains 18 days longer (65 against 47 days, p=0.01), an exposure difference that could itself produce progression and deconditioning</w:t>
            </w:r>
          </w:p>
          <w:p>
            <w:pPr>
              <w:pStyle w:val="ListParagraph"/>
              <w:numPr>
                <w:ilvl w:val="0"/>
                <w:numId w:val="2"/>
              </w:numPr>
              <w:spacing w:after="45"/>
            </w:pPr>
            <w:r>
              <w:rPr>
                <w:sz w:val="15"/>
                <w:szCs w:val="15"/>
              </w:rPr>
              <w:t xml:space="preserve">Blood loss was 2372 mL in the endoscopic arm against 1450 mL in the percutaneous arm, so the arm with far greater operative blood loss had the lower mortality, and this is not discussed</w:t>
            </w:r>
          </w:p>
          <w:p>
            <w:pPr>
              <w:pStyle w:val="ListParagraph"/>
              <w:numPr>
                <w:ilvl w:val="0"/>
                <w:numId w:val="2"/>
              </w:numPr>
              <w:spacing w:after="45"/>
            </w:pPr>
            <w:r>
              <w:rPr>
                <w:sz w:val="15"/>
                <w:szCs w:val="15"/>
              </w:rPr>
              <w:t xml:space="preserve">The 90-day postoperative mortality comparison is relative risk 2.93 (95% CI 0.91-9.55), an interval including 1, and no sample size or power calculation was ever made for a mortality comparison</w:t>
            </w:r>
          </w:p>
          <w:p>
            <w:pPr>
              <w:pStyle w:val="ListParagraph"/>
              <w:numPr>
                <w:ilvl w:val="0"/>
                <w:numId w:val="2"/>
              </w:numPr>
              <w:spacing w:after="45"/>
            </w:pPr>
            <w:r>
              <w:rPr>
                <w:sz w:val="15"/>
                <w:szCs w:val="15"/>
              </w:rPr>
              <w:t xml:space="preserve">The 10% mortality in 100 contemporaneous non-trial patients that makes the trial's 26% look anomalous appears only in the appendix with no matching for extent of resection, so the comparison framing the result is itself unadjusted</w:t>
            </w:r>
          </w:p>
          <w:p>
            <w:pPr>
              <w:pStyle w:val="ListParagraph"/>
              <w:numPr>
                <w:ilvl w:val="0"/>
                <w:numId w:val="2"/>
              </w:numPr>
              <w:spacing w:after="45"/>
            </w:pPr>
            <w:r>
              <w:rPr>
                <w:sz w:val="15"/>
                <w:szCs w:val="15"/>
              </w:rPr>
              <w:t xml:space="preserve">Three of 23 resection specimens showed benign inflammatory lesions and one further patient was diagnosed with IgG4-related sclerosing cholangitis, so part of the randomised population did not have the disease under study</w:t>
            </w:r>
          </w:p>
          <w:p>
            <w:pPr>
              <w:pStyle w:val="ListParagraph"/>
              <w:numPr>
                <w:ilvl w:val="0"/>
                <w:numId w:val="2"/>
              </w:numPr>
              <w:spacing w:after="45"/>
            </w:pPr>
            <w:r>
              <w:rPr>
                <w:sz w:val="15"/>
                <w:szCs w:val="15"/>
              </w:rPr>
              <w:t xml:space="preserve">Of 261 screened only 54 were randomised, and 54 of the excluded patients were excluded because the future liver remnant was already adequately drained, so the trial does not address the common situation of a patient arriving already stented</w:t>
            </w:r>
          </w:p>
          <w:p>
            <w:pPr>
              <w:pStyle w:val="ListParagraph"/>
              <w:numPr>
                <w:ilvl w:val="0"/>
                <w:numId w:val="2"/>
              </w:numPr>
              <w:spacing w:after="45"/>
            </w:pPr>
            <w:r>
              <w:rPr>
                <w:sz w:val="15"/>
                <w:szCs w:val="15"/>
              </w:rPr>
              <w:t xml:space="preserve">Enrolment ran 31 months across the four centres that treat most Dutch patients to reach 54, roughly 0.4 patients per centre per month, and no screening log by centre is published</w:t>
            </w:r>
          </w:p>
          <w:p>
            <w:pPr>
              <w:pStyle w:val="ListParagraph"/>
              <w:numPr>
                <w:ilvl w:val="0"/>
                <w:numId w:val="2"/>
              </w:numPr>
              <w:spacing w:after="45"/>
            </w:pPr>
            <w:r>
              <w:rPr>
                <w:sz w:val="15"/>
                <w:szCs w:val="15"/>
              </w:rPr>
              <w:t xml:space="preserve">The practical conclusions the authors draw, that drainage should follow resectability assessment at a specialist centre, be selective to the future liver remnant, and may be unnecessary when the remnant exceeds 50% of liver volume, come from Farges and Wiggers and not from anything this trial randomised</w:t>
            </w:r>
          </w:p>
          <w:p>
            <w:pPr>
              <w:pStyle w:val="ListParagraph"/>
              <w:numPr>
                <w:ilvl w:val="0"/>
                <w:numId w:val="2"/>
              </w:numPr>
              <w:spacing w:after="45"/>
            </w:pPr>
            <w:r>
              <w:rPr>
                <w:sz w:val="15"/>
                <w:szCs w:val="15"/>
              </w:rPr>
              <w:t xml:space="preserve">A linked Comment (Bridgewater, Webster and Amin, Lancet Gastroenterol Hepatol 2018;3:657-58, PMID 30122357) was identified in PubMed but could not be obtained, so no point above draws on it</w:t>
            </w:r>
          </w:p>
        </w:tc>
      </w:tr>
    </w:tbl>
    <w:p>
      <w:pPr>
        <w:spacing w:after="0" w:line="276"/>
      </w:pPr>
      <w:r>
        <w:rPr>
          <w:color w:val="5A6069"/>
          <w:sz w:val="14"/>
          <w:szCs w:val="14"/>
        </w:rPr>
        <w:t xml:space="preserve">Funding: Funding for data management from the Dutch Cancer Foundation (grant UVA 2013-5925), with no funder role in design, data collection, analysis, interpretation or writing; P. Fockens declares personal fees from Boston Scientific, Cook Endoscopy, Fujifilm, Olympus and Ethicon Endosurgery and J. E. van Hooft grants from Cook Endoscopy and Medtronic plus personal fees from Boston Scientific and Abbott, all outside the submitted work</w:t>
      </w:r>
    </w:p>
    <w:p>
      <w:pPr>
        <w:keepNext/>
        <w:spacing w:after="50" w:before="260"/>
      </w:pPr>
      <w:r>
        <w:rPr>
          <w:rFonts w:ascii="Cambria" w:cs="Cambria" w:eastAsia="Cambria" w:hAnsi="Cambria"/>
          <w:b/>
          <w:bCs/>
          <w:color w:val="17365D"/>
          <w:sz w:val="20"/>
          <w:szCs w:val="20"/>
        </w:rPr>
        <w:t xml:space="preserve">ERCP vs EUS</w:t>
      </w:r>
      <w:r>
        <w:rPr>
          <w:b/>
          <w:bCs/>
          <w:color w:val="176A87"/>
          <w:sz w:val="15"/>
          <w:szCs w:val="15"/>
        </w:rPr>
        <w:t xml:space="preserve">   Meta-analysis</w:t>
      </w:r>
      <w:r>
        <w:rPr>
          <w:color w:val="5A6069"/>
          <w:sz w:val="15"/>
          <w:szCs w:val="15"/>
        </w:rPr>
        <w:t xml:space="preserve">   PMID 27824027</w:t>
      </w:r>
    </w:p>
    <w:p>
      <w:pPr>
        <w:spacing w:after="50" w:line="276"/>
      </w:pPr>
      <w:r>
        <w:rPr>
          <w:color w:val="5A6069"/>
          <w:sz w:val="17"/>
          <w:szCs w:val="17"/>
        </w:rPr>
        <w:t xml:space="preserve">Endoscopic retrograde cholangiopancreatography versus endoscopic ultrasound for tissue diagnosis of malignant biliary stricture: Systematic review and meta-analysis</w:t>
      </w:r>
    </w:p>
    <w:p>
      <w:pPr>
        <w:spacing w:after="50"/>
      </w:pPr>
      <w:r>
        <w:rPr>
          <w:b/>
          <w:bCs/>
          <w:color w:val="176A87"/>
          <w:sz w:val="16"/>
          <w:szCs w:val="16"/>
        </w:rPr>
        <w:t xml:space="preserve">Population. </w:t>
      </w:r>
      <w:r>
        <w:rPr>
          <w:sz w:val="16"/>
          <w:szCs w:val="16"/>
        </w:rPr>
        <w:t xml:space="preserve">294 patients from 8 studies of ERCP-based brushing and forceps biopsy against EUS-guided fine-needle aspiration for suspected malignant biliary stricture, searched to November 2014; only 3 of the 8 applied both tests to the same patients and the pooled pre-test probability of malignancy was 76.66%</w:t>
      </w:r>
    </w:p>
    <w:p>
      <w:pPr>
        <w:spacing w:after="70"/>
      </w:pPr>
      <w:r>
        <w:rPr>
          <w:b/>
          <w:bCs/>
          <w:color w:val="17365D"/>
          <w:sz w:val="16"/>
          <w:szCs w:val="16"/>
        </w:rPr>
        <w:t xml:space="preserve">Bottom line. </w:t>
      </w:r>
      <w:r>
        <w:rPr>
          <w:sz w:val="16"/>
          <w:szCs w:val="16"/>
        </w:rPr>
        <w:t xml:space="preserve">This review reports EUS-guided fine-needle aspiration as more sensitive than ERCP brushing and forceps biopsy for a malignant biliary stricture, 75% against 49%, with specificity of 100% in every included study. The comparison is largely indirect: only 3 of 8 studies applied both tests to the same patients, the ERCP figure comes from those three alone, the synthesis is an unweighted mean of percentages, and the three proximal-stricture studies enrolled patients only after ERCP sampling had failed. For a perihilar stricture the usable message is the inverse of the headline, that ERCP sampling is roughly 50% sensitive, that transperitoneal EUS sampling is off-limits in a transplant candidate, which this review never mentions, and that a negative result on either test excludes nothing.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beyond two sentences: the authors state that none of the included studies were randomised trials, and then write that 'the negative predictive value is very high, which in the case of a negative test, means that one cannot exclude the disease', which inverts their own finding that the negative predictive value is low</w:t>
            </w:r>
          </w:p>
          <w:p>
            <w:pPr>
              <w:pStyle w:val="ListParagraph"/>
              <w:numPr>
                <w:ilvl w:val="0"/>
                <w:numId w:val="2"/>
              </w:numPr>
              <w:spacing w:after="45"/>
            </w:pPr>
            <w:r>
              <w:rPr>
                <w:sz w:val="15"/>
                <w:szCs w:val="15"/>
              </w:rPr>
              <w:t xml:space="preserve">The authors name the location of the lesion as the greatest source of bias in the review, with three studies selecting proximal lesions, one distal, and four not reporting location</w:t>
            </w:r>
          </w:p>
          <w:p>
            <w:pPr>
              <w:pStyle w:val="ListParagraph"/>
              <w:numPr>
                <w:ilvl w:val="0"/>
                <w:numId w:val="2"/>
              </w:numPr>
              <w:spacing w:after="45"/>
            </w:pPr>
            <w:r>
              <w:rPr>
                <w:sz w:val="15"/>
                <w:szCs w:val="15"/>
              </w:rPr>
              <w:t xml:space="preserve">Differences in lesion size between studies may have facilitated diagnosis and are named as the other main source of bias, the study with the largest mean lesion size reporting the best results</w:t>
            </w:r>
          </w:p>
          <w:p>
            <w:pPr>
              <w:pStyle w:val="ListParagraph"/>
              <w:numPr>
                <w:ilvl w:val="0"/>
                <w:numId w:val="2"/>
              </w:numPr>
              <w:spacing w:after="45"/>
            </w:pPr>
            <w:r>
              <w:rPr>
                <w:sz w:val="15"/>
                <w:szCs w:val="15"/>
              </w:rPr>
              <w:t xml:space="preserve">The authors concede that EUS-guided aspiration does better in distal lesions and ERCP in proximal ones, that lesions under 10 mm and lesions presenting as wall thickening have very low sensitivity by EUS, and that ERCP with cholangioscopy is preferable in those cases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central comparison is not like with like: the ERCP mean sensitivity of 49% (SD 2.64) comes from the three studies that applied both tests, while the EUS mean of 75% (SD 19.87) comes from all eight, so the headline contrast pools two different evidence bases</w:t>
            </w:r>
          </w:p>
          <w:p>
            <w:pPr>
              <w:pStyle w:val="ListParagraph"/>
              <w:numPr>
                <w:ilvl w:val="0"/>
                <w:numId w:val="2"/>
              </w:numPr>
              <w:spacing w:after="45"/>
            </w:pPr>
            <w:r>
              <w:rPr>
                <w:sz w:val="15"/>
                <w:szCs w:val="15"/>
              </w:rPr>
              <w:t xml:space="preserve">The synthesis is an unweighted arithmetic mean of study-level percentages with standard deviations, with no random-effects model, no pooled confidence interval, no I-squared and no bivariate model, although the paper is presented as a meta-analysis performed in RevMan 5.3</w:t>
            </w:r>
          </w:p>
          <w:p>
            <w:pPr>
              <w:pStyle w:val="ListParagraph"/>
              <w:numPr>
                <w:ilvl w:val="0"/>
                <w:numId w:val="2"/>
              </w:numPr>
              <w:spacing w:after="45"/>
            </w:pPr>
            <w:r>
              <w:rPr>
                <w:sz w:val="15"/>
                <w:szCs w:val="15"/>
              </w:rPr>
              <w:t xml:space="preserve">Three mutually inconsistent sets of accuracy figures appear: the per-study tables, the means (79% against 60.66%), and a receiver operating characteristic analysis reporting EUS sensitivity and specificity of 87% and 90% against ERCP's 75% and 81%, figures that appear nowhere else and contradict the 100% specificity reported for EUS in every included study</w:t>
            </w:r>
          </w:p>
          <w:p>
            <w:pPr>
              <w:pStyle w:val="ListParagraph"/>
              <w:numPr>
                <w:ilvl w:val="0"/>
                <w:numId w:val="2"/>
              </w:numPr>
              <w:spacing w:after="45"/>
            </w:pPr>
            <w:r>
              <w:rPr>
                <w:sz w:val="15"/>
                <w:szCs w:val="15"/>
              </w:rPr>
              <w:t xml:space="preserve">A fourth pair of figures is produced with an online calculator cited as a reference, giving positive post-test probability and accuracy of 96.5% and 87.7% for EUS and 92.5% and 74.4% for ERCP</w:t>
            </w:r>
          </w:p>
          <w:p>
            <w:pPr>
              <w:pStyle w:val="ListParagraph"/>
              <w:numPr>
                <w:ilvl w:val="0"/>
                <w:numId w:val="2"/>
              </w:numPr>
              <w:spacing w:after="45"/>
            </w:pPr>
            <w:r>
              <w:rPr>
                <w:sz w:val="15"/>
                <w:szCs w:val="15"/>
              </w:rPr>
              <w:t xml:space="preserve">Specificity and positive predictive value are 100% for EUS-guided aspiration in all eight studies, that is not one false positive in any cohort; the gold standard is described as histopathology from surgery or from the index test, so the index test can serve as its own reference standard and a false positive is structurally impossible</w:t>
            </w:r>
          </w:p>
          <w:p>
            <w:pPr>
              <w:pStyle w:val="ListParagraph"/>
              <w:numPr>
                <w:ilvl w:val="0"/>
                <w:numId w:val="2"/>
              </w:numPr>
              <w:spacing w:after="45"/>
            </w:pPr>
            <w:r>
              <w:rPr>
                <w:sz w:val="15"/>
                <w:szCs w:val="15"/>
              </w:rPr>
              <w:t xml:space="preserve">Rosch 2004 is given identical sensitivity, specificity, positive and negative predictive value and accuracy for both tests (46%, 100%, 100%, 60%, 70%), which is implausible for two different tests and reads as one row copied into both</w:t>
            </w:r>
          </w:p>
          <w:p>
            <w:pPr>
              <w:pStyle w:val="ListParagraph"/>
              <w:numPr>
                <w:ilvl w:val="0"/>
                <w:numId w:val="2"/>
              </w:numPr>
              <w:spacing w:after="45"/>
            </w:pPr>
            <w:r>
              <w:rPr>
                <w:sz w:val="15"/>
                <w:szCs w:val="15"/>
              </w:rPr>
              <w:t xml:space="preserve">The proximal-stricture studies (DeWitt, Fritscher-Ravens, Nayar) enrolled patients only after ERCP sampling had already failed or been non-diagnostic, which fixes a low ERCP sensitivity by design; the review never stratifies by stricture level despite naming location as its greatest bias</w:t>
            </w:r>
          </w:p>
          <w:p>
            <w:pPr>
              <w:pStyle w:val="ListParagraph"/>
              <w:numPr>
                <w:ilvl w:val="0"/>
                <w:numId w:val="2"/>
              </w:numPr>
              <w:spacing w:after="45"/>
            </w:pPr>
            <w:r>
              <w:rPr>
                <w:sz w:val="15"/>
                <w:szCs w:val="15"/>
              </w:rPr>
              <w:t xml:space="preserve">Predictive values are reported at a pooled pre-test probability of 76.66%, with per-study values from 50% to 96%, and are never re-derived at a prevalence a clinician would face</w:t>
            </w:r>
          </w:p>
          <w:p>
            <w:pPr>
              <w:pStyle w:val="ListParagraph"/>
              <w:numPr>
                <w:ilvl w:val="0"/>
                <w:numId w:val="2"/>
              </w:numPr>
              <w:spacing w:after="45"/>
            </w:pPr>
            <w:r>
              <w:rPr>
                <w:sz w:val="15"/>
                <w:szCs w:val="15"/>
              </w:rPr>
              <w:t xml:space="preserve">Publication bias is discussed in the abstract sense but never assessed: no funnel plot, no Egger test, no Deeks test</w:t>
            </w:r>
          </w:p>
          <w:p>
            <w:pPr>
              <w:pStyle w:val="ListParagraph"/>
              <w:numPr>
                <w:ilvl w:val="0"/>
                <w:numId w:val="2"/>
              </w:numPr>
              <w:spacing w:after="45"/>
            </w:pPr>
            <w:r>
              <w:rPr>
                <w:sz w:val="15"/>
                <w:szCs w:val="15"/>
              </w:rPr>
              <w:t xml:space="preserve">QUADAS-2 is reported narratively with the conclusion that most studies did not impose bias, immediately after naming lesion location as the greatest bias, and no domain-level table appears in the text</w:t>
            </w:r>
          </w:p>
          <w:p>
            <w:pPr>
              <w:pStyle w:val="ListParagraph"/>
              <w:numPr>
                <w:ilvl w:val="0"/>
                <w:numId w:val="2"/>
              </w:numPr>
              <w:spacing w:after="45"/>
            </w:pPr>
            <w:r>
              <w:rPr>
                <w:sz w:val="15"/>
                <w:szCs w:val="15"/>
              </w:rPr>
              <w:t xml:space="preserve">The excluded-study list in the PRISMA figure is a free-text block with 50 of 58 full texts excluded, 23 of them labelled review, and includes a citation dated 2985, so the exclusions cannot be audited</w:t>
            </w:r>
          </w:p>
          <w:p>
            <w:pPr>
              <w:pStyle w:val="ListParagraph"/>
              <w:numPr>
                <w:ilvl w:val="0"/>
                <w:numId w:val="2"/>
              </w:numPr>
              <w:spacing w:after="45"/>
            </w:pPr>
            <w:r>
              <w:rPr>
                <w:sz w:val="15"/>
                <w:szCs w:val="15"/>
              </w:rPr>
              <w:t xml:space="preserve">The search ends in November 2014 for a paper published online in 2016 and carrying a 2018 citation, so several years of comparative data are missing by the time it appeared</w:t>
            </w:r>
          </w:p>
          <w:p>
            <w:pPr>
              <w:pStyle w:val="ListParagraph"/>
              <w:numPr>
                <w:ilvl w:val="0"/>
                <w:numId w:val="2"/>
              </w:numPr>
              <w:spacing w:after="45"/>
            </w:pPr>
            <w:r>
              <w:rPr>
                <w:sz w:val="15"/>
                <w:szCs w:val="15"/>
              </w:rPr>
              <w:t xml:space="preserve">Nothing in the review mentions the central constraint for a hilar patient, that transperitoneal EUS-guided aspiration of the primary tumour disqualifies a candidate under the Mayo transplant protocol and carries a reported peritoneal seeding signal, although Klatskin tumour is one of the paper's keywords</w:t>
            </w:r>
          </w:p>
          <w:p>
            <w:pPr>
              <w:pStyle w:val="ListParagraph"/>
              <w:numPr>
                <w:ilvl w:val="0"/>
                <w:numId w:val="2"/>
              </w:numPr>
              <w:spacing w:after="45"/>
            </w:pPr>
            <w:r>
              <w:rPr>
                <w:sz w:val="15"/>
                <w:szCs w:val="15"/>
              </w:rPr>
              <w:t xml:space="preserve">The conclusion recommends EUS-guided aspiration over ERCP for malignant biliary strictures generally, without the location caveat the Discussion itself raises</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The research received no specific grant from any funding agency in the public, commercial or not-for-profit sectors and the authors declare no conflicts of interest</w:t>
      </w:r>
    </w:p>
    <w:p>
      <w:pPr>
        <w:keepNext/>
        <w:spacing w:after="50" w:before="260"/>
      </w:pPr>
      <w:r>
        <w:rPr>
          <w:rFonts w:ascii="Cambria" w:cs="Cambria" w:eastAsia="Cambria" w:hAnsi="Cambria"/>
          <w:b/>
          <w:bCs/>
          <w:color w:val="17365D"/>
          <w:sz w:val="20"/>
          <w:szCs w:val="20"/>
        </w:rPr>
        <w:t xml:space="preserve">ESGE 2025</w:t>
      </w:r>
      <w:r>
        <w:rPr>
          <w:b/>
          <w:bCs/>
          <w:color w:val="176A87"/>
          <w:sz w:val="15"/>
          <w:szCs w:val="15"/>
        </w:rPr>
        <w:t xml:space="preserve">   Guideline</w:t>
      </w:r>
      <w:r>
        <w:rPr>
          <w:color w:val="5A6069"/>
          <w:sz w:val="15"/>
          <w:szCs w:val="15"/>
        </w:rPr>
        <w:t xml:space="preserve">   PMID 39689874</w:t>
      </w:r>
    </w:p>
    <w:p>
      <w:pPr>
        <w:spacing w:after="50" w:line="276"/>
      </w:pPr>
      <w:r>
        <w:rPr>
          <w:color w:val="5A6069"/>
          <w:sz w:val="17"/>
          <w:szCs w:val="17"/>
        </w:rPr>
        <w:t xml:space="preserve">Diagnostic work-up of bile duct strictures: European Society of Gastrointestinal Endoscopy (ESGE) Guideline</w:t>
      </w:r>
    </w:p>
    <w:p>
      <w:pPr>
        <w:spacing w:after="70"/>
      </w:pPr>
      <w:r>
        <w:rPr>
          <w:b/>
          <w:bCs/>
          <w:color w:val="17365D"/>
          <w:sz w:val="16"/>
          <w:szCs w:val="16"/>
        </w:rPr>
        <w:t xml:space="preserve">Bottom line. </w:t>
      </w:r>
      <w:r>
        <w:rPr>
          <w:sz w:val="16"/>
          <w:szCs w:val="16"/>
        </w:rPr>
        <w:t xml:space="preserve">ESGE's 2025 document sets out what endoscopic sampling can achieve in a bile duct stricture and, for perihilar disease, recommends adding fluoroscopy-guided biopsy to brush cytology and reserving EUS-guided sampling for patients in whom curative resection is not feasible. Seven of its eight recommendations are conditional on low or very low quality evidence, the perihilar recommendation pools two retrospective cohorts totalling 101 patients, and no voting record or agreement threshold is published for any statement. Its scope stops at tissue diagnosis, it offers nothing for the patient with primary sclerosing cholangitis in whom cytology fails, and the restriction it places on EUS in hilar disease is not supported by the seeding data printed in the same section.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Most of the available literature concerns diagnostic techniques for pancreatic masses, and isolated data on biliary strictures are scarce and frequently based on subgroup analyses of other studies</w:t>
            </w:r>
          </w:p>
          <w:p>
            <w:pPr>
              <w:pStyle w:val="ListParagraph"/>
              <w:numPr>
                <w:ilvl w:val="0"/>
                <w:numId w:val="2"/>
              </w:numPr>
              <w:spacing w:after="45"/>
            </w:pPr>
            <w:r>
              <w:rPr>
                <w:sz w:val="15"/>
                <w:szCs w:val="15"/>
              </w:rPr>
              <w:t xml:space="preserve">The majority of the recommendations rest on low quality evidence because randomised trials on these topics are lacking, which the panel says points to a pressing need for prospective studies and randomised trials</w:t>
            </w:r>
          </w:p>
          <w:p>
            <w:pPr>
              <w:pStyle w:val="ListParagraph"/>
              <w:numPr>
                <w:ilvl w:val="0"/>
                <w:numId w:val="2"/>
              </w:numPr>
              <w:spacing w:after="45"/>
            </w:pPr>
            <w:r>
              <w:rPr>
                <w:sz w:val="15"/>
                <w:szCs w:val="15"/>
              </w:rPr>
              <w:t xml:space="preserve">Specific gaps named for perihilar strictures are the absence of data comparing EUS-guided fine-needle biopsy with cholangioscopy-guided biopsy, and for distal strictures the absence of data on third-generation end-cutting needles</w:t>
            </w:r>
          </w:p>
          <w:p>
            <w:pPr>
              <w:pStyle w:val="ListParagraph"/>
              <w:numPr>
                <w:ilvl w:val="0"/>
                <w:numId w:val="2"/>
              </w:numPr>
              <w:spacing w:after="45"/>
            </w:pPr>
            <w:r>
              <w:rPr>
                <w:sz w:val="15"/>
                <w:szCs w:val="15"/>
              </w:rPr>
              <w:t xml:space="preserve">FISH, next-generation sequencing, methylation markers, liquid biopsy, portal vein circulating cells and artificial intelligence are all placed in the unmet-needs section without any recommendation</w:t>
            </w:r>
          </w:p>
          <w:p>
            <w:pPr>
              <w:pStyle w:val="ListParagraph"/>
              <w:numPr>
                <w:ilvl w:val="0"/>
                <w:numId w:val="2"/>
              </w:numPr>
              <w:spacing w:after="45"/>
            </w:pPr>
            <w:r>
              <w:rPr>
                <w:sz w:val="15"/>
                <w:szCs w:val="15"/>
              </w:rPr>
              <w:t xml:space="preserve">More data are needed on the handling of cytopathology specimens after tissue sampling, and the environmental impact of imaging and endoscopic equipment is an uncovered area</w:t>
            </w:r>
          </w:p>
          <w:p>
            <w:pPr>
              <w:pStyle w:val="ListParagraph"/>
              <w:numPr>
                <w:ilvl w:val="0"/>
                <w:numId w:val="2"/>
              </w:numPr>
              <w:spacing w:after="45"/>
            </w:pPr>
            <w:r>
              <w:rPr>
                <w:sz w:val="15"/>
                <w:szCs w:val="15"/>
              </w:rPr>
              <w:t xml:space="preserve">Peritoneal seeding and iatrogenic upstaging after EUS-guided tissue acquisition are described as theoretical yet clinically significant, with the clear majority of published cases limited to pancreatic adenocarcinoma rather than cholangiocarcinoma, and the panel notes the risk appears higher after a percutaneous than an endoscopic ultrasound approach</w:t>
            </w:r>
          </w:p>
          <w:p>
            <w:pPr>
              <w:pStyle w:val="ListParagraph"/>
              <w:numPr>
                <w:ilvl w:val="0"/>
                <w:numId w:val="2"/>
              </w:numPr>
              <w:spacing w:after="45"/>
            </w:pPr>
            <w:r>
              <w:rPr>
                <w:sz w:val="15"/>
                <w:szCs w:val="15"/>
              </w:rPr>
              <w:t xml:space="preserve">Intraductal ultrasound and confocal laser endomicroscopy are costly, require considerable skill and have an anticipated low level of interobserver agreement, so no concrete role in clinical practice is established and artificial intelligence cannot yet be recommended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No voting is described anywhere: no Delphi rounds, no consensus threshold and no agreement percentage for any of the eight recommendations, so a reader cannot tell which positions were contested</w:t>
            </w:r>
          </w:p>
          <w:p>
            <w:pPr>
              <w:pStyle w:val="ListParagraph"/>
              <w:numPr>
                <w:ilvl w:val="0"/>
                <w:numId w:val="2"/>
              </w:numPr>
              <w:spacing w:after="45"/>
            </w:pPr>
            <w:r>
              <w:rPr>
                <w:sz w:val="15"/>
                <w:szCs w:val="15"/>
              </w:rPr>
              <w:t xml:space="preserve">Conflicts of interest are said to have been addressed according to ESGE policies without stating how, and no recusal from any decision is recorded, in a document whose recommendations expand the use of needles, forceps and cholangioscopes made by the companies named in those disclosures</w:t>
            </w:r>
          </w:p>
          <w:p>
            <w:pPr>
              <w:pStyle w:val="ListParagraph"/>
              <w:numPr>
                <w:ilvl w:val="0"/>
                <w:numId w:val="2"/>
              </w:numPr>
              <w:spacing w:after="45"/>
            </w:pPr>
            <w:r>
              <w:rPr>
                <w:sz w:val="15"/>
                <w:szCs w:val="15"/>
              </w:rPr>
              <w:t xml:space="preserve">Seven of the eight recommendations are conditional on low or very low quality evidence, and the task forces' supporting meta-analyses are de novo, unregistered, restricted to English-language publications to December 2023, and presented without a PRISMA flow diagram in the main text</w:t>
            </w:r>
          </w:p>
          <w:p>
            <w:pPr>
              <w:pStyle w:val="ListParagraph"/>
              <w:numPr>
                <w:ilvl w:val="0"/>
                <w:numId w:val="2"/>
              </w:numPr>
              <w:spacing w:after="45"/>
            </w:pPr>
            <w:r>
              <w:rPr>
                <w:sz w:val="15"/>
                <w:szCs w:val="15"/>
              </w:rPr>
              <w:t xml:space="preserve">The perihilar brushing-plus-biopsy recommendation pools two retrospective cohorts of 58 and 43 patients, reports I-squared of 0% from two studies, and the second of those used a double-balloon enteroscopy forceps advanced through a plastic pusher after guidewire removal, a technique most units do not have</w:t>
            </w:r>
          </w:p>
          <w:p>
            <w:pPr>
              <w:pStyle w:val="ListParagraph"/>
              <w:numPr>
                <w:ilvl w:val="0"/>
                <w:numId w:val="2"/>
              </w:numPr>
              <w:spacing w:after="45"/>
            </w:pPr>
            <w:r>
              <w:rPr>
                <w:sz w:val="15"/>
                <w:szCs w:val="15"/>
              </w:rPr>
              <w:t xml:space="preserve">The incremental yield quoted changes between sections: 20% (95%CI 9%-31%) from the 21-study meta-analysis of mixed proximal and distal strictures in the preamble, and 25% (11%-38%) from the two hilar-only studies in the recommendation itself</w:t>
            </w:r>
          </w:p>
          <w:p>
            <w:pPr>
              <w:pStyle w:val="ListParagraph"/>
              <w:numPr>
                <w:ilvl w:val="0"/>
                <w:numId w:val="2"/>
              </w:numPr>
              <w:spacing w:after="45"/>
            </w:pPr>
            <w:r>
              <w:rPr>
                <w:sz w:val="15"/>
                <w:szCs w:val="15"/>
              </w:rPr>
              <w:t xml:space="preserve">The biopsy-number advice of three to four sits between two incompatible datasets, a retrospective study claiming 100% sensitivity after three biopsies and the most recent meta-analysis of 13 studies showing no difference between fewer than four and four or more (69% against 70%)</w:t>
            </w:r>
          </w:p>
          <w:p>
            <w:pPr>
              <w:pStyle w:val="ListParagraph"/>
              <w:numPr>
                <w:ilvl w:val="0"/>
                <w:numId w:val="2"/>
              </w:numPr>
              <w:spacing w:after="45"/>
            </w:pPr>
            <w:r>
              <w:rPr>
                <w:sz w:val="15"/>
                <w:szCs w:val="15"/>
              </w:rPr>
              <w:t xml:space="preserve">The strongest evidence in the perihilar section, a multicentre randomised trial of more than 400 patients in which cytology sensitivity rose from 38% to 47% to 57% with 10, 20 and 30 brush passes, appears only in the discussion text and is not made a recommendation</w:t>
            </w:r>
          </w:p>
          <w:p>
            <w:pPr>
              <w:pStyle w:val="ListParagraph"/>
              <w:numPr>
                <w:ilvl w:val="0"/>
                <w:numId w:val="2"/>
              </w:numPr>
              <w:spacing w:after="45"/>
            </w:pPr>
            <w:r>
              <w:rPr>
                <w:sz w:val="15"/>
                <w:szCs w:val="15"/>
              </w:rPr>
              <w:t xml:space="preserve">Recommendation 7 restricts EUS-guided tissue acquisition in perihilar strictures to patients in whom curative resection is not feasible, while the same section's data put needle-tract seeding after EUS of pancreatic lesions at a pooled 0.3% (0.2%-0.4%) with no difference in metachronous peritoneal dissemination against non-sampled patients (OR 1.0, 0.7-1.5); the hilar-specific evidence is one retrospective series of 150 patients showing no effect of needle passes on survival and one comparative study with six exposed patients</w:t>
            </w:r>
          </w:p>
          <w:p>
            <w:pPr>
              <w:pStyle w:val="ListParagraph"/>
              <w:numPr>
                <w:ilvl w:val="0"/>
                <w:numId w:val="2"/>
              </w:numPr>
              <w:spacing w:after="45"/>
            </w:pPr>
            <w:r>
              <w:rPr>
                <w:sz w:val="15"/>
                <w:szCs w:val="15"/>
              </w:rPr>
              <w:t xml:space="preserve">The figure that matters most for a stented hilar patient is left out of the recommendation: in the one prospective study with a hilar subgroup, EUS sensitivity was 56% and negative predictive value 33% in stented perihilar lesions against 95% and 93% for unstented distal lesions, and the pooled perihilar sensitivity of 78% carries I-squared of 76%</w:t>
            </w:r>
          </w:p>
          <w:p>
            <w:pPr>
              <w:pStyle w:val="ListParagraph"/>
              <w:numPr>
                <w:ilvl w:val="0"/>
                <w:numId w:val="2"/>
              </w:numPr>
              <w:spacing w:after="45"/>
            </w:pPr>
            <w:r>
              <w:rPr>
                <w:sz w:val="15"/>
                <w:szCs w:val="15"/>
              </w:rPr>
              <w:t xml:space="preserve">Recommendation 5 suggests EUS for suspected stricture or unexplained bile duct dilatation even with normal laboratory tests, although the section's own pooled malignancy rate is under 0.1% and its environmental paragraph calls the justification for a resource-intensive procedure easily debatable</w:t>
            </w:r>
          </w:p>
          <w:p>
            <w:pPr>
              <w:pStyle w:val="ListParagraph"/>
              <w:numPr>
                <w:ilvl w:val="0"/>
                <w:numId w:val="2"/>
              </w:numPr>
              <w:spacing w:after="45"/>
            </w:pPr>
            <w:r>
              <w:rPr>
                <w:sz w:val="15"/>
                <w:szCs w:val="15"/>
              </w:rPr>
              <w:t xml:space="preserve">Figures in the supporting text are internally impossible: the cited meta-analysis's malignant yield is printed as 5% (95%CI 0%-3%), a point estimate outside its own interval, and the cholangioscopy comparison reports sensitivity 74% against 50% with an odds ratio of 1.1 (1.0-1.3), whose lower bound sits on 1</w:t>
            </w:r>
          </w:p>
          <w:p>
            <w:pPr>
              <w:pStyle w:val="ListParagraph"/>
              <w:numPr>
                <w:ilvl w:val="0"/>
                <w:numId w:val="2"/>
              </w:numPr>
              <w:spacing w:after="45"/>
            </w:pPr>
            <w:r>
              <w:rPr>
                <w:sz w:val="15"/>
                <w:szCs w:val="15"/>
              </w:rPr>
              <w:t xml:space="preserve">Cost-effectiveness is quoted from single studies in unnamed health systems in both dollars and euros and applied across European practice with no sensitivity analysis</w:t>
            </w:r>
          </w:p>
          <w:p>
            <w:pPr>
              <w:pStyle w:val="ListParagraph"/>
              <w:numPr>
                <w:ilvl w:val="0"/>
                <w:numId w:val="2"/>
              </w:numPr>
              <w:spacing w:after="45"/>
            </w:pPr>
            <w:r>
              <w:rPr>
                <w:sz w:val="15"/>
                <w:szCs w:val="15"/>
              </w:rPr>
              <w:t xml:space="preserve">The algorithm in Figure 1 routes a resectable perihilar stricture to a multidisciplinary team to decide whether to obtain tissue at all and by which route, which is precisely the decision a surgeon must make, and no recommendation addresses it</w:t>
            </w:r>
          </w:p>
          <w:p>
            <w:pPr>
              <w:pStyle w:val="ListParagraph"/>
              <w:numPr>
                <w:ilvl w:val="0"/>
                <w:numId w:val="2"/>
              </w:numPr>
              <w:spacing w:after="45"/>
            </w:pPr>
            <w:r>
              <w:rPr>
                <w:sz w:val="15"/>
                <w:szCs w:val="15"/>
              </w:rPr>
              <w:t xml:space="preserve">Primary sclerosing cholangitis and the dominant stricture are not covered by any recommendation, and the guideline explicitly excludes strictures associated with a pancreatic or abdominal mass while drawing much of its evidence from pancreatic cohorts</w:t>
            </w:r>
          </w:p>
          <w:p>
            <w:pPr>
              <w:pStyle w:val="ListParagraph"/>
              <w:numPr>
                <w:ilvl w:val="0"/>
                <w:numId w:val="2"/>
              </w:numPr>
              <w:spacing w:after="45"/>
            </w:pPr>
            <w:r>
              <w:rPr>
                <w:sz w:val="15"/>
                <w:szCs w:val="15"/>
              </w:rPr>
              <w:t xml:space="preserve">Where this document overlaps the ASGE guideline (Fujii-Lau 2023) the two agree on adding fluoroscopic biopsy and on cholangioscopy for non-distal strictures and rest on the same 21-study meta-analysis with the same 20% incremental yield, so they are not independent corroboration; ESGE is the more restrictive of the two about EUS in hilar disease, tying it to unresectability, whereas ASGE permits EUS while forbidding puncture of the biliary mass itself</w:t>
            </w:r>
          </w:p>
          <w:p>
            <w:pPr>
              <w:pStyle w:val="ListParagraph"/>
              <w:numPr>
                <w:ilvl w:val="0"/>
                <w:numId w:val="2"/>
              </w:numPr>
              <w:spacing w:after="45"/>
            </w:pPr>
            <w:r>
              <w:rPr>
                <w:sz w:val="15"/>
                <w:szCs w:val="15"/>
              </w:rPr>
              <w:t xml:space="preserve">No linked editorial, comment or letter was found in PubMed</w:t>
            </w:r>
          </w:p>
        </w:tc>
      </w:tr>
    </w:tbl>
    <w:p>
      <w:pPr>
        <w:spacing w:after="0" w:line="276"/>
      </w:pPr>
      <w:r>
        <w:rPr>
          <w:color w:val="5A6069"/>
          <w:sz w:val="14"/>
          <w:szCs w:val="14"/>
        </w:rPr>
        <w:t xml:space="preserve">Funding: No funding statement; the document is an official statement of the European Society of Gastrointestinal Endoscopy. Nine of the 21 panel members declare ongoing consultancy, lecture, training or departmental research support from endoscopy device manufacturers including Boston Scientific, Olympus, MicroTech and Cook, and twelve declare none</w:t>
      </w:r>
    </w:p>
    <w:p>
      <w:pPr>
        <w:keepNext/>
        <w:spacing w:after="50" w:before="260"/>
      </w:pPr>
      <w:r>
        <w:rPr>
          <w:rFonts w:ascii="Cambria" w:cs="Cambria" w:eastAsia="Cambria" w:hAnsi="Cambria"/>
          <w:b/>
          <w:bCs/>
          <w:color w:val="17365D"/>
          <w:sz w:val="20"/>
          <w:szCs w:val="20"/>
        </w:rPr>
        <w:t xml:space="preserve">ESGE 2026</w:t>
      </w:r>
      <w:r>
        <w:rPr>
          <w:b/>
          <w:bCs/>
          <w:color w:val="176A87"/>
          <w:sz w:val="15"/>
          <w:szCs w:val="15"/>
        </w:rPr>
        <w:t xml:space="preserve">   Guideline</w:t>
      </w:r>
      <w:r>
        <w:rPr>
          <w:color w:val="5A6069"/>
          <w:sz w:val="15"/>
          <w:szCs w:val="15"/>
        </w:rPr>
        <w:t xml:space="preserve">   PMID 42692059</w:t>
      </w:r>
    </w:p>
    <w:p>
      <w:pPr>
        <w:spacing w:after="50" w:line="276"/>
      </w:pPr>
      <w:r>
        <w:rPr>
          <w:color w:val="5A6069"/>
          <w:sz w:val="17"/>
          <w:szCs w:val="17"/>
        </w:rPr>
        <w:t xml:space="preserve">Biliary stricture management: European Society of Gastrointestinal Endoscopy (ESGE) Guideline</w:t>
      </w:r>
    </w:p>
    <w:p>
      <w:pPr>
        <w:spacing w:after="70"/>
      </w:pPr>
      <w:r>
        <w:rPr>
          <w:b/>
          <w:bCs/>
          <w:color w:val="17365D"/>
          <w:sz w:val="16"/>
          <w:szCs w:val="16"/>
        </w:rPr>
        <w:t xml:space="preserve">Bottom line. </w:t>
      </w:r>
      <w:r>
        <w:rPr>
          <w:sz w:val="16"/>
          <w:szCs w:val="16"/>
        </w:rPr>
        <w:t xml:space="preserve">The 2026 ESGE guideline moves endoscopic drainage ahead of percutaneous drainage for hilar malignant obstruction in both the preoperative and the palliative setting, and raises the drainage target to more than 50% and ideally 70% or more of viable non-atrophic liver volume. The preoperative preference is a strong recommendation built on one prematurely terminated 54-patient trial whose primary endpoint was negative, while the same section prints a meta-analysis giving percutaneous drainage higher therapeutic success (OR 3.5, 95%CI 2.1-6.0), and the volume target has never been tested against survival, its supporting cohorts placing it at 50% and at 80%. Nothing in the document addresses resectability, extent of hepatectomy, portal vein embolisation or transplant candidacy, so it cannot tell a surgeon when to defer or redirect drainage.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Most of the recommendations in the guideline are based on low quality evidence, and the panel calls for high quality prospective studies and randomised trials given the constant technical evolution of therapeutic endoscopy</w:t>
            </w:r>
          </w:p>
          <w:p>
            <w:pPr>
              <w:pStyle w:val="ListParagraph"/>
              <w:numPr>
                <w:ilvl w:val="0"/>
                <w:numId w:val="2"/>
              </w:numPr>
              <w:spacing w:after="45"/>
            </w:pPr>
            <w:r>
              <w:rPr>
                <w:sz w:val="15"/>
                <w:szCs w:val="15"/>
              </w:rPr>
              <w:t xml:space="preserve">The quality of evidence for endoscopic against percutaneous preoperative drainage was downgraded to moderate because the risk of inconsistency could not be assessed, the evidence being a single randomised trial</w:t>
            </w:r>
          </w:p>
          <w:p>
            <w:pPr>
              <w:pStyle w:val="ListParagraph"/>
              <w:numPr>
                <w:ilvl w:val="0"/>
                <w:numId w:val="2"/>
              </w:numPr>
              <w:spacing w:after="45"/>
            </w:pPr>
            <w:r>
              <w:rPr>
                <w:sz w:val="15"/>
                <w:szCs w:val="15"/>
              </w:rPr>
              <w:t xml:space="preserve">For palliative hilar drainage the quality of evidence was downgraded to very low for high risk of bias in the literature, imprecision and publication bias</w:t>
            </w:r>
          </w:p>
          <w:p>
            <w:pPr>
              <w:pStyle w:val="ListParagraph"/>
              <w:numPr>
                <w:ilvl w:val="0"/>
                <w:numId w:val="2"/>
              </w:numPr>
              <w:spacing w:after="45"/>
            </w:pPr>
            <w:r>
              <w:rPr>
                <w:sz w:val="15"/>
                <w:szCs w:val="15"/>
              </w:rPr>
              <w:t xml:space="preserve">The evidence that percutaneous drainage carries greater morbidity than endoscopic drainage comes from trials dedicated to the preoperative setting and not to palliation, which the authors name as the central limitation when applying it to palliative drainage</w:t>
            </w:r>
          </w:p>
          <w:p>
            <w:pPr>
              <w:pStyle w:val="ListParagraph"/>
              <w:numPr>
                <w:ilvl w:val="0"/>
                <w:numId w:val="2"/>
              </w:numPr>
              <w:spacing w:after="45"/>
            </w:pPr>
            <w:r>
              <w:rPr>
                <w:sz w:val="15"/>
                <w:szCs w:val="15"/>
              </w:rPr>
              <w:t xml:space="preserve">Prospective extended experience in maximum biliary drainage and prospective evaluation of liver volumetry for palliative hilar obstruction, with survival and access to chemotherapy as the main outcomes, are listed as unmet needs</w:t>
            </w:r>
          </w:p>
          <w:p>
            <w:pPr>
              <w:pStyle w:val="ListParagraph"/>
              <w:numPr>
                <w:ilvl w:val="0"/>
                <w:numId w:val="2"/>
              </w:numPr>
              <w:spacing w:after="45"/>
            </w:pPr>
            <w:r>
              <w:rPr>
                <w:sz w:val="15"/>
                <w:szCs w:val="15"/>
              </w:rPr>
              <w:t xml:space="preserve">The number of endoscopic or EUS procedures required to achieve clinical success, and their associated cost and environmental impact, are named as a major gap in the literature when comparing procedures</w:t>
            </w:r>
          </w:p>
          <w:p>
            <w:pPr>
              <w:pStyle w:val="ListParagraph"/>
              <w:numPr>
                <w:ilvl w:val="0"/>
                <w:numId w:val="2"/>
              </w:numPr>
              <w:spacing w:after="45"/>
            </w:pPr>
            <w:r>
              <w:rPr>
                <w:sz w:val="15"/>
                <w:szCs w:val="15"/>
              </w:rPr>
              <w:t xml:space="preserve">The meta-analysis favouring percutaneous therapeutic success is limited by the fact that only one of its eleven studies was randomised, that 74% of the lesions were Bismuth III-IV, and that only 30% of the cohort received bilateral drainage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strong recommendation for endoscopic over percutaneous preoperative drainage in hilar obstruction is issued on a single randomised trial of 54 patients stopped at half its planned accrual, whose own authors call the mortality finding prone to type I error and whose primary endpoint was negative (severe complications 67% against 63%, relative risk 0.94, 0.64-1.40); the evidence is downgraded only to moderate</w:t>
            </w:r>
          </w:p>
          <w:p>
            <w:pPr>
              <w:pStyle w:val="ListParagraph"/>
              <w:numPr>
                <w:ilvl w:val="0"/>
                <w:numId w:val="2"/>
              </w:numPr>
              <w:spacing w:after="45"/>
            </w:pPr>
            <w:r>
              <w:rPr>
                <w:sz w:val="15"/>
                <w:szCs w:val="15"/>
              </w:rPr>
              <w:t xml:space="preserve">The guideline's own best comparative data run the other way: the meta-analysis cited in the same section gives percutaneous drainage higher therapeutic success (OR 3.5, 95%CI 2.1-6.0) with 11.5-fold more reintervention after endoscopic drainage (OR 11.5, 3.5-37.7), and the preference for endoscopic drainage is nonetheless stated in that section</w:t>
            </w:r>
          </w:p>
          <w:p>
            <w:pPr>
              <w:pStyle w:val="ListParagraph"/>
              <w:numPr>
                <w:ilvl w:val="0"/>
                <w:numId w:val="2"/>
              </w:numPr>
              <w:spacing w:after="45"/>
            </w:pPr>
            <w:r>
              <w:rPr>
                <w:sz w:val="15"/>
                <w:szCs w:val="15"/>
              </w:rPr>
              <w:t xml:space="preserve">The implantation-metastasis meta-analysis is quoted as confirming a higher risk with percutaneous drainage while the printed effect is OR 0.35 (95%CI 0.23 to 0.53), an odds ratio below 1, so the direction of the stated conclusion does not match the reported estimate</w:t>
            </w:r>
          </w:p>
          <w:p>
            <w:pPr>
              <w:pStyle w:val="ListParagraph"/>
              <w:numPr>
                <w:ilvl w:val="0"/>
                <w:numId w:val="2"/>
              </w:numPr>
              <w:spacing w:after="45"/>
            </w:pPr>
            <w:r>
              <w:rPr>
                <w:sz w:val="15"/>
                <w:szCs w:val="15"/>
              </w:rPr>
              <w:t xml:space="preserve">Two recommendations in the same subsection point in opposite directions for the same patient: endoscopic drainage is strongly recommended over percutaneous drainage for preoperative drainage in hilar malignant obstruction, and routine preoperative drainage is conditionally recommended against</w:t>
            </w:r>
          </w:p>
          <w:p>
            <w:pPr>
              <w:pStyle w:val="ListParagraph"/>
              <w:numPr>
                <w:ilvl w:val="0"/>
                <w:numId w:val="2"/>
              </w:numPr>
              <w:spacing w:after="45"/>
            </w:pPr>
            <w:r>
              <w:rPr>
                <w:sz w:val="15"/>
                <w:szCs w:val="15"/>
              </w:rPr>
              <w:t xml:space="preserve">No voting, agreement threshold or record of dissent appears anywhere; adaptations to recommendations and to their evidence grades were agreed by consensus among involved authors at an on-site meeting during ESGE Days 2025</w:t>
            </w:r>
          </w:p>
          <w:p>
            <w:pPr>
              <w:pStyle w:val="ListParagraph"/>
              <w:numPr>
                <w:ilvl w:val="0"/>
                <w:numId w:val="2"/>
              </w:numPr>
              <w:spacing w:after="45"/>
            </w:pPr>
            <w:r>
              <w:rPr>
                <w:sz w:val="15"/>
                <w:szCs w:val="15"/>
              </w:rPr>
              <w:t xml:space="preserve">The liver-volume target is raised from more than 50% to ideally 70% or more on low quality evidence, while the supporting cohorts place it at 50% and at 80% and no meta-analysis or comparative trial has ever tested a percentage threshold; the authors list prospective volumetry as an unmet need in the same document</w:t>
            </w:r>
          </w:p>
          <w:p>
            <w:pPr>
              <w:pStyle w:val="ListParagraph"/>
              <w:numPr>
                <w:ilvl w:val="0"/>
                <w:numId w:val="2"/>
              </w:numPr>
              <w:spacing w:after="45"/>
            </w:pPr>
            <w:r>
              <w:rPr>
                <w:sz w:val="15"/>
                <w:szCs w:val="15"/>
              </w:rPr>
              <w:t xml:space="preserve">The preference for EUS-guided drainage over percutaneous drainage in Bismuth III-IV rests on case series of 20, 34, 41 and 88 patients and on one propensity-matched comparison reporting a 58% adverse-event rate in the percutaneous arm, far above the 24% to 35% rates in the document's own other citations</w:t>
            </w:r>
          </w:p>
          <w:p>
            <w:pPr>
              <w:pStyle w:val="ListParagraph"/>
              <w:numPr>
                <w:ilvl w:val="0"/>
                <w:numId w:val="2"/>
              </w:numPr>
              <w:spacing w:after="45"/>
            </w:pPr>
            <w:r>
              <w:rPr>
                <w:sz w:val="15"/>
                <w:szCs w:val="15"/>
              </w:rPr>
              <w:t xml:space="preserve">The literature search ran only from 2017 to August 2024 as an update of the 2018 guideline, restricted to English, with further manual searches to 2025 performed by the authors at final editing and therefore outside the systematic process</w:t>
            </w:r>
          </w:p>
          <w:p>
            <w:pPr>
              <w:pStyle w:val="ListParagraph"/>
              <w:numPr>
                <w:ilvl w:val="0"/>
                <w:numId w:val="2"/>
              </w:numPr>
              <w:spacing w:after="45"/>
            </w:pPr>
            <w:r>
              <w:rPr>
                <w:sz w:val="15"/>
                <w:szCs w:val="15"/>
              </w:rPr>
              <w:t xml:space="preserve">This reverses the 2018 ESGE position, which allowed percutaneous drainage or combined endoscopic and percutaneous drainage for Bismuth III-IV, without new randomised evidence: the only post-2017 study in the supporting meta-analysis is the same prematurely terminated trial</w:t>
            </w:r>
          </w:p>
          <w:p>
            <w:pPr>
              <w:pStyle w:val="ListParagraph"/>
              <w:numPr>
                <w:ilvl w:val="0"/>
                <w:numId w:val="2"/>
              </w:numPr>
              <w:spacing w:after="45"/>
            </w:pPr>
            <w:r>
              <w:rPr>
                <w:sz w:val="15"/>
                <w:szCs w:val="15"/>
              </w:rPr>
              <w:t xml:space="preserve">The palliative hilar recommendation is graded very low quality and still states an order of preference, endoscopic drainage, then endoscopic plus EUS-guided drainage, over primary percutaneous drainage, which is a stronger claim than very low quality evidence supports</w:t>
            </w:r>
          </w:p>
          <w:p>
            <w:pPr>
              <w:pStyle w:val="ListParagraph"/>
              <w:numPr>
                <w:ilvl w:val="0"/>
                <w:numId w:val="2"/>
              </w:numPr>
              <w:spacing w:after="45"/>
            </w:pPr>
            <w:r>
              <w:rPr>
                <w:sz w:val="15"/>
                <w:szCs w:val="15"/>
              </w:rPr>
              <w:t xml:space="preserve">Scope is endoscopic only: nothing addresses resectability, the extent of hepatectomy with caudate resection, portal vein embolisation or transplant candidacy, so a surgeon cannot read off when drainage should be deferred or routed to protect a planned operation</w:t>
            </w:r>
          </w:p>
          <w:p>
            <w:pPr>
              <w:pStyle w:val="ListParagraph"/>
              <w:numPr>
                <w:ilvl w:val="0"/>
                <w:numId w:val="2"/>
              </w:numPr>
              <w:spacing w:after="45"/>
            </w:pPr>
            <w:r>
              <w:rPr>
                <w:sz w:val="15"/>
                <w:szCs w:val="15"/>
              </w:rPr>
              <w:t xml:space="preserve">Five authors declare consultancy, advisory or lecture relationships with the manufacturers of the stents and delivery systems whose use the recommendations expand, and the document does not record how those interests were managed</w:t>
            </w:r>
          </w:p>
          <w:p>
            <w:pPr>
              <w:pStyle w:val="ListParagraph"/>
              <w:numPr>
                <w:ilvl w:val="0"/>
                <w:numId w:val="2"/>
              </w:numPr>
              <w:spacing w:after="45"/>
            </w:pPr>
            <w:r>
              <w:rPr>
                <w:sz w:val="15"/>
                <w:szCs w:val="15"/>
              </w:rPr>
              <w:t xml:space="preserve">The bilateral-stent evidence cuts both ways in the same manner: in the cited randomised trial and in a 236-patient series, technical success was higher with unilateral stenting (98.8% against 82.5%) while clinical success favoured bilateral stenting, and the recommendation follows clinical success</w:t>
            </w:r>
          </w:p>
          <w:p>
            <w:pPr>
              <w:pStyle w:val="ListParagraph"/>
              <w:numPr>
                <w:ilvl w:val="0"/>
                <w:numId w:val="2"/>
              </w:numPr>
              <w:spacing w:after="45"/>
            </w:pPr>
            <w:r>
              <w:rPr>
                <w:sz w:val="15"/>
                <w:szCs w:val="15"/>
              </w:rPr>
              <w:t xml:space="preserve">Compare the 2024 Asia-Pacific consensus (PMID 39285860), which on much the same evidence sets the drainage target at more than 50% and favours multiple plastic stents in likely chemotherapy responders; the two documents disagree on route, target and stent choice</w:t>
            </w:r>
          </w:p>
          <w:p>
            <w:pPr>
              <w:pStyle w:val="ListParagraph"/>
              <w:numPr>
                <w:ilvl w:val="0"/>
                <w:numId w:val="2"/>
              </w:numPr>
              <w:spacing w:after="45"/>
            </w:pPr>
            <w:r>
              <w:rPr>
                <w:sz w:val="15"/>
                <w:szCs w:val="15"/>
              </w:rPr>
              <w:t xml:space="preserve">No linked editorial or comment was found in PubMed, the guideline having been published online 3 September 2026</w:t>
            </w:r>
          </w:p>
        </w:tc>
      </w:tr>
    </w:tbl>
    <w:p>
      <w:pPr>
        <w:spacing w:after="0" w:line="276"/>
      </w:pPr>
      <w:r>
        <w:rPr>
          <w:color w:val="5A6069"/>
          <w:sz w:val="14"/>
          <w:szCs w:val="14"/>
        </w:rPr>
        <w:t xml:space="preserve">Funding: Internally funded by the European Society of Gastrointestinal Endoscopy; five of the seventeen authors declare industry relationships (Arvanitakis lecture fees from Boston Scientific, Johnson advisory board and educational consultancy for Boston Scientific and advisory board of Olympus, Perez-Cuadrado Robles and Vanella consultancy to Boston Scientific, van Hooft consultancy fees from Olympus and lecture fees from Fujifilm and Cook Medical) and twelve declare none</w:t>
      </w:r>
    </w:p>
    <w:p>
      <w:pPr>
        <w:keepNext/>
        <w:spacing w:after="50" w:before="260"/>
      </w:pPr>
      <w:r>
        <w:rPr>
          <w:rFonts w:ascii="Cambria" w:cs="Cambria" w:eastAsia="Cambria" w:hAnsi="Cambria"/>
          <w:b/>
          <w:bCs/>
          <w:color w:val="17365D"/>
          <w:sz w:val="20"/>
          <w:szCs w:val="20"/>
        </w:rPr>
        <w:t xml:space="preserve">ESMO 2023</w:t>
      </w:r>
      <w:r>
        <w:rPr>
          <w:b/>
          <w:bCs/>
          <w:color w:val="176A87"/>
          <w:sz w:val="15"/>
          <w:szCs w:val="15"/>
        </w:rPr>
        <w:t xml:space="preserve">   Guideline</w:t>
      </w:r>
      <w:r>
        <w:rPr>
          <w:color w:val="5A6069"/>
          <w:sz w:val="15"/>
          <w:szCs w:val="15"/>
        </w:rPr>
        <w:t xml:space="preserve">   PMID 36372281</w:t>
      </w:r>
    </w:p>
    <w:p>
      <w:pPr>
        <w:spacing w:after="50" w:line="276"/>
      </w:pPr>
      <w:r>
        <w:rPr>
          <w:color w:val="5A6069"/>
          <w:sz w:val="17"/>
          <w:szCs w:val="17"/>
        </w:rPr>
        <w:t xml:space="preserve">Biliary tract cancer: ESMO Clinical Practice Guideline for diagnosis, treatment and follow-up</w:t>
      </w:r>
    </w:p>
    <w:p>
      <w:pPr>
        <w:spacing w:after="70"/>
      </w:pPr>
      <w:r>
        <w:rPr>
          <w:b/>
          <w:bCs/>
          <w:color w:val="17365D"/>
          <w:sz w:val="16"/>
          <w:szCs w:val="16"/>
        </w:rPr>
        <w:t xml:space="preserve">Bottom line. </w:t>
      </w:r>
      <w:r>
        <w:rPr>
          <w:sz w:val="16"/>
          <w:szCs w:val="16"/>
        </w:rPr>
        <w:t xml:space="preserve">The ESMO guideline is the reference document for systemic management of biliary tract cancer, and it sets the positions clinicians quote: core biopsy and molecular profiling, resection with lymphadenectomy as the only curative option, adjuvant capecitabine, gemcitabine-cisplatin with durvalumab first line, FOLFOX second line, and graded targeted options by alteration. For iCCA surgery it offers very little: most surgical recommendations are level III to V, technique is not addressed, and transplantation for iCCA is not mentioned at all. Its adjuvant recommendation is built on BILCAP's per-protocol rather than intention-to-treat result.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guideline records its uncertainty through evidence grades, with most surgical recommendations at level III to V, that is non-randomised or expert-opinion evidence</w:t>
            </w:r>
          </w:p>
          <w:p>
            <w:pPr>
              <w:pStyle w:val="ListParagraph"/>
              <w:numPr>
                <w:ilvl w:val="0"/>
                <w:numId w:val="2"/>
              </w:numPr>
              <w:spacing w:after="45"/>
            </w:pPr>
            <w:r>
              <w:rPr>
                <w:sz w:val="15"/>
                <w:szCs w:val="15"/>
              </w:rPr>
              <w:t xml:space="preserve">Ampullary cancer and mixed hepatocellular-cholangiocarcinoma are explicitly stated to be outside the scope</w:t>
            </w:r>
          </w:p>
          <w:p>
            <w:pPr>
              <w:pStyle w:val="ListParagraph"/>
              <w:numPr>
                <w:ilvl w:val="0"/>
                <w:numId w:val="2"/>
              </w:numPr>
              <w:spacing w:after="45"/>
            </w:pPr>
            <w:r>
              <w:rPr>
                <w:sz w:val="15"/>
                <w:szCs w:val="15"/>
              </w:rPr>
              <w:t xml:space="preserve">External beam radiotherapy or chemoradiotherapy as definitive treatment of locally advanced disease is graded II, D, that is recommended against outside trials, and liver transplantation for perihilar disease III, D</w:t>
            </w:r>
          </w:p>
          <w:p>
            <w:pPr>
              <w:pStyle w:val="ListParagraph"/>
              <w:numPr>
                <w:ilvl w:val="0"/>
                <w:numId w:val="2"/>
              </w:numPr>
              <w:spacing w:after="45"/>
            </w:pPr>
            <w:r>
              <w:rPr>
                <w:sz w:val="15"/>
                <w:szCs w:val="15"/>
              </w:rPr>
              <w:t xml:space="preserve">Several liver-directed recommendations are graded C, meaning insufficient evidence for efficacy or benefit not outweighing risk, including stereotactic radiotherapy and intra-arterial therapy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guideline makes no recommendation at all on liver transplantation for intrahepatic cholangiocarcinoma; transplantation appears only as a III, D statement about perihilar disease, so the question a transplant surgeon is asked most often is simply absent</w:t>
            </w:r>
          </w:p>
          <w:p>
            <w:pPr>
              <w:pStyle w:val="ListParagraph"/>
              <w:numPr>
                <w:ilvl w:val="0"/>
                <w:numId w:val="2"/>
              </w:numPr>
              <w:spacing w:after="45"/>
            </w:pPr>
            <w:r>
              <w:rPr>
                <w:sz w:val="15"/>
                <w:szCs w:val="15"/>
              </w:rPr>
              <w:t xml:space="preserve">Adjuvant capecitabine is recommended at II, A on BILCAP's per-protocol median of 53 against 36 months and the adjusted per-protocol hazard ratio of 0.75 (0.58-0.97); the intention-to-treat result that the trial actually prespecified, HR 0.81 (0.63-1.04), p = 0.097, is not quoted beside it</w:t>
            </w:r>
          </w:p>
          <w:p>
            <w:pPr>
              <w:pStyle w:val="ListParagraph"/>
              <w:numPr>
                <w:ilvl w:val="0"/>
                <w:numId w:val="2"/>
              </w:numPr>
              <w:spacing w:after="45"/>
            </w:pPr>
            <w:r>
              <w:rPr>
                <w:sz w:val="15"/>
                <w:szCs w:val="15"/>
              </w:rPr>
              <w:t xml:space="preserve">Four anatomically and biologically distinct diseases are managed under one algorithm, with no stratification by subsite for most recommendations and none by aetiology such as liver fluke, hepatolithiasis, primary sclerosing cholangitis or viral hepatitis</w:t>
            </w:r>
          </w:p>
          <w:p>
            <w:pPr>
              <w:pStyle w:val="ListParagraph"/>
              <w:numPr>
                <w:ilvl w:val="0"/>
                <w:numId w:val="2"/>
              </w:numPr>
              <w:spacing w:after="45"/>
            </w:pPr>
            <w:r>
              <w:rPr>
                <w:sz w:val="15"/>
                <w:szCs w:val="15"/>
              </w:rPr>
              <w:t xml:space="preserve">Core biopsy before any non-surgical treatment is recommended at III, A with no guidance on what to do when the biopsy is inconclusive, which in this disease is common, and no acknowledgement that biopsy is constrained in prospective transplant candidates by seeding concerns</w:t>
            </w:r>
          </w:p>
          <w:p>
            <w:pPr>
              <w:pStyle w:val="ListParagraph"/>
              <w:numPr>
                <w:ilvl w:val="0"/>
                <w:numId w:val="2"/>
              </w:numPr>
              <w:spacing w:after="45"/>
            </w:pPr>
            <w:r>
              <w:rPr>
                <w:sz w:val="15"/>
                <w:szCs w:val="15"/>
              </w:rPr>
              <w:t xml:space="preserve">Surgical technique is not addressed anywhere: there is no recommendation on minimally invasive against open resection despite rapidly growing laparoscopic and robotic practice</w:t>
            </w:r>
          </w:p>
          <w:p>
            <w:pPr>
              <w:pStyle w:val="ListParagraph"/>
              <w:numPr>
                <w:ilvl w:val="0"/>
                <w:numId w:val="2"/>
              </w:numPr>
              <w:spacing w:after="45"/>
            </w:pPr>
            <w:r>
              <w:rPr>
                <w:sz w:val="15"/>
                <w:szCs w:val="15"/>
              </w:rPr>
              <w:t xml:space="preserve">The IV, C recommendation to resect laparoscopic port sites at gallbladder cancer re-resection conflicts with published data showing port-site metastases mark peritoneal disease without resection improving survival or recurrence, and the guideline does not engage that evidence</w:t>
            </w:r>
          </w:p>
          <w:p>
            <w:pPr>
              <w:pStyle w:val="ListParagraph"/>
              <w:numPr>
                <w:ilvl w:val="0"/>
                <w:numId w:val="2"/>
              </w:numPr>
              <w:spacing w:after="45"/>
            </w:pPr>
            <w:r>
              <w:rPr>
                <w:sz w:val="15"/>
                <w:szCs w:val="15"/>
              </w:rPr>
              <w:t xml:space="preserve">Hepatic arterial infusion is graded III, C although the phase II data it cites report 39% to 56% response rates against roughly 21% with gemcitabine-cisplatin in the ABC trials, so the grade reflects trial design rather than the effect size the guideline itself reports</w:t>
            </w:r>
          </w:p>
          <w:p>
            <w:pPr>
              <w:pStyle w:val="ListParagraph"/>
              <w:numPr>
                <w:ilvl w:val="0"/>
                <w:numId w:val="2"/>
              </w:numPr>
              <w:spacing w:after="45"/>
            </w:pPr>
            <w:r>
              <w:rPr>
                <w:sz w:val="15"/>
                <w:szCs w:val="15"/>
              </w:rPr>
              <w:t xml:space="preserve">Durvalumab is recommended at I, A with an ESMO-MCBS score of 4 on a TOPAZ-1 hazard ratio of 0.76, while the absolute median survival gain in that trial was 1.3 months at an interim analysis with proportional hazards violated; the magnitude-of-benefit score is not reconciled with the absolute difference</w:t>
            </w:r>
          </w:p>
          <w:p>
            <w:pPr>
              <w:pStyle w:val="ListParagraph"/>
              <w:numPr>
                <w:ilvl w:val="0"/>
                <w:numId w:val="2"/>
              </w:numPr>
              <w:spacing w:after="45"/>
            </w:pPr>
            <w:r>
              <w:rPr>
                <w:sz w:val="15"/>
                <w:szCs w:val="15"/>
              </w:rPr>
              <w:t xml:space="preserve">FGFR inhibitors, pembrolizumab for MSI-high disease and dabrafenib-trametinib are all graded III, A, that is strong recommendations on single-arm evidence, and their response rates of 20-40%, 40.9% and 51% come from trials with no comparator</w:t>
            </w:r>
          </w:p>
          <w:p>
            <w:pPr>
              <w:pStyle w:val="ListParagraph"/>
              <w:numPr>
                <w:ilvl w:val="0"/>
                <w:numId w:val="2"/>
              </w:numPr>
              <w:spacing w:after="45"/>
            </w:pPr>
            <w:r>
              <w:rPr>
                <w:sz w:val="15"/>
                <w:szCs w:val="15"/>
              </w:rPr>
              <w:t xml:space="preserve">Routine hepatoduodenal lymphadenectomy for iCCA is recommended at IV, A, a strong recommendation on the weakest evidence level, with no stated number of nodes, no survival estimate and no acknowledgement that the adjuvant trials on which the guideline relies did not mandate it</w:t>
            </w:r>
          </w:p>
          <w:p>
            <w:pPr>
              <w:pStyle w:val="ListParagraph"/>
              <w:numPr>
                <w:ilvl w:val="0"/>
                <w:numId w:val="2"/>
              </w:numPr>
              <w:spacing w:after="45"/>
            </w:pPr>
            <w:r>
              <w:rPr>
                <w:sz w:val="15"/>
                <w:szCs w:val="15"/>
              </w:rPr>
              <w:t xml:space="preserve">The lead author declares relationships with more than twenty companies including the manufacturers of durvalumab, pemigatinib, ivosidenib and the microsphere and infusion products discussed, while ESMO reports no external funding for the guideline itself</w:t>
            </w:r>
          </w:p>
          <w:p>
            <w:pPr>
              <w:pStyle w:val="ListParagraph"/>
              <w:numPr>
                <w:ilvl w:val="0"/>
                <w:numId w:val="2"/>
              </w:numPr>
              <w:spacing w:after="45"/>
            </w:pPr>
            <w:r>
              <w:rPr>
                <w:sz w:val="15"/>
                <w:szCs w:val="15"/>
              </w:rPr>
              <w:t xml:space="preserve">The guideline was approved for publication in October 2022 and so predates the full ASCOT publication and the HER2 and FGFR approvals that followed, while remaining the parent document for the 2025 interim update</w:t>
            </w:r>
          </w:p>
          <w:p>
            <w:pPr>
              <w:pStyle w:val="ListParagraph"/>
              <w:numPr>
                <w:ilvl w:val="0"/>
                <w:numId w:val="2"/>
              </w:numPr>
              <w:spacing w:after="45"/>
            </w:pPr>
            <w:r>
              <w:rPr>
                <w:sz w:val="15"/>
                <w:szCs w:val="15"/>
              </w:rPr>
              <w:t xml:space="preserve">A surgical-oncology commentary by Maker (Hepatobiliary Surg Nutr 2024;13:516-519, PMID 38911219) discusses these guidelines; it was identified from the citation record and not read here</w:t>
            </w:r>
          </w:p>
        </w:tc>
      </w:tr>
    </w:tbl>
    <w:p>
      <w:pPr>
        <w:spacing w:after="0" w:line="276"/>
      </w:pPr>
      <w:r>
        <w:rPr>
          <w:color w:val="5A6069"/>
          <w:sz w:val="14"/>
          <w:szCs w:val="14"/>
        </w:rPr>
        <w:t xml:space="preserve">Funding: No external funding; production costs covered by ESMO central funds, with editorial and ESMO-MCBS support funded by ESMO; the lead author declares speaker, consultancy and advisory fees from more than twenty companies including AstraZeneca, BTG, Incyte, Roche, Servier, Sirtex, Taiho and Terumo, and research funding from Incyte and Servier</w:t>
      </w:r>
    </w:p>
    <w:p>
      <w:pPr>
        <w:keepNext/>
        <w:spacing w:after="50" w:before="260"/>
      </w:pPr>
      <w:r>
        <w:rPr>
          <w:rFonts w:ascii="Cambria" w:cs="Cambria" w:eastAsia="Cambria" w:hAnsi="Cambria"/>
          <w:b/>
          <w:bCs/>
          <w:color w:val="17365D"/>
          <w:sz w:val="20"/>
          <w:szCs w:val="20"/>
        </w:rPr>
        <w:t xml:space="preserve">ESMO 2024 interim</w:t>
      </w:r>
      <w:r>
        <w:rPr>
          <w:b/>
          <w:bCs/>
          <w:color w:val="176A87"/>
          <w:sz w:val="15"/>
          <w:szCs w:val="15"/>
        </w:rPr>
        <w:t xml:space="preserve">   Guideline</w:t>
      </w:r>
      <w:r>
        <w:rPr>
          <w:color w:val="5A6069"/>
          <w:sz w:val="15"/>
          <w:szCs w:val="15"/>
        </w:rPr>
        <w:t xml:space="preserve">   PMID 39864891</w:t>
      </w:r>
    </w:p>
    <w:p>
      <w:pPr>
        <w:spacing w:after="50" w:line="276"/>
      </w:pPr>
      <w:r>
        <w:rPr>
          <w:color w:val="5A6069"/>
          <w:sz w:val="17"/>
          <w:szCs w:val="17"/>
        </w:rPr>
        <w:t xml:space="preserve">ESMO Clinical Practice Guideline interim update on the management of biliary tract cancer</w:t>
      </w:r>
    </w:p>
    <w:p>
      <w:pPr>
        <w:spacing w:after="70"/>
      </w:pPr>
      <w:r>
        <w:rPr>
          <w:b/>
          <w:bCs/>
          <w:color w:val="17365D"/>
          <w:sz w:val="16"/>
          <w:szCs w:val="16"/>
        </w:rPr>
        <w:t xml:space="preserve">Bottom line. </w:t>
      </w:r>
      <w:r>
        <w:rPr>
          <w:sz w:val="16"/>
          <w:szCs w:val="16"/>
        </w:rPr>
        <w:t xml:space="preserve">This interim update brings the ESMO biliary tract cancer guideline up to date on molecular diagnostics and advanced disease: profile at the start of first-line treatment, add either durvalumab or pembrolizumab to gemcitabine-cisplatin, avoid triplets, and use futibatinib, pemigatinib, HER2-directed agents, NTRK and RET inhibitors by alteration. Nearly all of it is level III evidence graded A, so strong recommendations rest on single-arm and basket-trial data, and the two HER2 recommendations depend on an assay the same document says cannot be specified. It is silent on surgery, adjuvant therapy, staging and transplantation.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there are no standardised criteria for assessing HER2 status in biliary tract cancer and that no specific test can be recommended, with gastric cancer immunohistochemistry criteria suggested as the best available</w:t>
            </w:r>
          </w:p>
          <w:p>
            <w:pPr>
              <w:pStyle w:val="ListParagraph"/>
              <w:numPr>
                <w:ilvl w:val="0"/>
                <w:numId w:val="2"/>
              </w:numPr>
              <w:spacing w:after="45"/>
            </w:pPr>
            <w:r>
              <w:rPr>
                <w:sz w:val="15"/>
                <w:szCs w:val="15"/>
              </w:rPr>
              <w:t xml:space="preserve">They state that no clinical, biochemical or molecular biomarker favours one checkpoint inhibitor over the other</w:t>
            </w:r>
          </w:p>
          <w:p>
            <w:pPr>
              <w:pStyle w:val="ListParagraph"/>
              <w:numPr>
                <w:ilvl w:val="0"/>
                <w:numId w:val="2"/>
              </w:numPr>
              <w:spacing w:after="45"/>
            </w:pPr>
            <w:r>
              <w:rPr>
                <w:sz w:val="15"/>
                <w:szCs w:val="15"/>
              </w:rPr>
              <w:t xml:space="preserve">They note that several recommended agents are approved by the FDA but not the EMA, and that repotrectinib is approved by neither</w:t>
            </w:r>
          </w:p>
          <w:p>
            <w:pPr>
              <w:pStyle w:val="ListParagraph"/>
              <w:numPr>
                <w:ilvl w:val="0"/>
                <w:numId w:val="2"/>
              </w:numPr>
              <w:spacing w:after="45"/>
            </w:pPr>
            <w:r>
              <w:rPr>
                <w:sz w:val="15"/>
                <w:szCs w:val="15"/>
              </w:rPr>
              <w:t xml:space="preserve">The literature was selected by the two expert authors rather than by systematic review</w:t>
            </w:r>
          </w:p>
          <w:p>
            <w:pPr>
              <w:pStyle w:val="ListParagraph"/>
              <w:numPr>
                <w:ilvl w:val="0"/>
                <w:numId w:val="2"/>
              </w:numPr>
              <w:spacing w:after="45"/>
            </w:pPr>
            <w:r>
              <w:rPr>
                <w:sz w:val="15"/>
                <w:szCs w:val="15"/>
              </w:rPr>
              <w:t xml:space="preserve">NTRK and RET fusions are acknowledged to be rare and to have been tested only in basket trials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Almost every recommendation added here is level III, grade A, which means a strong recommendation on single-arm phase II or basket-trial data with no randomised comparator; the grade and the evidence level point in opposite directions throughout</w:t>
            </w:r>
          </w:p>
          <w:p>
            <w:pPr>
              <w:pStyle w:val="ListParagraph"/>
              <w:numPr>
                <w:ilvl w:val="0"/>
                <w:numId w:val="2"/>
              </w:numPr>
              <w:spacing w:after="45"/>
            </w:pPr>
            <w:r>
              <w:rPr>
                <w:sz w:val="15"/>
                <w:szCs w:val="15"/>
              </w:rPr>
              <w:t xml:space="preserve">Two HER2-directed treatments are recommended while the same document states that no HER2 assay can be recommended in this disease, so the recommendations cannot be executed as written and borrowing gastric cancer criteria is offered without validation data in biliary tumours</w:t>
            </w:r>
          </w:p>
          <w:p>
            <w:pPr>
              <w:pStyle w:val="ListParagraph"/>
              <w:numPr>
                <w:ilvl w:val="0"/>
                <w:numId w:val="2"/>
              </w:numPr>
              <w:spacing w:after="45"/>
            </w:pPr>
            <w:r>
              <w:rPr>
                <w:sz w:val="15"/>
                <w:szCs w:val="15"/>
              </w:rPr>
              <w:t xml:space="preserve">Durvalumab and pembrolizumab are declared interchangeable on an indirect comparison of TOPAZ-1 and KEYNOTE-966, which differ in chemotherapy duration (eight cycles capped against treatment to progression), in geography and in population; no randomised comparison exists and the document does not state the limits of that inference</w:t>
            </w:r>
          </w:p>
          <w:p>
            <w:pPr>
              <w:pStyle w:val="ListParagraph"/>
              <w:numPr>
                <w:ilvl w:val="0"/>
                <w:numId w:val="2"/>
              </w:numPr>
              <w:spacing w:after="45"/>
            </w:pPr>
            <w:r>
              <w:rPr>
                <w:sz w:val="15"/>
                <w:szCs w:val="15"/>
              </w:rPr>
              <w:t xml:space="preserve">The whole document was written by two authors with ESMO committee review, so the evidence selection rests on two readers and no search strategy, date range or inclusion criteria are reported</w:t>
            </w:r>
          </w:p>
          <w:p>
            <w:pPr>
              <w:pStyle w:val="ListParagraph"/>
              <w:numPr>
                <w:ilvl w:val="0"/>
                <w:numId w:val="2"/>
              </w:numPr>
              <w:spacing w:after="45"/>
            </w:pPr>
            <w:r>
              <w:rPr>
                <w:sz w:val="15"/>
                <w:szCs w:val="15"/>
              </w:rPr>
              <w:t xml:space="preserve">Molecular profiling is recommended at level I, grade A at the start of first-line therapy for a panel of eight gene targets, without any statement of the expected yield, the assay failure rate or what to do when profiling fails, which in biliary specimens is common</w:t>
            </w:r>
          </w:p>
          <w:p>
            <w:pPr>
              <w:pStyle w:val="ListParagraph"/>
              <w:numPr>
                <w:ilvl w:val="0"/>
                <w:numId w:val="2"/>
              </w:numPr>
              <w:spacing w:after="45"/>
            </w:pPr>
            <w:r>
              <w:rPr>
                <w:sz w:val="15"/>
                <w:szCs w:val="15"/>
              </w:rPr>
              <w:t xml:space="preserve">The futibatinib and pemigatinib recommendations carry ESMO-MCBS scores of 3 and 2 from single-arm trials where the magnitude-of-benefit scale has no comparator to score against</w:t>
            </w:r>
          </w:p>
          <w:p>
            <w:pPr>
              <w:pStyle w:val="ListParagraph"/>
              <w:numPr>
                <w:ilvl w:val="0"/>
                <w:numId w:val="2"/>
              </w:numPr>
              <w:spacing w:after="45"/>
            </w:pPr>
            <w:r>
              <w:rPr>
                <w:sz w:val="15"/>
                <w:szCs w:val="15"/>
              </w:rPr>
              <w:t xml:space="preserve">Hepatic arterial infusion and selective internal radiotherapy are relegated to supplementary material with no graded recommendation, so the liver-directed options that matter most in liver-confined iCCA are effectively removed from the update</w:t>
            </w:r>
          </w:p>
          <w:p>
            <w:pPr>
              <w:pStyle w:val="ListParagraph"/>
              <w:numPr>
                <w:ilvl w:val="0"/>
                <w:numId w:val="2"/>
              </w:numPr>
              <w:spacing w:after="45"/>
            </w:pPr>
            <w:r>
              <w:rPr>
                <w:sz w:val="15"/>
                <w:szCs w:val="15"/>
              </w:rPr>
              <w:t xml:space="preserve">Nothing is added on resection, adjuvant therapy, nodal staging or transplantation, so the update modernises only the systemic half of the parent guideline while being cited as the current ESMO position overall</w:t>
            </w:r>
          </w:p>
          <w:p>
            <w:pPr>
              <w:pStyle w:val="ListParagraph"/>
              <w:numPr>
                <w:ilvl w:val="0"/>
                <w:numId w:val="2"/>
              </w:numPr>
              <w:spacing w:after="45"/>
            </w:pPr>
            <w:r>
              <w:rPr>
                <w:sz w:val="15"/>
                <w:szCs w:val="15"/>
              </w:rPr>
              <w:t xml:space="preserve">The DESTINY-PanTumor02 response rate of 56.3% quoted for trastuzumab deruxtecan comes from an immunohistochemistry 3+ subgroup of a pan-tumour basket trial, and the number of biliary patients behind it is not given in the update</w:t>
            </w:r>
          </w:p>
          <w:p>
            <w:pPr>
              <w:pStyle w:val="ListParagraph"/>
              <w:numPr>
                <w:ilvl w:val="0"/>
                <w:numId w:val="2"/>
              </w:numPr>
              <w:spacing w:after="45"/>
            </w:pPr>
            <w:r>
              <w:rPr>
                <w:sz w:val="15"/>
                <w:szCs w:val="15"/>
              </w:rPr>
              <w:t xml:space="preserve">Triplet chemotherapy is rejected on two negative randomised trials while the one positive Japanese triplet is reported without a recommendation either way, leaving the reader with a geographically split evidence base and no guidance</w:t>
            </w:r>
          </w:p>
          <w:p>
            <w:pPr>
              <w:pStyle w:val="ListParagraph"/>
              <w:numPr>
                <w:ilvl w:val="0"/>
                <w:numId w:val="2"/>
              </w:numPr>
              <w:spacing w:after="45"/>
            </w:pPr>
            <w:r>
              <w:rPr>
                <w:sz w:val="15"/>
                <w:szCs w:val="15"/>
              </w:rPr>
              <w:t xml:space="preserve">Both authors declare advisory and speaker relationships with the manufacturers of the recommended agents, in a document whose entire content is which drug to give</w:t>
            </w:r>
          </w:p>
          <w:p>
            <w:pPr>
              <w:pStyle w:val="ListParagraph"/>
              <w:numPr>
                <w:ilvl w:val="0"/>
                <w:numId w:val="2"/>
              </w:numPr>
              <w:spacing w:after="45"/>
            </w:pPr>
            <w:r>
              <w:rPr>
                <w:sz w:val="15"/>
                <w:szCs w:val="15"/>
              </w:rPr>
              <w:t xml:space="preserve">Small duct intrahepatic cholangiocarcinoma is singled out as enriched for actionable targets, but no recommendation is conditioned on that subtype and no prevalence figures by subtype are given</w:t>
            </w:r>
          </w:p>
          <w:p>
            <w:pPr>
              <w:pStyle w:val="ListParagraph"/>
              <w:numPr>
                <w:ilvl w:val="0"/>
                <w:numId w:val="2"/>
              </w:numPr>
              <w:spacing w:after="45"/>
            </w:pPr>
            <w:r>
              <w:rPr>
                <w:sz w:val="15"/>
                <w:szCs w:val="15"/>
              </w:rPr>
              <w:t xml:space="preserve">No linked editorial or comment was found in PubMed, so no independent published appraisal accompanies the update</w:t>
            </w:r>
          </w:p>
        </w:tc>
      </w:tr>
    </w:tbl>
    <w:p>
      <w:pPr>
        <w:spacing w:after="0" w:line="276"/>
      </w:pPr>
      <w:r>
        <w:rPr>
          <w:color w:val="5A6069"/>
          <w:sz w:val="14"/>
          <w:szCs w:val="14"/>
        </w:rPr>
        <w:t xml:space="preserve">Funding: No external funding; production costs covered by ESMO central funds with editorial support from a medical communications agency funded by ESMO; both authors declare extensive advisory board, speaker and steering-committee fees, including from AbbVie, Amgen, AstraZeneca, Eisai, Incyte, Ipsen, MSD, Roche, Servier, Taiho and Tyra</w:t>
      </w:r>
    </w:p>
    <w:p>
      <w:pPr>
        <w:keepNext/>
        <w:spacing w:after="50" w:before="260"/>
      </w:pPr>
      <w:r>
        <w:rPr>
          <w:rFonts w:ascii="Cambria" w:cs="Cambria" w:eastAsia="Cambria" w:hAnsi="Cambria"/>
          <w:b/>
          <w:bCs/>
          <w:color w:val="17365D"/>
          <w:sz w:val="20"/>
          <w:szCs w:val="20"/>
        </w:rPr>
        <w:t xml:space="preserve">FIGHT-202</w:t>
      </w:r>
      <w:r>
        <w:rPr>
          <w:b/>
          <w:bCs/>
          <w:color w:val="176A87"/>
          <w:sz w:val="15"/>
          <w:szCs w:val="15"/>
        </w:rPr>
        <w:t xml:space="preserve">   Prospective trial</w:t>
      </w:r>
      <w:r>
        <w:rPr>
          <w:color w:val="5A6069"/>
          <w:sz w:val="15"/>
          <w:szCs w:val="15"/>
        </w:rPr>
        <w:t xml:space="preserve">   PMID 38838500</w:t>
      </w:r>
    </w:p>
    <w:p>
      <w:pPr>
        <w:spacing w:after="50" w:line="276"/>
      </w:pPr>
      <w:r>
        <w:rPr>
          <w:color w:val="5A6069"/>
          <w:sz w:val="17"/>
          <w:szCs w:val="17"/>
        </w:rPr>
        <w:t xml:space="preserve">An open-label study of pemigatinib in cholangiocarcinoma: final results from FIGHT-202</w:t>
      </w:r>
    </w:p>
    <w:p>
      <w:pPr>
        <w:spacing w:after="50"/>
      </w:pPr>
      <w:r>
        <w:rPr>
          <w:b/>
          <w:bCs/>
          <w:color w:val="176A87"/>
          <w:sz w:val="16"/>
          <w:szCs w:val="16"/>
        </w:rPr>
        <w:t xml:space="preserve">Population. </w:t>
      </w:r>
      <w:r>
        <w:rPr>
          <w:sz w:val="16"/>
          <w:szCs w:val="16"/>
        </w:rPr>
        <w:t xml:space="preserve">147 patients with previously treated advanced or metastatic cholangiocarcinoma at 146 sites in 12 countries, assigned by central FGF/FGFR status to cohort A with FGFR2 fusions or rearrangements (108), cohort B with other alterations (20) and cohort C with none (17); 90% had intrahepatic disease and 107 of 108 in cohort A were intrahepatic, with median follow-up of 42.9 months in cohort A</w:t>
      </w:r>
    </w:p>
    <w:p>
      <w:pPr>
        <w:spacing w:after="70"/>
      </w:pPr>
      <w:r>
        <w:rPr>
          <w:b/>
          <w:bCs/>
          <w:color w:val="17365D"/>
          <w:sz w:val="16"/>
          <w:szCs w:val="16"/>
        </w:rPr>
        <w:t xml:space="preserve">Bottom line. </w:t>
      </w:r>
      <w:r>
        <w:rPr>
          <w:sz w:val="16"/>
          <w:szCs w:val="16"/>
        </w:rPr>
        <w:t xml:space="preserve">The final FIGHT-202 analysis confirms pemigatinib's activity in FGFR2-fusion cholangiocarcinoma at 42.9 months of follow-up: 37.0% response, 9.1-month median duration of response, 7.0 months progression-free survival and 17.5 months overall survival, with no responses at all outside the FGFR2-fusion cohort. It cannot quantify benefit, being single-arm in a molecular subgroup with a known more favourable natural history, and its durability case rests on comparing responders with non-responders. Two-thirds progressed within a year, every patient had an adverse event and 68.7% had one of grade 3 or worse.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design included no active comparator treatment arm</w:t>
            </w:r>
          </w:p>
          <w:p>
            <w:pPr>
              <w:pStyle w:val="ListParagraph"/>
              <w:numPr>
                <w:ilvl w:val="0"/>
                <w:numId w:val="2"/>
              </w:numPr>
              <w:spacing w:after="45"/>
            </w:pPr>
            <w:r>
              <w:rPr>
                <w:sz w:val="15"/>
                <w:szCs w:val="15"/>
              </w:rPr>
              <w:t xml:space="preserve">Small numbers in the patient subgroups limit interpretation of efficacy by demographic and disease characteristics</w:t>
            </w:r>
          </w:p>
          <w:p>
            <w:pPr>
              <w:pStyle w:val="ListParagraph"/>
              <w:numPr>
                <w:ilvl w:val="0"/>
                <w:numId w:val="2"/>
              </w:numPr>
              <w:spacing w:after="45"/>
            </w:pPr>
            <w:r>
              <w:rPr>
                <w:sz w:val="15"/>
                <w:szCs w:val="15"/>
              </w:rPr>
              <w:t xml:space="preserve">The authors refer the reader to the earlier primary report for the trial's other limitations rather than restating them</w:t>
            </w:r>
          </w:p>
          <w:p>
            <w:pPr>
              <w:pStyle w:val="ListParagraph"/>
              <w:numPr>
                <w:ilvl w:val="0"/>
                <w:numId w:val="2"/>
              </w:numPr>
              <w:spacing w:after="45"/>
            </w:pPr>
            <w:r>
              <w:rPr>
                <w:sz w:val="15"/>
                <w:szCs w:val="15"/>
              </w:rPr>
              <w:t xml:space="preserve">They note that routine comprehensive genomic profiling is needed to find patients who might benefit, and that the first-line role of FGFR inhibition remains for FIGHT-302 to establish</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With no comparator, a 37.0% response rate and 17.5-month median survival cannot be separated from the biology of FGFR2-fusion disease, which the paper itself states carries longer survival from diagnosis than FGFR2-wild-type cholangiocarcinoma</w:t>
            </w:r>
          </w:p>
          <w:p>
            <w:pPr>
              <w:pStyle w:val="ListParagraph"/>
              <w:numPr>
                <w:ilvl w:val="0"/>
                <w:numId w:val="2"/>
              </w:numPr>
              <w:spacing w:after="45"/>
            </w:pPr>
            <w:r>
              <w:rPr>
                <w:sz w:val="15"/>
                <w:szCs w:val="15"/>
              </w:rPr>
              <w:t xml:space="preserve">The headline response rate fell from 35.5% in the 2020 primary report to 37.0% here on a differently sized cohort (108 against 107), and the two figures are quoted interchangeably in the literature without noting that the denominator changed</w:t>
            </w:r>
          </w:p>
          <w:p>
            <w:pPr>
              <w:pStyle w:val="ListParagraph"/>
              <w:numPr>
                <w:ilvl w:val="0"/>
                <w:numId w:val="2"/>
              </w:numPr>
              <w:spacing w:after="45"/>
            </w:pPr>
            <w:r>
              <w:rPr>
                <w:sz w:val="15"/>
                <w:szCs w:val="15"/>
              </w:rPr>
              <w:t xml:space="preserve">The 46.1-month median survival in responders against 13.7 months in non-responders is the central durability claim and is a comparison of patients defined by their outcome; responder analyses of this kind cannot establish benefit</w:t>
            </w:r>
          </w:p>
          <w:p>
            <w:pPr>
              <w:pStyle w:val="ListParagraph"/>
              <w:numPr>
                <w:ilvl w:val="0"/>
                <w:numId w:val="2"/>
              </w:numPr>
              <w:spacing w:after="45"/>
            </w:pPr>
            <w:r>
              <w:rPr>
                <w:sz w:val="15"/>
                <w:szCs w:val="15"/>
              </w:rPr>
              <w:t xml:space="preserve">Cohorts B and C are 20 and 17 patients with zero responses, so the clean negative result the paper relies on to define the biomarker is a weak negative that cannot exclude a response rate of 10% or more</w:t>
            </w:r>
          </w:p>
          <w:p>
            <w:pPr>
              <w:pStyle w:val="ListParagraph"/>
              <w:numPr>
                <w:ilvl w:val="0"/>
                <w:numId w:val="2"/>
              </w:numPr>
              <w:spacing w:after="45"/>
            </w:pPr>
            <w:r>
              <w:rPr>
                <w:sz w:val="15"/>
                <w:szCs w:val="15"/>
              </w:rPr>
              <w:t xml:space="preserve">Only 12 of 40 responders (30.0%) responded for 12 months or longer and 12-month progression-free survival was 32.3%, so two-thirds of patients had progressed within a year</w:t>
            </w:r>
          </w:p>
          <w:p>
            <w:pPr>
              <w:pStyle w:val="ListParagraph"/>
              <w:numPr>
                <w:ilvl w:val="0"/>
                <w:numId w:val="2"/>
              </w:numPr>
              <w:spacing w:after="45"/>
            </w:pPr>
            <w:r>
              <w:rPr>
                <w:sz w:val="15"/>
                <w:szCs w:val="15"/>
              </w:rPr>
              <w:t xml:space="preserve">Every patient had a treatment-emergent adverse event, 68.7% grade 3 or worse and 46.3% serious, with dose interruption in 42.2% and discontinuation in 10.2%; this is a demanding drug and the abstract characterises the events as manageable</w:t>
            </w:r>
          </w:p>
          <w:p>
            <w:pPr>
              <w:pStyle w:val="ListParagraph"/>
              <w:numPr>
                <w:ilvl w:val="0"/>
                <w:numId w:val="2"/>
              </w:numPr>
              <w:spacing w:after="45"/>
            </w:pPr>
            <w:r>
              <w:rPr>
                <w:sz w:val="15"/>
                <w:szCs w:val="15"/>
              </w:rPr>
              <w:t xml:space="preserve">Six fatal events (4.1%) occurred, none judged treatment related, with the attribution made by investigators and no independent adjudication described</w:t>
            </w:r>
          </w:p>
          <w:p>
            <w:pPr>
              <w:pStyle w:val="ListParagraph"/>
              <w:numPr>
                <w:ilvl w:val="0"/>
                <w:numId w:val="2"/>
              </w:numPr>
              <w:spacing w:after="45"/>
            </w:pPr>
            <w:r>
              <w:rPr>
                <w:sz w:val="15"/>
                <w:szCs w:val="15"/>
              </w:rPr>
              <w:t xml:space="preserve">The TP53 hazard ratio of 3.33 (1.48-7.52) and PBRM1 hazard ratio of 2.46 (1.24-4.87) are exploratory co-alteration analyses in a 108-patient cohort with no multiplicity adjustment, offered as prognostic findings</w:t>
            </w:r>
          </w:p>
          <w:p>
            <w:pPr>
              <w:pStyle w:val="ListParagraph"/>
              <w:numPr>
                <w:ilvl w:val="0"/>
                <w:numId w:val="2"/>
              </w:numPr>
              <w:spacing w:after="45"/>
            </w:pPr>
            <w:r>
              <w:rPr>
                <w:sz w:val="15"/>
                <w:szCs w:val="15"/>
              </w:rPr>
              <w:t xml:space="preserve">Acquired kinase-domain resistance mutations arose in all patients who responded and then progressed, which means the benefit is intrinsically time-limited, and the paper's conclusion emphasises durability</w:t>
            </w:r>
          </w:p>
          <w:p>
            <w:pPr>
              <w:pStyle w:val="ListParagraph"/>
              <w:numPr>
                <w:ilvl w:val="0"/>
                <w:numId w:val="2"/>
              </w:numPr>
              <w:spacing w:after="45"/>
            </w:pPr>
            <w:r>
              <w:rPr>
                <w:sz w:val="15"/>
                <w:szCs w:val="15"/>
              </w:rPr>
              <w:t xml:space="preserve">Incyte funded the trial, paid for the writing and employs three authors who hold shares, and the paper's own conclusion is that the results further support the regulatory approvals of Incyte's drug based on this single-arm study</w:t>
            </w:r>
          </w:p>
          <w:p>
            <w:pPr>
              <w:pStyle w:val="ListParagraph"/>
              <w:numPr>
                <w:ilvl w:val="0"/>
                <w:numId w:val="2"/>
              </w:numPr>
              <w:spacing w:after="45"/>
            </w:pPr>
            <w:r>
              <w:rPr>
                <w:sz w:val="15"/>
                <w:szCs w:val="15"/>
              </w:rPr>
              <w:t xml:space="preserve">107 of 108 cohort A patients had intrahepatic disease, so despite being titled a cholangiocarcinoma study the result applies to iCCA only, and the second-line-or-later setting means nothing here speaks to perioperative or conversion use</w:t>
            </w:r>
          </w:p>
          <w:p>
            <w:pPr>
              <w:pStyle w:val="ListParagraph"/>
              <w:numPr>
                <w:ilvl w:val="0"/>
                <w:numId w:val="2"/>
              </w:numPr>
              <w:spacing w:after="45"/>
            </w:pPr>
            <w:r>
              <w:rPr>
                <w:sz w:val="15"/>
                <w:szCs w:val="15"/>
              </w:rPr>
              <w:t xml:space="preserve">No linked editorial or comment was found in PubMed for this final analysis, so the only critical reading available is internal to the text</w:t>
            </w:r>
          </w:p>
        </w:tc>
      </w:tr>
    </w:tbl>
    <w:p>
      <w:pPr>
        <w:spacing w:after="0" w:line="276"/>
      </w:pPr>
      <w:r>
        <w:rPr>
          <w:color w:val="5A6069"/>
          <w:sz w:val="14"/>
          <w:szCs w:val="14"/>
        </w:rPr>
        <w:t xml:space="preserve">Funding: Supported by Incyte with no grant number; medical writing was paid for by Incyte and three authors are Incyte employees and shareholders, with the academic authors declaring personal fees and institutional grants across the industry</w:t>
      </w:r>
    </w:p>
    <w:p>
      <w:pPr>
        <w:keepNext/>
        <w:spacing w:after="50" w:before="260"/>
      </w:pPr>
      <w:r>
        <w:rPr>
          <w:rFonts w:ascii="Cambria" w:cs="Cambria" w:eastAsia="Cambria" w:hAnsi="Cambria"/>
          <w:b/>
          <w:bCs/>
          <w:color w:val="17365D"/>
          <w:sz w:val="20"/>
          <w:szCs w:val="20"/>
        </w:rPr>
        <w:t xml:space="preserve">FISH meta-analysis</w:t>
      </w:r>
      <w:r>
        <w:rPr>
          <w:b/>
          <w:bCs/>
          <w:color w:val="176A87"/>
          <w:sz w:val="15"/>
          <w:szCs w:val="15"/>
        </w:rPr>
        <w:t xml:space="preserve">   Meta-analysis</w:t>
      </w:r>
      <w:r>
        <w:rPr>
          <w:color w:val="5A6069"/>
          <w:sz w:val="15"/>
          <w:szCs w:val="15"/>
        </w:rPr>
        <w:t xml:space="preserve">   PMID 24360654</w:t>
      </w:r>
    </w:p>
    <w:p>
      <w:pPr>
        <w:spacing w:after="50" w:line="276"/>
      </w:pPr>
      <w:r>
        <w:rPr>
          <w:color w:val="5A6069"/>
          <w:sz w:val="17"/>
          <w:szCs w:val="17"/>
        </w:rPr>
        <w:t xml:space="preserve">Fluorescence in situ hybridization for diagnosis of cholangiocarcinoma in primary sclerosing cholangitis: a systematic review and meta-analysis</w:t>
      </w:r>
    </w:p>
    <w:p>
      <w:pPr>
        <w:spacing w:after="50"/>
      </w:pPr>
      <w:r>
        <w:rPr>
          <w:b/>
          <w:bCs/>
          <w:color w:val="176A87"/>
          <w:sz w:val="16"/>
          <w:szCs w:val="16"/>
        </w:rPr>
        <w:t xml:space="preserve">Population. </w:t>
      </w:r>
      <w:r>
        <w:rPr>
          <w:sz w:val="16"/>
          <w:szCs w:val="16"/>
        </w:rPr>
        <w:t xml:space="preserve">828 patients with primary sclerosing cholangitis who underwent bile duct brushing with FISH, pooled from 8 full-text studies published to June 2013 and all from a single centre with overlapping recruitment windows; 690 patients in 6 studies contributed polysomy data and 629 in 4 studies contributed trisomy or tetrasomy data</w:t>
      </w:r>
    </w:p>
    <w:p>
      <w:pPr>
        <w:spacing w:after="70"/>
      </w:pPr>
      <w:r>
        <w:rPr>
          <w:b/>
          <w:bCs/>
          <w:color w:val="17365D"/>
          <w:sz w:val="16"/>
          <w:szCs w:val="16"/>
        </w:rPr>
        <w:t xml:space="preserve">Bottom line. </w:t>
      </w:r>
      <w:r>
        <w:rPr>
          <w:sz w:val="16"/>
          <w:szCs w:val="16"/>
        </w:rPr>
        <w:t xml:space="preserve">Pooling eight studies of bile duct brushings in primary sclerosing cholangitis, FISH polysomy is 51% sensitive and 93% specific while any positive FISH is 68% and 70%, which places FISH as an adjunct after a non-diagnostic brushing rather than as a screening test at every ERCP. All eight studies come from one centre with overlapping recruitment, so the same patients are probably counted more than once and this is one institution's experience rather than external validation; the 'any positive FISH' pool also mixes four definitions of a positive result, and trisomy or tetrasomy carries no diagnostic information at all (odds ratio 1.28, 95% CI 0.55-2.99). For a tumour board the decisive number is the false-positive rate, since polysomy alone can qualify a patient for neoadjuvant chemoradiation and transplantation.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Primary sclerosing cholangitis is relatively rare so only a few high-quality studies were available, and low-quality studies were included</w:t>
            </w:r>
          </w:p>
          <w:p>
            <w:pPr>
              <w:pStyle w:val="ListParagraph"/>
              <w:numPr>
                <w:ilvl w:val="0"/>
                <w:numId w:val="2"/>
              </w:numPr>
              <w:spacing w:after="45"/>
            </w:pPr>
            <w:r>
              <w:rPr>
                <w:sz w:val="15"/>
                <w:szCs w:val="15"/>
              </w:rPr>
              <w:t xml:space="preserve">All the included studies came from a single centre, the Mayo Clinic, which the authors describe as both a weakness and a strength because it limits generalisability while reducing variation in the characteristics of included patients</w:t>
            </w:r>
          </w:p>
          <w:p>
            <w:pPr>
              <w:pStyle w:val="ListParagraph"/>
              <w:numPr>
                <w:ilvl w:val="0"/>
                <w:numId w:val="2"/>
              </w:numPr>
              <w:spacing w:after="45"/>
            </w:pPr>
            <w:r>
              <w:rPr>
                <w:sz w:val="15"/>
                <w:szCs w:val="15"/>
              </w:rPr>
              <w:t xml:space="preserve">Some of the same patients are likely to be included in more than one study because all were done at the same centre and the recruitment windows overlap</w:t>
            </w:r>
          </w:p>
          <w:p>
            <w:pPr>
              <w:pStyle w:val="ListParagraph"/>
              <w:numPr>
                <w:ilvl w:val="0"/>
                <w:numId w:val="2"/>
              </w:numPr>
              <w:spacing w:after="45"/>
            </w:pPr>
            <w:r>
              <w:rPr>
                <w:sz w:val="15"/>
                <w:szCs w:val="15"/>
              </w:rPr>
              <w:t xml:space="preserve">There is no consensus or criteria for evaluating the quality of diagnostic studies without a control arm, and the studies were classified as high quality on only 10 of the 14 QUADAS items</w:t>
            </w:r>
          </w:p>
          <w:p>
            <w:pPr>
              <w:pStyle w:val="ListParagraph"/>
              <w:numPr>
                <w:ilvl w:val="0"/>
                <w:numId w:val="2"/>
              </w:numPr>
              <w:spacing w:after="45"/>
            </w:pPr>
            <w:r>
              <w:rPr>
                <w:sz w:val="15"/>
                <w:szCs w:val="15"/>
              </w:rPr>
              <w:t xml:space="preserve">FISH as a stand-alone test cannot be used either to diagnose cholangiocarcinoma or to exclude a benign stricture, since the positive likelihood ratio for polysomy is 6.81 and the negative 0.56, neither crossing the thresholds of 10 and 0.1</w:t>
            </w:r>
          </w:p>
          <w:p>
            <w:pPr>
              <w:pStyle w:val="ListParagraph"/>
              <w:numPr>
                <w:ilvl w:val="0"/>
                <w:numId w:val="2"/>
              </w:numPr>
              <w:spacing w:after="45"/>
            </w:pPr>
            <w:r>
              <w:rPr>
                <w:sz w:val="15"/>
                <w:szCs w:val="15"/>
              </w:rPr>
              <w:t xml:space="preserve">A specificity of 70% for any positive FISH is poor, and a false-positive diagnosis may result in unnecessary treatments and adverse events</w:t>
            </w:r>
          </w:p>
          <w:p>
            <w:pPr>
              <w:pStyle w:val="ListParagraph"/>
              <w:numPr>
                <w:ilvl w:val="0"/>
                <w:numId w:val="2"/>
              </w:numPr>
              <w:spacing w:after="45"/>
            </w:pPr>
            <w:r>
              <w:rPr>
                <w:sz w:val="15"/>
                <w:szCs w:val="15"/>
              </w:rPr>
              <w:t xml:space="preserve">FISH increases sensitivity only modestly in primary sclerosing cholangitis, is costly and is not universally available, so its role is confined to cases where brushings are non-diagnostic</w:t>
            </w:r>
          </w:p>
          <w:p>
            <w:pPr>
              <w:pStyle w:val="ListParagraph"/>
              <w:numPr>
                <w:ilvl w:val="0"/>
                <w:numId w:val="2"/>
              </w:numPr>
              <w:spacing w:after="45"/>
            </w:pPr>
            <w:r>
              <w:rPr>
                <w:sz w:val="15"/>
                <w:szCs w:val="15"/>
              </w:rPr>
              <w:t xml:space="preserve">Studies from centres other than the one contributing all eight had insufficient patient numbers and were excluded from the analysis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'any positive FISH' pool mixes four definitions of a positive test: polysomy alone in two studies, polysomy or trisomy 3 or 7 in three, polysomy plus trisomy or tetrasomy in two, and serial polysomy in one; the table's own footnotes show those same studies yield 47% sensitivity and 100% specificity when only polysomy counts, so the headline 68% and 70% describe no single test</w:t>
            </w:r>
          </w:p>
          <w:p>
            <w:pPr>
              <w:pStyle w:val="ListParagraph"/>
              <w:numPr>
                <w:ilvl w:val="0"/>
                <w:numId w:val="2"/>
              </w:numPr>
              <w:spacing w:after="45"/>
            </w:pPr>
            <w:r>
              <w:rPr>
                <w:sz w:val="15"/>
                <w:szCs w:val="15"/>
              </w:rPr>
              <w:t xml:space="preserve">Trisomy and tetrasomy carry a pooled diagnostic odds ratio of 1.28 (95% CI 0.55-2.99) and a positive likelihood ratio of 1.19 (0.65-2.21), that is no diagnostic information at all, and those results sit inside the pool producing the headline figures</w:t>
            </w:r>
          </w:p>
          <w:p>
            <w:pPr>
              <w:pStyle w:val="ListParagraph"/>
              <w:numPr>
                <w:ilvl w:val="0"/>
                <w:numId w:val="2"/>
              </w:numPr>
              <w:spacing w:after="45"/>
            </w:pPr>
            <w:r>
              <w:rPr>
                <w:sz w:val="15"/>
                <w:szCs w:val="15"/>
              </w:rPr>
              <w:t xml:space="preserve">Per-study specificity for any positive FISH runs from 52% to 100% in Table 1, with the two largest studies at 73% and 57%, so the pooled 70% conceals the entire usable range</w:t>
            </w:r>
          </w:p>
          <w:p>
            <w:pPr>
              <w:pStyle w:val="ListParagraph"/>
              <w:numPr>
                <w:ilvl w:val="0"/>
                <w:numId w:val="2"/>
              </w:numPr>
              <w:spacing w:after="45"/>
            </w:pPr>
            <w:r>
              <w:rPr>
                <w:sz w:val="15"/>
                <w:szCs w:val="15"/>
              </w:rPr>
              <w:t xml:space="preserve">Table 2 shows that specificity differs significantly by population, 0.57 in studies restricted to equivocal cytology against 0.72 in all-indeterminate studies (P less than 0.05), which is a spectrum or threshold effect that argues against pooling them at all</w:t>
            </w:r>
          </w:p>
          <w:p>
            <w:pPr>
              <w:pStyle w:val="ListParagraph"/>
              <w:numPr>
                <w:ilvl w:val="0"/>
                <w:numId w:val="2"/>
              </w:numPr>
              <w:spacing w:after="45"/>
            </w:pPr>
            <w:r>
              <w:rPr>
                <w:sz w:val="15"/>
                <w:szCs w:val="15"/>
              </w:rPr>
              <w:t xml:space="preserve">Pooling is by Der Simonian-Laird on sensitivity and specificity separately with a Moses-Shapiro-Littenberg summary curve, which ignores the correlation between the two and the threshold variation dominating this literature; no bivariate or hierarchical model is fitted</w:t>
            </w:r>
          </w:p>
          <w:p>
            <w:pPr>
              <w:pStyle w:val="ListParagraph"/>
              <w:numPr>
                <w:ilvl w:val="0"/>
                <w:numId w:val="2"/>
              </w:numPr>
              <w:spacing w:after="45"/>
            </w:pPr>
            <w:r>
              <w:rPr>
                <w:sz w:val="15"/>
                <w:szCs w:val="15"/>
              </w:rPr>
              <w:t xml:space="preserve">The diagnostic odds ratio of 7.24 is interpreted in the Discussion as meaning that with a positive FISH result 'the patient has a 7 times higher chance of having a true pathologic diagnosis', which reads a diagnostic odds ratio as a post-test probability multiplier</w:t>
            </w:r>
          </w:p>
          <w:p>
            <w:pPr>
              <w:pStyle w:val="ListParagraph"/>
              <w:numPr>
                <w:ilvl w:val="0"/>
                <w:numId w:val="2"/>
              </w:numPr>
              <w:spacing w:after="45"/>
            </w:pPr>
            <w:r>
              <w:rPr>
                <w:sz w:val="15"/>
                <w:szCs w:val="15"/>
              </w:rPr>
              <w:t xml:space="preserve">Patient-level double counting is conceded but never quantified; the 828 are ERCP episodes at one centre over overlapping periods, so the effective sample size is unknown and the printed confidence intervals are too narrow</w:t>
            </w:r>
          </w:p>
          <w:p>
            <w:pPr>
              <w:pStyle w:val="ListParagraph"/>
              <w:numPr>
                <w:ilvl w:val="0"/>
                <w:numId w:val="2"/>
              </w:numPr>
              <w:spacing w:after="45"/>
            </w:pPr>
            <w:r>
              <w:rPr>
                <w:sz w:val="15"/>
                <w:szCs w:val="15"/>
              </w:rPr>
              <w:t xml:space="preserve">Publication bias is declared absent although the Begg-Mazumdar test returned a P value of 0.05, and both bias indicators are uninformative with eight studies</w:t>
            </w:r>
          </w:p>
          <w:p>
            <w:pPr>
              <w:pStyle w:val="ListParagraph"/>
              <w:numPr>
                <w:ilvl w:val="0"/>
                <w:numId w:val="2"/>
              </w:numPr>
              <w:spacing w:after="45"/>
            </w:pPr>
            <w:r>
              <w:rPr>
                <w:sz w:val="15"/>
                <w:szCs w:val="15"/>
              </w:rPr>
              <w:t xml:space="preserve">The sensitivity analysis reports the effect of dropping each study on the diagnostic odds ratio and the area under the curve only, not on sensitivity or specificity</w:t>
            </w:r>
          </w:p>
          <w:p>
            <w:pPr>
              <w:pStyle w:val="ListParagraph"/>
              <w:numPr>
                <w:ilvl w:val="0"/>
                <w:numId w:val="2"/>
              </w:numPr>
              <w:spacing w:after="45"/>
            </w:pPr>
            <w:r>
              <w:rPr>
                <w:sz w:val="15"/>
                <w:szCs w:val="15"/>
              </w:rPr>
              <w:t xml:space="preserve">Verification bias runs one way: the reference standard is histopathology, and a patient with a positive FISH is more likely to be taken to resection, staging laparotomy or transplantation and so to be classified at all; one included study enrolled patients with a polysomy result and no definitive imaging or pathological evidence of malignancy at the time, so its reference standard is partly later events</w:t>
            </w:r>
          </w:p>
          <w:p>
            <w:pPr>
              <w:pStyle w:val="ListParagraph"/>
              <w:numPr>
                <w:ilvl w:val="0"/>
                <w:numId w:val="2"/>
              </w:numPr>
              <w:spacing w:after="45"/>
            </w:pPr>
            <w:r>
              <w:rPr>
                <w:sz w:val="15"/>
                <w:szCs w:val="15"/>
              </w:rPr>
              <w:t xml:space="preserve">The comparator that carries the paper's conclusion, brush cytology at 43% sensitivity and 97% specificity, is quoted from other literature, one source being the same group's concurrent meta-analysis, rather than pooled within this analysis, so the claim that FISH adds little is an indirect comparison</w:t>
            </w:r>
          </w:p>
          <w:p>
            <w:pPr>
              <w:pStyle w:val="ListParagraph"/>
              <w:numPr>
                <w:ilvl w:val="0"/>
                <w:numId w:val="2"/>
              </w:numPr>
              <w:spacing w:after="45"/>
            </w:pPr>
            <w:r>
              <w:rPr>
                <w:sz w:val="15"/>
                <w:szCs w:val="15"/>
              </w:rPr>
              <w:t xml:space="preserve">Predictive values are reported at the prevalence of these referral cohorts, a pooled positive predictive value of 42% for any positive FISH and 68% for polysomy, and are never re-derived at the much lower prevalence of a surveillance population, although the paper opens by quoting a 20% lifetime risk</w:t>
            </w:r>
          </w:p>
          <w:p>
            <w:pPr>
              <w:pStyle w:val="ListParagraph"/>
              <w:numPr>
                <w:ilvl w:val="0"/>
                <w:numId w:val="2"/>
              </w:numPr>
              <w:spacing w:after="45"/>
            </w:pPr>
            <w:r>
              <w:rPr>
                <w:sz w:val="15"/>
                <w:szCs w:val="15"/>
              </w:rPr>
              <w:t xml:space="preserve">A specificity of 93% for polysomy still means roughly one in fourteen benign primary sclerosing cholangitis strictures tests positive, and polysomy alone can qualify a patient for neoadjuvant chemoradiation and transplantation, so the false-positive rate rather than the sensitivity is the decisive number for a tumour board</w:t>
            </w:r>
          </w:p>
          <w:p>
            <w:pPr>
              <w:pStyle w:val="ListParagraph"/>
              <w:numPr>
                <w:ilvl w:val="0"/>
                <w:numId w:val="2"/>
              </w:numPr>
              <w:spacing w:after="45"/>
            </w:pPr>
            <w:r>
              <w:rPr>
                <w:sz w:val="15"/>
                <w:szCs w:val="15"/>
              </w:rPr>
              <w:t xml:space="preserve">The practical advice offered is not supported by this analysis: the three-negative-brushings rule placing the probability of malignancy below 6% comes from a 1990 study of 65 patients with bile duct strictures rather than a primary sclerosing cholangitis cohort, and the recommendation against EUS-guided aspiration after negative brushings is justified by the Mayo transplant protocol's exclusion rule, cited to a review</w:t>
            </w:r>
          </w:p>
          <w:p>
            <w:pPr>
              <w:pStyle w:val="ListParagraph"/>
              <w:numPr>
                <w:ilvl w:val="0"/>
                <w:numId w:val="2"/>
              </w:numPr>
              <w:spacing w:after="45"/>
            </w:pPr>
            <w:r>
              <w:rPr>
                <w:sz w:val="15"/>
                <w:szCs w:val="15"/>
              </w:rPr>
              <w:t xml:space="preserve">Which 4 of the 14 QUADAS items failed across all studies is shown only in a figure and never stated in the text</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U. Navaneethan received a research grant from the American College of Gastroenterology; all other authors disclosed no financial relationships relevant to the publication</w:t>
      </w:r>
    </w:p>
    <w:p>
      <w:pPr>
        <w:keepNext/>
        <w:spacing w:after="50" w:before="260"/>
      </w:pPr>
      <w:r>
        <w:rPr>
          <w:rFonts w:ascii="Cambria" w:cs="Cambria" w:eastAsia="Cambria" w:hAnsi="Cambria"/>
          <w:b/>
          <w:bCs/>
          <w:color w:val="17365D"/>
          <w:sz w:val="20"/>
          <w:szCs w:val="20"/>
        </w:rPr>
        <w:t xml:space="preserve">FOENIX-CCA2</w:t>
      </w:r>
      <w:r>
        <w:rPr>
          <w:b/>
          <w:bCs/>
          <w:color w:val="176A87"/>
          <w:sz w:val="15"/>
          <w:szCs w:val="15"/>
        </w:rPr>
        <w:t xml:space="preserve">   Prospective trial</w:t>
      </w:r>
      <w:r>
        <w:rPr>
          <w:color w:val="5A6069"/>
          <w:sz w:val="15"/>
          <w:szCs w:val="15"/>
        </w:rPr>
        <w:t xml:space="preserve">   PMID 36652354</w:t>
      </w:r>
    </w:p>
    <w:p>
      <w:pPr>
        <w:spacing w:after="50" w:line="276"/>
      </w:pPr>
      <w:r>
        <w:rPr>
          <w:color w:val="5A6069"/>
          <w:sz w:val="17"/>
          <w:szCs w:val="17"/>
        </w:rPr>
        <w:t xml:space="preserve">Futibatinib for FGFR2-Rearranged Intrahepatic Cholangiocarcinoma</w:t>
      </w:r>
    </w:p>
    <w:p>
      <w:pPr>
        <w:spacing w:after="50"/>
      </w:pPr>
      <w:r>
        <w:rPr>
          <w:b/>
          <w:bCs/>
          <w:color w:val="176A87"/>
          <w:sz w:val="16"/>
          <w:szCs w:val="16"/>
        </w:rPr>
        <w:t xml:space="preserve">Population. </w:t>
      </w:r>
      <w:r>
        <w:rPr>
          <w:sz w:val="16"/>
          <w:szCs w:val="16"/>
        </w:rPr>
        <w:t xml:space="preserve">103 patients with unresectable or metastatic FGFR2 fusion-positive or rearrangement-positive intrahepatic cholangiocarcinoma, enrolled from 783 screened at 47 sites in 13 countries between April 2018 and November 2019, all previously treated with at least one systemic line including gemcitabine-platinum and 53% with two or more prior lines</w:t>
      </w:r>
    </w:p>
    <w:p>
      <w:pPr>
        <w:spacing w:after="70"/>
      </w:pPr>
      <w:r>
        <w:rPr>
          <w:b/>
          <w:bCs/>
          <w:color w:val="17365D"/>
          <w:sz w:val="16"/>
          <w:szCs w:val="16"/>
        </w:rPr>
        <w:t xml:space="preserve">Bottom line. </w:t>
      </w:r>
      <w:r>
        <w:rPr>
          <w:sz w:val="16"/>
          <w:szCs w:val="16"/>
        </w:rPr>
        <w:t xml:space="preserve">FOENIX-CCA2 established futibatinib as active in FGFR2-rearranged intrahepatic cholangiocarcinoma, with a centrally reviewed response rate of 42%, median progression-free survival of 9.0 months and tolerable toxicity dominated by manageable hyperphosphataemia. It cannot size the benefit, having no comparator, and its 21.7-month median survival is estimated from a 17.1-month median follow-up. Only 14% of responders were still responding at a year, 783 patients were screened to enrol 103, and nothing in the trial speaks to perioperative or conversion use.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Single-group design and relatively small sample size</w:t>
            </w:r>
          </w:p>
          <w:p>
            <w:pPr>
              <w:pStyle w:val="ListParagraph"/>
              <w:numPr>
                <w:ilvl w:val="0"/>
                <w:numId w:val="2"/>
              </w:numPr>
              <w:spacing w:after="45"/>
            </w:pPr>
            <w:r>
              <w:rPr>
                <w:sz w:val="15"/>
                <w:szCs w:val="15"/>
              </w:rPr>
              <w:t xml:space="preserve">The lack of a comparator group precluded accurate quantification of the treatment effect, because estimates of the natural history of FGFR fusion-positive disease are variable</w:t>
            </w:r>
          </w:p>
          <w:p>
            <w:pPr>
              <w:pStyle w:val="ListParagraph"/>
              <w:numPr>
                <w:ilvl w:val="0"/>
                <w:numId w:val="2"/>
              </w:numPr>
              <w:spacing w:after="45"/>
            </w:pPr>
            <w:r>
              <w:rPr>
                <w:sz w:val="15"/>
                <w:szCs w:val="15"/>
              </w:rPr>
              <w:t xml:space="preserve">The effect of FGFR inhibition on overall survival is still under investigation in three randomised first-line trials, which were enrolling slowly at the time of writing</w:t>
            </w:r>
          </w:p>
          <w:p>
            <w:pPr>
              <w:pStyle w:val="ListParagraph"/>
              <w:numPr>
                <w:ilvl w:val="0"/>
                <w:numId w:val="2"/>
              </w:numPr>
              <w:spacing w:after="45"/>
            </w:pPr>
            <w:r>
              <w:rPr>
                <w:sz w:val="15"/>
                <w:szCs w:val="15"/>
              </w:rPr>
              <w:t xml:space="preserve">Conditional regulatory and reimbursement approval was granted on the basis of single-group data because the cancer is uncommon</w:t>
            </w:r>
          </w:p>
          <w:p>
            <w:pPr>
              <w:pStyle w:val="ListParagraph"/>
              <w:numPr>
                <w:ilvl w:val="0"/>
                <w:numId w:val="2"/>
              </w:numPr>
              <w:spacing w:after="45"/>
            </w:pPr>
            <w:r>
              <w:rPr>
                <w:sz w:val="15"/>
                <w:szCs w:val="15"/>
              </w:rPr>
              <w:t xml:space="preserve">All biomarker and subgroup analyses were exploratory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No comparator means the 42% response rate cannot be converted into a benefit estimate, and the comparisons the paper offers, 35.5% for pemigatinib and 23.1% for infigratinib, are cross-trial with different eligibility and different central review processes</w:t>
            </w:r>
          </w:p>
          <w:p>
            <w:pPr>
              <w:pStyle w:val="ListParagraph"/>
              <w:numPr>
                <w:ilvl w:val="0"/>
                <w:numId w:val="2"/>
              </w:numPr>
              <w:spacing w:after="45"/>
            </w:pPr>
            <w:r>
              <w:rPr>
                <w:sz w:val="15"/>
                <w:szCs w:val="15"/>
              </w:rPr>
              <w:t xml:space="preserve">Median overall survival of 21.7 months has an upper bound of not reached at a median follow-up of 17.1 months, so the figure most often quoted from this trial is estimated from a follow-up shorter than the median it reports</w:t>
            </w:r>
          </w:p>
          <w:p>
            <w:pPr>
              <w:pStyle w:val="ListParagraph"/>
              <w:numPr>
                <w:ilvl w:val="0"/>
                <w:numId w:val="2"/>
              </w:numPr>
              <w:spacing w:after="45"/>
            </w:pPr>
            <w:r>
              <w:rPr>
                <w:sz w:val="15"/>
                <w:szCs w:val="15"/>
              </w:rPr>
              <w:t xml:space="preserve">Only 6 of 43 responders (14%) responded for 12 months or more, while 72% responded for at least 6 months; the durability claim therefore rests on a 6-month landmark, and the 12-month picture is much weaker than the headline suggests</w:t>
            </w:r>
          </w:p>
          <w:p>
            <w:pPr>
              <w:pStyle w:val="ListParagraph"/>
              <w:numPr>
                <w:ilvl w:val="0"/>
                <w:numId w:val="2"/>
              </w:numPr>
              <w:spacing w:after="45"/>
            </w:pPr>
            <w:r>
              <w:rPr>
                <w:sz w:val="15"/>
                <w:szCs w:val="15"/>
              </w:rPr>
              <w:t xml:space="preserve">Hyperphosphataemia affected 85% of patients with grade 3 in 30%, and dose interruptions occurred in 50% and reductions in 54%, so more than half of patients were not taking 20 mg daily; the response rate is attributed to a dose most patients did not maintain</w:t>
            </w:r>
          </w:p>
          <w:p>
            <w:pPr>
              <w:pStyle w:val="ListParagraph"/>
              <w:numPr>
                <w:ilvl w:val="0"/>
                <w:numId w:val="2"/>
              </w:numPr>
              <w:spacing w:after="45"/>
            </w:pPr>
            <w:r>
              <w:rPr>
                <w:sz w:val="15"/>
                <w:szCs w:val="15"/>
              </w:rPr>
              <w:t xml:space="preserve">The CDKN2A and CDKN2B progression-free survival differences, 4.9 against 9.7 and 4.8 against 11.0 months, are exploratory subgroup comparisons with unadjusted intervals, yet they are the paper's main prognostic claim</w:t>
            </w:r>
          </w:p>
          <w:p>
            <w:pPr>
              <w:pStyle w:val="ListParagraph"/>
              <w:numPr>
                <w:ilvl w:val="0"/>
                <w:numId w:val="2"/>
              </w:numPr>
              <w:spacing w:after="45"/>
            </w:pPr>
            <w:r>
              <w:rPr>
                <w:sz w:val="15"/>
                <w:szCs w:val="15"/>
              </w:rPr>
              <w:t xml:space="preserve">783 patients were screened for 103 enrolled, and the paper notes tissue profiling failure in biliary cancer reaching 26.8%, so eligibility depends on an assay pipeline whose performance determines whether the result is reachable at all</w:t>
            </w:r>
          </w:p>
          <w:p>
            <w:pPr>
              <w:pStyle w:val="ListParagraph"/>
              <w:numPr>
                <w:ilvl w:val="0"/>
                <w:numId w:val="2"/>
              </w:numPr>
              <w:spacing w:after="45"/>
            </w:pPr>
            <w:r>
              <w:rPr>
                <w:sz w:val="15"/>
                <w:szCs w:val="15"/>
              </w:rPr>
              <w:t xml:space="preserve">Circulating tumour DNA detected the alteration in 83 of 95 tested (87%), which is presented as supporting ctDNA profiling although 12 of 95 known-positive patients were missed, a 13% false-negative rate in patients already known to carry the fusion</w:t>
            </w:r>
          </w:p>
          <w:p>
            <w:pPr>
              <w:pStyle w:val="ListParagraph"/>
              <w:numPr>
                <w:ilvl w:val="0"/>
                <w:numId w:val="2"/>
              </w:numPr>
              <w:spacing w:after="45"/>
            </w:pPr>
            <w:r>
              <w:rPr>
                <w:sz w:val="15"/>
                <w:szCs w:val="15"/>
              </w:rPr>
              <w:t xml:space="preserve">The sponsors designed the trial, employ co-authors, funded the writing and hold confidentiality agreements with the authors, and the drug received accelerated approval on exactly these single-arm data</w:t>
            </w:r>
          </w:p>
          <w:p>
            <w:pPr>
              <w:pStyle w:val="ListParagraph"/>
              <w:numPr>
                <w:ilvl w:val="0"/>
                <w:numId w:val="2"/>
              </w:numPr>
              <w:spacing w:after="45"/>
            </w:pPr>
            <w:r>
              <w:rPr>
                <w:sz w:val="15"/>
                <w:szCs w:val="15"/>
              </w:rPr>
              <w:t xml:space="preserve">This is a second-line-or-later population with unresectable or metastatic disease, so the trial provides no evidence for neoadjuvant FGFR inhibition, conversion to resection or any perioperative use, which is where surgeons are now asked about it</w:t>
            </w:r>
          </w:p>
          <w:p>
            <w:pPr>
              <w:pStyle w:val="ListParagraph"/>
              <w:numPr>
                <w:ilvl w:val="0"/>
                <w:numId w:val="2"/>
              </w:numPr>
              <w:spacing w:after="45"/>
            </w:pPr>
            <w:r>
              <w:rPr>
                <w:sz w:val="15"/>
                <w:szCs w:val="15"/>
              </w:rPr>
              <w:t xml:space="preserve">Quality of life is reported as maintained from EORTC QLQ-C30 scores across 9.0 months in a single-arm trial, where stability can equally reflect who remained on study long enough to complete questionnaires</w:t>
            </w:r>
          </w:p>
          <w:p>
            <w:pPr>
              <w:pStyle w:val="ListParagraph"/>
              <w:numPr>
                <w:ilvl w:val="0"/>
                <w:numId w:val="2"/>
              </w:numPr>
              <w:spacing w:after="45"/>
            </w:pPr>
            <w:r>
              <w:rPr>
                <w:sz w:val="15"/>
                <w:szCs w:val="15"/>
              </w:rPr>
              <w:t xml:space="preserve">No linked editorial or comment was found in PubMed, so no independent published appraisal accompanies the approval-supporting data</w:t>
            </w:r>
          </w:p>
        </w:tc>
      </w:tr>
    </w:tbl>
    <w:p>
      <w:pPr>
        <w:spacing w:after="0" w:line="276"/>
      </w:pPr>
      <w:r>
        <w:rPr>
          <w:color w:val="5A6069"/>
          <w:sz w:val="14"/>
          <w:szCs w:val="14"/>
        </w:rPr>
        <w:t xml:space="preserve">Funding: Taiho Oncology and Taiho Pharmaceutical, which designed the study, with sponsor employees as co-authors, sponsor-funded medical writing and editorial assistance, and author confidentiality agreements; one author was part-funded by the NIHR UCLH-UCL Biomedical Research Centre</w:t>
      </w:r>
    </w:p>
    <w:p>
      <w:pPr>
        <w:keepNext/>
        <w:spacing w:after="50" w:before="260"/>
      </w:pPr>
      <w:r>
        <w:rPr>
          <w:rFonts w:ascii="Cambria" w:cs="Cambria" w:eastAsia="Cambria" w:hAnsi="Cambria"/>
          <w:b/>
          <w:bCs/>
          <w:color w:val="17365D"/>
          <w:sz w:val="20"/>
          <w:szCs w:val="20"/>
        </w:rPr>
        <w:t xml:space="preserve">Gillmeister 2026</w:t>
      </w:r>
      <w:r>
        <w:rPr>
          <w:b/>
          <w:bCs/>
          <w:color w:val="176A87"/>
          <w:sz w:val="15"/>
          <w:szCs w:val="15"/>
        </w:rPr>
        <w:t xml:space="preserve">   cohort</w:t>
      </w:r>
      <w:r>
        <w:rPr>
          <w:color w:val="5A6069"/>
          <w:sz w:val="15"/>
          <w:szCs w:val="15"/>
        </w:rPr>
        <w:t xml:space="preserve">   PMID 42698384</w:t>
      </w:r>
    </w:p>
    <w:p>
      <w:pPr>
        <w:spacing w:after="50" w:line="276"/>
      </w:pPr>
      <w:r>
        <w:rPr>
          <w:color w:val="5A6069"/>
          <w:sz w:val="17"/>
          <w:szCs w:val="17"/>
        </w:rPr>
        <w:t xml:space="preserve">Next Generation Sequencing for the Differentiation of Benign and Malignant Biliary Strictures</w:t>
      </w:r>
    </w:p>
    <w:p>
      <w:pPr>
        <w:spacing w:after="50"/>
      </w:pPr>
      <w:r>
        <w:rPr>
          <w:b/>
          <w:bCs/>
          <w:color w:val="176A87"/>
          <w:sz w:val="16"/>
          <w:szCs w:val="16"/>
        </w:rPr>
        <w:t xml:space="preserve">Population. </w:t>
      </w:r>
      <w:r>
        <w:rPr>
          <w:sz w:val="16"/>
          <w:szCs w:val="16"/>
        </w:rPr>
        <w:t xml:space="preserve">47 ERCP-obtained biliary forceps biopsies from patients with biliary strictures of unknown aetiology in routine care at one German centre, with imaging available for 37 and CA 19-9 for 33, against a power calculation of 32 patients assuming a 50% malignancy rate; the Results section is missing from the published text obtained, so the number of patients, the malignancy prevalence and the size of the primary sclerosing cholangitis subgroup could not be read</w:t>
      </w:r>
    </w:p>
    <w:p>
      <w:pPr>
        <w:spacing w:after="70"/>
      </w:pPr>
      <w:r>
        <w:rPr>
          <w:b/>
          <w:bCs/>
          <w:color w:val="17365D"/>
          <w:sz w:val="16"/>
          <w:szCs w:val="16"/>
        </w:rPr>
        <w:t xml:space="preserve">Bottom line. </w:t>
      </w:r>
      <w:r>
        <w:rPr>
          <w:sz w:val="16"/>
          <w:szCs w:val="16"/>
        </w:rPr>
        <w:t xml:space="preserve">This German brief report is real-world confirmation that sequencing cancer-associated genes in ERCP biopsies adds sensitivity to histopathology in an indeterminate stricture: 65% against 52% alone and 78% combined, at specificity around 96%. It is 47 biopsies read at two allele-frequency thresholds with no limit-of-detection validation, no confidence interval on any figure, benign status assigned on 6 months of imaging follow-up, and the Results section missing from the published text obtained, so the cohort itself cannot be inspected. The panels used are locally assembled gene lists rather than BiliSeq, and no stricture is identified as perihilar, so it does not fix the operating characteristics for a hilar stricture.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relatively small cohort size may affect the precision of the diagnostic accuracy estimates and limits subgroup analyses, particularly in patients with primary sclerosing cholangitis</w:t>
            </w:r>
          </w:p>
          <w:p>
            <w:pPr>
              <w:pStyle w:val="ListParagraph"/>
              <w:numPr>
                <w:ilvl w:val="0"/>
                <w:numId w:val="2"/>
              </w:numPr>
              <w:spacing w:after="45"/>
            </w:pPr>
            <w:r>
              <w:rPr>
                <w:sz w:val="15"/>
                <w:szCs w:val="15"/>
              </w:rPr>
              <w:t xml:space="preserve">The follow-up period used to exclude malignancy in patients without histological confirmation was relatively short; although a minimum of 6 months has been applied in previous studies, longer surveillance may be required to detect slowly progressive malignancy, particularly indolent cholangiocarcinoma or PSC-associated cancer, so misclassification of benign cases cannot be excluded and may have influenced the reported performance</w:t>
            </w:r>
          </w:p>
          <w:p>
            <w:pPr>
              <w:pStyle w:val="ListParagraph"/>
              <w:numPr>
                <w:ilvl w:val="0"/>
                <w:numId w:val="2"/>
              </w:numPr>
              <w:spacing w:after="45"/>
            </w:pPr>
            <w:r>
              <w:rPr>
                <w:sz w:val="15"/>
                <w:szCs w:val="15"/>
              </w:rPr>
              <w:t xml:space="preserve">Reported diagnostic performance of next-generation sequencing varies widely across cohorts, likely reflecting differences in patient selection, prevalence of malignancy, representation of primary sclerosing cholangitis, sampling and analysis strategies, so independent well-characterised cohorts remain important for validation</w:t>
            </w:r>
          </w:p>
          <w:p>
            <w:pPr>
              <w:pStyle w:val="ListParagraph"/>
              <w:numPr>
                <w:ilvl w:val="0"/>
                <w:numId w:val="2"/>
              </w:numPr>
              <w:spacing w:after="45"/>
            </w:pPr>
            <w:r>
              <w:rPr>
                <w:sz w:val="15"/>
                <w:szCs w:val="15"/>
              </w:rPr>
              <w:t xml:space="preserve">Most previous studies of next-generation sequencing in indeterminate biliary strictures have been retrospective or single-centre with relatively small cohorts</w:t>
            </w:r>
          </w:p>
          <w:p>
            <w:pPr>
              <w:pStyle w:val="ListParagraph"/>
              <w:numPr>
                <w:ilvl w:val="0"/>
                <w:numId w:val="2"/>
              </w:numPr>
              <w:spacing w:after="45"/>
            </w:pPr>
            <w:r>
              <w:rPr>
                <w:sz w:val="15"/>
                <w:szCs w:val="15"/>
              </w:rPr>
              <w:t xml:space="preserve">No formal limit-of-detection validation study was performed for the assay</w:t>
            </w:r>
          </w:p>
          <w:p>
            <w:pPr>
              <w:pStyle w:val="ListParagraph"/>
              <w:numPr>
                <w:ilvl w:val="0"/>
                <w:numId w:val="2"/>
              </w:numPr>
              <w:spacing w:after="45"/>
            </w:pPr>
            <w:r>
              <w:rPr>
                <w:sz w:val="15"/>
                <w:szCs w:val="15"/>
              </w:rPr>
              <w:t xml:space="preserve">The specific molecular alterations detected were not further characterised with respect to their therapeutic actionability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Table 1 reports everything per biopsy rather than per patient, with denominators that change by parameter (47 for sequencing and histopathology, 37 for imaging, 33 for CA 19-9), so the McNemar comparisons are made across different subsets and the number of patients behind the 47 biopsies is never stated</w:t>
            </w:r>
          </w:p>
          <w:p>
            <w:pPr>
              <w:pStyle w:val="ListParagraph"/>
              <w:numPr>
                <w:ilvl w:val="0"/>
                <w:numId w:val="2"/>
              </w:numPr>
              <w:spacing w:after="45"/>
            </w:pPr>
            <w:r>
              <w:rPr>
                <w:sz w:val="15"/>
                <w:szCs w:val="15"/>
              </w:rPr>
              <w:t xml:space="preserve">The study was powered to detect a 30 percentage point difference in 32 patients, while the observed difference between histopathology alone (52%) and the combination (78%) is 26 points, and the single reported P value of 0.03 is one McNemar test among the eight comparisons laid out in Table 1 with no adjustment</w:t>
            </w:r>
          </w:p>
          <w:p>
            <w:pPr>
              <w:pStyle w:val="ListParagraph"/>
              <w:numPr>
                <w:ilvl w:val="0"/>
                <w:numId w:val="2"/>
              </w:numPr>
              <w:spacing w:after="45"/>
            </w:pPr>
            <w:r>
              <w:rPr>
                <w:sz w:val="15"/>
                <w:szCs w:val="15"/>
              </w:rPr>
              <w:t xml:space="preserve">The panel is not BiliSeq: two in-house gene lists were used, a 21-gene nNGM panel and a 6-gene 'Bili Panel', described only as similar to the approach reported by Singhi, and which samples went through which panel is not stated, so this validates a locally assembled gene set rather than the assay whose figures it is compared against</w:t>
            </w:r>
          </w:p>
          <w:p>
            <w:pPr>
              <w:pStyle w:val="ListParagraph"/>
              <w:numPr>
                <w:ilvl w:val="0"/>
                <w:numId w:val="2"/>
              </w:numPr>
              <w:spacing w:after="45"/>
            </w:pPr>
            <w:r>
              <w:rPr>
                <w:sz w:val="15"/>
                <w:szCs w:val="15"/>
              </w:rPr>
              <w:t xml:space="preserve">Variants were called at a 5% allele frequency threshold for non-hotspot regions and as low as 1% for selected hotspots, with no limit-of-detection validation and no list of which variants were treated as hotspots, so the same cohort is read at two different analytical sensitivities</w:t>
            </w:r>
          </w:p>
          <w:p>
            <w:pPr>
              <w:pStyle w:val="ListParagraph"/>
              <w:numPr>
                <w:ilvl w:val="0"/>
                <w:numId w:val="2"/>
              </w:numPr>
              <w:spacing w:after="45"/>
            </w:pPr>
            <w:r>
              <w:rPr>
                <w:sz w:val="15"/>
                <w:szCs w:val="15"/>
              </w:rPr>
              <w:t xml:space="preserve">The alternative analysis calling variants of unknown significance pathogenic is printed in parentheses throughout Table 1 with no stated primary analysis rule; it raises sensitivity to 83% while dropping specificity to 71% and positive predictive value to 73%, and the abstract, Key Points and Lay Summary quote only the favourable column</w:t>
            </w:r>
          </w:p>
          <w:p>
            <w:pPr>
              <w:pStyle w:val="ListParagraph"/>
              <w:numPr>
                <w:ilvl w:val="0"/>
                <w:numId w:val="2"/>
              </w:numPr>
              <w:spacing w:after="45"/>
            </w:pPr>
            <w:r>
              <w:rPr>
                <w:sz w:val="15"/>
                <w:szCs w:val="15"/>
              </w:rPr>
              <w:t xml:space="preserve">Histopathology is credited with 100% specificity and 100% positive predictive value while benign status was assigned by the absence of histological malignancy together with radiological follow-up, so both histopathology and imaging are tested against reference standards that contain them</w:t>
            </w:r>
          </w:p>
          <w:p>
            <w:pPr>
              <w:pStyle w:val="ListParagraph"/>
              <w:numPr>
                <w:ilvl w:val="0"/>
                <w:numId w:val="2"/>
              </w:numPr>
              <w:spacing w:after="45"/>
            </w:pPr>
            <w:r>
              <w:rPr>
                <w:sz w:val="15"/>
                <w:szCs w:val="15"/>
              </w:rPr>
              <w:t xml:space="preserve">The combination rows count a positive result on either test as positive, which cannot lower sensitivity and cannot raise specificity, so reporting that the combination preserved specificity at 96% is arithmetically forced once histopathology has no false positives</w:t>
            </w:r>
          </w:p>
          <w:p>
            <w:pPr>
              <w:pStyle w:val="ListParagraph"/>
              <w:numPr>
                <w:ilvl w:val="0"/>
                <w:numId w:val="2"/>
              </w:numPr>
              <w:spacing w:after="45"/>
            </w:pPr>
            <w:r>
              <w:rPr>
                <w:sz w:val="15"/>
                <w:szCs w:val="15"/>
              </w:rPr>
              <w:t xml:space="preserve">CA 19-9 thresholds of 44 U/mL, and above 129 U/mL in primary sclerosing cholangitis, were imported from Singhi rather than derived locally, and applied to a cohort whose PSC proportion is never reported</w:t>
            </w:r>
          </w:p>
          <w:p>
            <w:pPr>
              <w:pStyle w:val="ListParagraph"/>
              <w:numPr>
                <w:ilvl w:val="0"/>
                <w:numId w:val="2"/>
              </w:numPr>
              <w:spacing w:after="45"/>
            </w:pPr>
            <w:r>
              <w:rPr>
                <w:sz w:val="15"/>
                <w:szCs w:val="15"/>
              </w:rPr>
              <w:t xml:space="preserve">Not one of the accuracy figures in Table 1 carries a confidence interval, and the report contains no patient flow diagram, no baseline table, no stricture locations, no PSC count and no malignancy prevalence</w:t>
            </w:r>
          </w:p>
          <w:p>
            <w:pPr>
              <w:pStyle w:val="ListParagraph"/>
              <w:numPr>
                <w:ilvl w:val="0"/>
                <w:numId w:val="2"/>
              </w:numPr>
              <w:spacing w:after="45"/>
            </w:pPr>
            <w:r>
              <w:rPr>
                <w:sz w:val="15"/>
                <w:szCs w:val="15"/>
              </w:rPr>
              <w:t xml:space="preserve">Nothing distinguishes perihilar from distal or intrahepatic strictures anywhere in the report, so it does not speak to hilar disease specifically</w:t>
            </w:r>
          </w:p>
          <w:p>
            <w:pPr>
              <w:pStyle w:val="ListParagraph"/>
              <w:numPr>
                <w:ilvl w:val="0"/>
                <w:numId w:val="2"/>
              </w:numPr>
              <w:spacing w:after="45"/>
            </w:pPr>
            <w:r>
              <w:rPr>
                <w:sz w:val="15"/>
                <w:szCs w:val="15"/>
              </w:rPr>
              <w:t xml:space="preserve">A sensitivity of 65%, or 78% combined with histopathology, still misses roughly a quarter of malignant strictures, and a negative predictive value of 74% to 82% is not high enough to stand down a resection decision on a negative test</w:t>
            </w:r>
          </w:p>
          <w:p>
            <w:pPr>
              <w:pStyle w:val="ListParagraph"/>
              <w:numPr>
                <w:ilvl w:val="0"/>
                <w:numId w:val="2"/>
              </w:numPr>
              <w:spacing w:after="45"/>
            </w:pPr>
            <w:r>
              <w:rPr>
                <w:sz w:val="15"/>
                <w:szCs w:val="15"/>
              </w:rPr>
              <w:t xml:space="preserve">The therapeutic-relevance claim lists KRAS, ERBB2, FGFR1, FGFR2 and MAP2K alterations with no counts and no actionability assessment, and names the last gene as MAP2K without its number</w:t>
            </w:r>
          </w:p>
          <w:p>
            <w:pPr>
              <w:pStyle w:val="ListParagraph"/>
              <w:numPr>
                <w:ilvl w:val="0"/>
                <w:numId w:val="2"/>
              </w:numPr>
              <w:spacing w:after="45"/>
            </w:pPr>
            <w:r>
              <w:rPr>
                <w:sz w:val="15"/>
                <w:szCs w:val="15"/>
              </w:rPr>
              <w:t xml:space="preserve">Section 3, the Results, did not survive text extraction from the published brief report, so every figure available here comes from the abstract, Table 1 and the Discussion, and the cohort itself cannot be inspected</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The authors report nothing for funding; open access funding was enabled and organised by Projekt DEAL and the authors declare no conflicts of interest</w:t>
      </w:r>
    </w:p>
    <w:p>
      <w:pPr>
        <w:keepNext/>
        <w:spacing w:after="50" w:before="260"/>
      </w:pPr>
      <w:r>
        <w:rPr>
          <w:rFonts w:ascii="Cambria" w:cs="Cambria" w:eastAsia="Cambria" w:hAnsi="Cambria"/>
          <w:b/>
          <w:bCs/>
          <w:color w:val="17365D"/>
          <w:sz w:val="20"/>
          <w:szCs w:val="20"/>
        </w:rPr>
        <w:t xml:space="preserve">Heimbach 2011</w:t>
      </w:r>
      <w:r>
        <w:rPr>
          <w:b/>
          <w:bCs/>
          <w:color w:val="176A87"/>
          <w:sz w:val="15"/>
          <w:szCs w:val="15"/>
        </w:rPr>
        <w:t xml:space="preserve">   cohort</w:t>
      </w:r>
      <w:r>
        <w:rPr>
          <w:color w:val="5A6069"/>
          <w:sz w:val="15"/>
          <w:szCs w:val="15"/>
        </w:rPr>
        <w:t xml:space="preserve">   PMID 21492336</w:t>
      </w:r>
    </w:p>
    <w:p>
      <w:pPr>
        <w:spacing w:after="50" w:line="276"/>
      </w:pPr>
      <w:r>
        <w:rPr>
          <w:color w:val="5A6069"/>
          <w:sz w:val="17"/>
          <w:szCs w:val="17"/>
        </w:rPr>
        <w:t xml:space="preserve">Trans-peritoneal fine needle aspiration biopsy of hilar cholangiocarcinoma is associated with disease dissemination</w:t>
      </w:r>
    </w:p>
    <w:p>
      <w:pPr>
        <w:spacing w:after="50"/>
      </w:pPr>
      <w:r>
        <w:rPr>
          <w:b/>
          <w:bCs/>
          <w:color w:val="176A87"/>
          <w:sz w:val="16"/>
          <w:szCs w:val="16"/>
        </w:rPr>
        <w:t xml:space="preserve">Population. </w:t>
      </w:r>
      <w:r>
        <w:rPr>
          <w:sz w:val="16"/>
          <w:szCs w:val="16"/>
        </w:rPr>
        <w:t xml:space="preserve">191 patients with localised unresectable hilar cholangiocarcinoma enrolled in the Mayo neoadjuvant chemoradiotherapy and liver transplant protocol between 1 October 1992 and 1 January 2010, of whom 16 had undergone transperitoneal fine-needle aspiration of the primary tumour at an outside facility (13 percutaneous, 3 EUS-guided) and 125 reached transplantation</w:t>
      </w:r>
    </w:p>
    <w:p>
      <w:pPr>
        <w:spacing w:after="70"/>
      </w:pPr>
      <w:r>
        <w:rPr>
          <w:b/>
          <w:bCs/>
          <w:color w:val="17365D"/>
          <w:sz w:val="16"/>
          <w:szCs w:val="16"/>
        </w:rPr>
        <w:t xml:space="preserve">Bottom line. </w:t>
      </w:r>
      <w:r>
        <w:rPr>
          <w:sz w:val="16"/>
          <w:szCs w:val="16"/>
        </w:rPr>
        <w:t xml:space="preserve">This is the paper behind the rule that a hilar mass must not be sampled transperitoneally in anyone who might be a transplant candidate: 5 of 6 protocol patients with a positive outside fine-needle aspiration had peritoneal metastases at operative staging, against 8% of the 175 who had no aspiration. The exposed group is six patients and five events, the comparison is retrospective and unmatched on the histological features that predict peritoneal spread, and a needle that yields adenocarcinoma marks a tumour bulky enough to hit, so reverse causation is not excluded. It also records the Mayo protocol's eligibility rules more explicitly than any other paper in this set, including that pathological confirmation is not required to proceed.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 primary weakness is that the groups were not randomised, although the authors state there were no remarkable demographic differences between them</w:t>
            </w:r>
          </w:p>
          <w:p>
            <w:pPr>
              <w:pStyle w:val="ListParagraph"/>
              <w:numPr>
                <w:ilvl w:val="0"/>
                <w:numId w:val="2"/>
              </w:numPr>
              <w:spacing w:after="45"/>
            </w:pPr>
            <w:r>
              <w:rPr>
                <w:sz w:val="15"/>
                <w:szCs w:val="15"/>
              </w:rPr>
              <w:t xml:space="preserve">The study is limited by its retrospective nature, and the authors judge that a prospective randomised trial comparing transperitoneal fine-needle aspiration with other diagnostic methods is unlikely to be feasible because the diagnosis is infrequent and patients ineligible for curative therapy may die before peritoneal seeding becomes clinically evident</w:t>
            </w:r>
          </w:p>
          <w:p>
            <w:pPr>
              <w:pStyle w:val="ListParagraph"/>
              <w:numPr>
                <w:ilvl w:val="0"/>
                <w:numId w:val="2"/>
              </w:numPr>
              <w:spacing w:after="45"/>
            </w:pPr>
            <w:r>
              <w:rPr>
                <w:sz w:val="15"/>
                <w:szCs w:val="15"/>
              </w:rPr>
              <w:t xml:space="preserve">The overall number of patients undergoing transperitoneal fine-needle aspiration is small, with six in the biopsy-positive group</w:t>
            </w:r>
          </w:p>
          <w:p>
            <w:pPr>
              <w:pStyle w:val="ListParagraph"/>
              <w:numPr>
                <w:ilvl w:val="0"/>
                <w:numId w:val="2"/>
              </w:numPr>
              <w:spacing w:after="45"/>
            </w:pPr>
            <w:r>
              <w:rPr>
                <w:sz w:val="15"/>
                <w:szCs w:val="15"/>
              </w:rPr>
              <w:t xml:space="preserve">Information such as tumour differentiation or perineural invasion was not known at enrolment given the limited amount of diagnostic tissue, so the groups could not be matched on the histological features that predict peritoneal spread</w:t>
            </w:r>
          </w:p>
          <w:p>
            <w:pPr>
              <w:pStyle w:val="ListParagraph"/>
              <w:numPr>
                <w:ilvl w:val="0"/>
                <w:numId w:val="2"/>
              </w:numPr>
              <w:spacing w:after="45"/>
            </w:pPr>
            <w:r>
              <w:rPr>
                <w:sz w:val="15"/>
                <w:szCs w:val="15"/>
              </w:rPr>
              <w:t xml:space="preserve">The reason the incidence of peritoneal seeding here exceeds that reported after percutaneous cholangiography and after fine-needle aspiration for hepatocellular carcinoma is unknown; the explanations offered, greater peritoneal exposure and relative immunosuppression after chemoradiotherapy, are hypotheses, and the authors note the second is unlikely because the biopsies preceded neoadjuvant therapy by weeks to months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exposed group is six patients and the 83% figure rests on five events, so no precise risk estimate is possible; the interval around 5 of 6 runs from roughly a third to 100%</w:t>
            </w:r>
          </w:p>
          <w:p>
            <w:pPr>
              <w:pStyle w:val="ListParagraph"/>
              <w:numPr>
                <w:ilvl w:val="0"/>
                <w:numId w:val="2"/>
              </w:numPr>
              <w:spacing w:after="45"/>
            </w:pPr>
            <w:r>
              <w:rPr>
                <w:sz w:val="15"/>
                <w:szCs w:val="15"/>
              </w:rPr>
              <w:t xml:space="preserve">Reverse causation is not excluded. A transperitoneal aspiration that yields adenocarcinoma marks a tumour bulky and cell-rich enough to hit with a needle, and the finding that none of the nine aspiration-negative patients had peritoneal disease fits tumour biology at least as well as needle seeding</w:t>
            </w:r>
          </w:p>
          <w:p>
            <w:pPr>
              <w:pStyle w:val="ListParagraph"/>
              <w:numPr>
                <w:ilvl w:val="0"/>
                <w:numId w:val="2"/>
              </w:numPr>
              <w:spacing w:after="45"/>
            </w:pPr>
            <w:r>
              <w:rPr>
                <w:sz w:val="15"/>
                <w:szCs w:val="15"/>
              </w:rPr>
              <w:t xml:space="preserve">The patient with an equivocal biopsy showing glandular cells, who also had peritoneal metastasis demonstrated at staging, was set aside from the aspiration-positive group; with him the rate is 6 of 7, and the decision to exclude him is an adjudication made with the outcome already known</w:t>
            </w:r>
          </w:p>
          <w:p>
            <w:pPr>
              <w:pStyle w:val="ListParagraph"/>
              <w:numPr>
                <w:ilvl w:val="0"/>
                <w:numId w:val="2"/>
              </w:numPr>
              <w:spacing w:after="45"/>
            </w:pPr>
            <w:r>
              <w:rPr>
                <w:sz w:val="15"/>
                <w:szCs w:val="15"/>
              </w:rPr>
              <w:t xml:space="preserve">Table 2's footnote gives P = 0.0001 for the same comparison the abstract and Results report as P = 0.0097</w:t>
            </w:r>
          </w:p>
          <w:p>
            <w:pPr>
              <w:pStyle w:val="ListParagraph"/>
              <w:numPr>
                <w:ilvl w:val="0"/>
                <w:numId w:val="2"/>
              </w:numPr>
              <w:spacing w:after="45"/>
            </w:pPr>
            <w:r>
              <w:rPr>
                <w:sz w:val="15"/>
                <w:szCs w:val="15"/>
              </w:rPr>
              <w:t xml:space="preserve">The Discussion gives the no-biopsy group's metastasis rate as 20% overall with 11% peritoneal, where the Results and Table 2 give 8% (14 of 175); five-year survival is 73% in the text and figure and 74% in the abstract</w:t>
            </w:r>
          </w:p>
          <w:p>
            <w:pPr>
              <w:pStyle w:val="ListParagraph"/>
              <w:numPr>
                <w:ilvl w:val="0"/>
                <w:numId w:val="2"/>
              </w:numPr>
              <w:spacing w:after="45"/>
            </w:pPr>
            <w:r>
              <w:rPr>
                <w:sz w:val="15"/>
                <w:szCs w:val="15"/>
              </w:rPr>
              <w:t xml:space="preserve">Table 2's denominators of 175, 6 and 9 sum to 190, not the 191 enrolled</w:t>
            </w:r>
          </w:p>
          <w:p>
            <w:pPr>
              <w:pStyle w:val="ListParagraph"/>
              <w:numPr>
                <w:ilvl w:val="0"/>
                <w:numId w:val="2"/>
              </w:numPr>
              <w:spacing w:after="45"/>
            </w:pPr>
            <w:r>
              <w:rPr>
                <w:sz w:val="15"/>
                <w:szCs w:val="15"/>
              </w:rPr>
              <w:t xml:space="preserve">The groups are declared similar with P = NS on 6 and 9 patients against 175, where no test could detect a difference; a mass was present in 16% of the aspiration-positive, 36% of the no-biopsy and 66% of the aspiration-negative patients, mean mass size was 3.9 against 2.9 cm, mean age 57 against 50 years, and primary sclerosing cholangitis 17% against 40%</w:t>
            </w:r>
          </w:p>
          <w:p>
            <w:pPr>
              <w:pStyle w:val="ListParagraph"/>
              <w:numPr>
                <w:ilvl w:val="0"/>
                <w:numId w:val="2"/>
              </w:numPr>
              <w:spacing w:after="45"/>
            </w:pPr>
            <w:r>
              <w:rPr>
                <w:sz w:val="15"/>
                <w:szCs w:val="15"/>
              </w:rPr>
              <w:t xml:space="preserve">Brush cytology was not performed at all in the aspiration-positive group, so the comparison is between patients diagnosed by needle and patients diagnosed endoscopically, that is between two diagnostic pathways rather than two exposures</w:t>
            </w:r>
          </w:p>
          <w:p>
            <w:pPr>
              <w:pStyle w:val="ListParagraph"/>
              <w:numPr>
                <w:ilvl w:val="0"/>
                <w:numId w:val="2"/>
              </w:numPr>
              <w:spacing w:after="45"/>
            </w:pPr>
            <w:r>
              <w:rPr>
                <w:sz w:val="15"/>
                <w:szCs w:val="15"/>
              </w:rPr>
              <w:t xml:space="preserve">Every aspiration was performed at an outside facility, so needle gauge, number of passes, operator and technique are uncontrolled, and 13 percutaneous and 3 EUS-guided procedures are pooled despite differing peritoneal exposure; how many of the three EUS procedures were positive is never stated</w:t>
            </w:r>
          </w:p>
          <w:p>
            <w:pPr>
              <w:pStyle w:val="ListParagraph"/>
              <w:numPr>
                <w:ilvl w:val="0"/>
                <w:numId w:val="2"/>
              </w:numPr>
              <w:spacing w:after="45"/>
            </w:pPr>
            <w:r>
              <w:rPr>
                <w:sz w:val="15"/>
                <w:szCs w:val="15"/>
              </w:rPr>
              <w:t xml:space="preserve">Only patients already accepted onto the transplant protocol are counted, so anyone whose outside aspiration took them out of transplant consideration never enters the denominator, and the result cannot be extended to patients being worked up for resection</w:t>
            </w:r>
          </w:p>
          <w:p>
            <w:pPr>
              <w:pStyle w:val="ListParagraph"/>
              <w:numPr>
                <w:ilvl w:val="0"/>
                <w:numId w:val="2"/>
              </w:numPr>
              <w:spacing w:after="45"/>
            </w:pPr>
            <w:r>
              <w:rPr>
                <w:sz w:val="15"/>
                <w:szCs w:val="15"/>
              </w:rPr>
              <w:t xml:space="preserve">The interval from aspiration to staging is never reported, only the interval from enrolment to staging, and two patients were staged before enrolment, noted only in a table footnote</w:t>
            </w:r>
          </w:p>
          <w:p>
            <w:pPr>
              <w:pStyle w:val="ListParagraph"/>
              <w:numPr>
                <w:ilvl w:val="0"/>
                <w:numId w:val="2"/>
              </w:numPr>
              <w:spacing w:after="45"/>
            </w:pPr>
            <w:r>
              <w:rPr>
                <w:sz w:val="15"/>
                <w:szCs w:val="15"/>
              </w:rPr>
              <w:t xml:space="preserve">No time-to-event analysis and no adjustment for calendar era is attempted across an 18-year span in which protocol criteria, cross-sectional imaging and EUS availability all changed</w:t>
            </w:r>
          </w:p>
          <w:p>
            <w:pPr>
              <w:pStyle w:val="ListParagraph"/>
              <w:numPr>
                <w:ilvl w:val="0"/>
                <w:numId w:val="2"/>
              </w:numPr>
              <w:spacing w:after="45"/>
            </w:pPr>
            <w:r>
              <w:rPr>
                <w:sz w:val="15"/>
                <w:szCs w:val="15"/>
              </w:rPr>
              <w:t xml:space="preserve">The 73% five-year survival is reported for the 125 transplanted patients with numbers at risk falling to 33 by five years, and no intention-to-treat figure is given for the 191 enrolled, 66 of whom never reached transplantation</w:t>
            </w:r>
          </w:p>
          <w:p>
            <w:pPr>
              <w:pStyle w:val="ListParagraph"/>
              <w:numPr>
                <w:ilvl w:val="0"/>
                <w:numId w:val="2"/>
              </w:numPr>
              <w:spacing w:after="45"/>
            </w:pPr>
            <w:r>
              <w:rPr>
                <w:sz w:val="15"/>
                <w:szCs w:val="15"/>
              </w:rPr>
              <w:t xml:space="preserve">The benchmark used for comparison, a 2.7% needle-track seeding rate after biopsy of hepatocellular carcinoma, is a different endpoint from peritoneal carcinomatosis found at staging laparotomy</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No funding statement; conflict of interests declared as none</w:t>
      </w:r>
    </w:p>
    <w:p>
      <w:pPr>
        <w:keepNext/>
        <w:spacing w:after="50" w:before="260"/>
      </w:pPr>
      <w:r>
        <w:rPr>
          <w:rFonts w:ascii="Cambria" w:cs="Cambria" w:eastAsia="Cambria" w:hAnsi="Cambria"/>
          <w:b/>
          <w:bCs/>
          <w:color w:val="17365D"/>
          <w:sz w:val="20"/>
          <w:szCs w:val="20"/>
        </w:rPr>
        <w:t xml:space="preserve">HERIZON-BTC-01</w:t>
      </w:r>
      <w:r>
        <w:rPr>
          <w:b/>
          <w:bCs/>
          <w:color w:val="176A87"/>
          <w:sz w:val="15"/>
          <w:szCs w:val="15"/>
        </w:rPr>
        <w:t xml:space="preserve">   Prospective trial</w:t>
      </w:r>
      <w:r>
        <w:rPr>
          <w:color w:val="5A6069"/>
          <w:sz w:val="15"/>
          <w:szCs w:val="15"/>
        </w:rPr>
        <w:t xml:space="preserve">   PMID 41264278</w:t>
      </w:r>
    </w:p>
    <w:p>
      <w:pPr>
        <w:spacing w:after="50" w:line="276"/>
      </w:pPr>
      <w:r>
        <w:rPr>
          <w:color w:val="5A6069"/>
          <w:sz w:val="17"/>
          <w:szCs w:val="17"/>
        </w:rPr>
        <w:t xml:space="preserve">Zanidatamab in HER2-Positive Metastatic Biliary Tract Cancer: Final Results From HERIZON-BTC-01</w:t>
      </w:r>
    </w:p>
    <w:p>
      <w:pPr>
        <w:spacing w:after="50"/>
      </w:pPr>
      <w:r>
        <w:rPr>
          <w:b/>
          <w:bCs/>
          <w:color w:val="176A87"/>
          <w:sz w:val="16"/>
          <w:szCs w:val="16"/>
        </w:rPr>
        <w:t xml:space="preserve">Population. </w:t>
      </w:r>
      <w:r>
        <w:rPr>
          <w:sz w:val="16"/>
          <w:szCs w:val="16"/>
        </w:rPr>
        <w:t xml:space="preserve">80 patients with ERBB2-amplified locally advanced or metastatic biliary tract cancer previously treated with gemcitabine-based chemotherapy, enrolled between September 2020 and March 2022, 62 with immunohistochemistry 3+ and 18 with 2+ tumours, followed for a median of 33.4 months</w:t>
      </w:r>
    </w:p>
    <w:p>
      <w:pPr>
        <w:spacing w:after="70"/>
      </w:pPr>
      <w:r>
        <w:rPr>
          <w:b/>
          <w:bCs/>
          <w:color w:val="17365D"/>
          <w:sz w:val="16"/>
          <w:szCs w:val="16"/>
        </w:rPr>
        <w:t xml:space="preserve">Bottom line. </w:t>
      </w:r>
      <w:r>
        <w:rPr>
          <w:sz w:val="16"/>
          <w:szCs w:val="16"/>
        </w:rPr>
        <w:t xml:space="preserve">The final HERIZON-BTC-01 analysis shows zanidatamab produces confirmed responses in 41% of HER2-positive biliary tract cancers after chemotherapy, with 52% in immunohistochemistry 3+ disease, a 14.9-month median duration of response and 18.1 months median survival in 3+ patients. Being single-arm with 44% of patients going on to further therapy, it cannot size the survival contribution, and the 2+ cohort of 18 patients shows essentially no activity. No results are reported by anatomical subsite, so the effect in iCCA is unknown.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subset analyses were post hoc</w:t>
            </w:r>
          </w:p>
          <w:p>
            <w:pPr>
              <w:pStyle w:val="ListParagraph"/>
              <w:numPr>
                <w:ilvl w:val="0"/>
                <w:numId w:val="2"/>
              </w:numPr>
              <w:spacing w:after="45"/>
            </w:pPr>
            <w:r>
              <w:rPr>
                <w:sz w:val="15"/>
                <w:szCs w:val="15"/>
              </w:rPr>
              <w:t xml:space="preserve">Pain scores carry the potential of non-random missing data, with only 59 of 80 patients (74%) completing the item at both time points</w:t>
            </w:r>
          </w:p>
          <w:p>
            <w:pPr>
              <w:pStyle w:val="ListParagraph"/>
              <w:numPr>
                <w:ilvl w:val="0"/>
                <w:numId w:val="2"/>
              </w:numPr>
              <w:spacing w:after="45"/>
            </w:pPr>
            <w:r>
              <w:rPr>
                <w:sz w:val="15"/>
                <w:szCs w:val="15"/>
              </w:rPr>
              <w:t xml:space="preserve">The authors note that full eligibility criteria are in the primary report, this being published as a research letter</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single-arm trial with no comparator cannot attribute a 15.5-month median survival to the drug, and 35 of 80 patients (44%) received further anticancer therapy after stopping zanidatamab, so the survival curve includes the effect of whatever came next</w:t>
            </w:r>
          </w:p>
          <w:p>
            <w:pPr>
              <w:pStyle w:val="ListParagraph"/>
              <w:numPr>
                <w:ilvl w:val="0"/>
                <w:numId w:val="2"/>
              </w:numPr>
              <w:spacing w:after="45"/>
            </w:pPr>
            <w:r>
              <w:rPr>
                <w:sz w:val="15"/>
                <w:szCs w:val="15"/>
              </w:rPr>
              <w:t xml:space="preserve">The immunohistochemistry 2+ cohort of 18 patients produced one response, 6% (1-27), with median survival of 5.2 months and progression-free survival of 1.7 months; the trial therefore shows the drug does not work in 2+ disease, which is how the ongoing phase 3 nevertheless defines part of its population</w:t>
            </w:r>
          </w:p>
          <w:p>
            <w:pPr>
              <w:pStyle w:val="ListParagraph"/>
              <w:numPr>
                <w:ilvl w:val="0"/>
                <w:numId w:val="2"/>
              </w:numPr>
              <w:spacing w:after="45"/>
            </w:pPr>
            <w:r>
              <w:rPr>
                <w:sz w:val="15"/>
                <w:szCs w:val="15"/>
              </w:rPr>
              <w:t xml:space="preserve">The 52% response rate quoted in practice is a post hoc subgroup confined to 3+ tumours, and the overall confirmed response rate on which approval rests is 41%</w:t>
            </w:r>
          </w:p>
          <w:p>
            <w:pPr>
              <w:pStyle w:val="ListParagraph"/>
              <w:numPr>
                <w:ilvl w:val="0"/>
                <w:numId w:val="2"/>
              </w:numPr>
              <w:spacing w:after="45"/>
            </w:pPr>
            <w:r>
              <w:rPr>
                <w:sz w:val="15"/>
                <w:szCs w:val="15"/>
              </w:rPr>
              <w:t xml:space="preserve">No breakdown by anatomical subsite is reported anywhere, so the effect in intrahepatic cholangiocarcinoma specifically is unknown even though HER2 testing is now done on iCCA</w:t>
            </w:r>
          </w:p>
          <w:p>
            <w:pPr>
              <w:pStyle w:val="ListParagraph"/>
              <w:numPr>
                <w:ilvl w:val="0"/>
                <w:numId w:val="2"/>
              </w:numPr>
              <w:spacing w:after="45"/>
            </w:pPr>
            <w:r>
              <w:rPr>
                <w:sz w:val="15"/>
                <w:szCs w:val="15"/>
              </w:rPr>
              <w:t xml:space="preserve">Pain is the only patient-reported outcome, measured at two time points on a single Brief Pain Inventory item, and the comparison is between responders and progressors rather than between treatments, so it describes what responding to treatment feels like and not what the drug does</w:t>
            </w:r>
          </w:p>
          <w:p>
            <w:pPr>
              <w:pStyle w:val="ListParagraph"/>
              <w:numPr>
                <w:ilvl w:val="0"/>
                <w:numId w:val="2"/>
              </w:numPr>
              <w:spacing w:after="45"/>
            </w:pPr>
            <w:r>
              <w:rPr>
                <w:sz w:val="15"/>
                <w:szCs w:val="15"/>
              </w:rPr>
              <w:t xml:space="preserve">Decreased ejection fraction occurred in 3 of 80 patients (3.8%) at grade 3 on a HER2-directed antibody, with no routine cardiac monitoring protocol or cumulative cardiac follow-up reported in this letter</w:t>
            </w:r>
          </w:p>
          <w:p>
            <w:pPr>
              <w:pStyle w:val="ListParagraph"/>
              <w:numPr>
                <w:ilvl w:val="0"/>
                <w:numId w:val="2"/>
              </w:numPr>
              <w:spacing w:after="45"/>
            </w:pPr>
            <w:r>
              <w:rPr>
                <w:sz w:val="15"/>
                <w:szCs w:val="15"/>
              </w:rPr>
              <w:t xml:space="preserve">The report is a research letter with eligibility given only in outline, so the enrolment criteria behind the final survival figures cannot be checked against this publication</w:t>
            </w:r>
          </w:p>
          <w:p>
            <w:pPr>
              <w:pStyle w:val="ListParagraph"/>
              <w:numPr>
                <w:ilvl w:val="0"/>
                <w:numId w:val="2"/>
              </w:numPr>
              <w:spacing w:after="45"/>
            </w:pPr>
            <w:r>
              <w:rPr>
                <w:sz w:val="15"/>
                <w:szCs w:val="15"/>
              </w:rPr>
              <w:t xml:space="preserve">Three companies funded the trial and were involved in its design, conduct, analysis and manuscript approval, with company employees as authors, and the drug has accelerated US approval on exactly these single-arm data</w:t>
            </w:r>
          </w:p>
          <w:p>
            <w:pPr>
              <w:pStyle w:val="ListParagraph"/>
              <w:numPr>
                <w:ilvl w:val="0"/>
                <w:numId w:val="2"/>
              </w:numPr>
              <w:spacing w:after="45"/>
            </w:pPr>
            <w:r>
              <w:rPr>
                <w:sz w:val="15"/>
                <w:szCs w:val="15"/>
              </w:rPr>
              <w:t xml:space="preserve">The median duration of response of 14.9 months has a confidence interval of 7.4 to 24.0 months in 33 responders, so the durability claim is imprecise at the scale that matters clinically</w:t>
            </w:r>
          </w:p>
          <w:p>
            <w:pPr>
              <w:pStyle w:val="ListParagraph"/>
              <w:numPr>
                <w:ilvl w:val="0"/>
                <w:numId w:val="2"/>
              </w:numPr>
              <w:spacing w:after="45"/>
            </w:pPr>
            <w:r>
              <w:rPr>
                <w:sz w:val="15"/>
                <w:szCs w:val="15"/>
              </w:rPr>
              <w:t xml:space="preserve">ERBB2 amplification was the entry criterion but response tracked immunohistochemistry, not amplification, and the paper does not report how many 2+ patients were amplified, so the selection assay that should be used is left unresolved</w:t>
            </w:r>
          </w:p>
          <w:p>
            <w:pPr>
              <w:pStyle w:val="ListParagraph"/>
              <w:numPr>
                <w:ilvl w:val="0"/>
                <w:numId w:val="2"/>
              </w:numPr>
              <w:spacing w:after="45"/>
            </w:pPr>
            <w:r>
              <w:rPr>
                <w:sz w:val="15"/>
                <w:szCs w:val="15"/>
              </w:rPr>
              <w:t xml:space="preserve">No linked editorial or comment was found in PubMed, so no independent published appraisal accompanies the final analysis</w:t>
            </w:r>
          </w:p>
        </w:tc>
      </w:tr>
    </w:tbl>
    <w:p>
      <w:pPr>
        <w:spacing w:after="0" w:line="276"/>
      </w:pPr>
      <w:r>
        <w:rPr>
          <w:color w:val="5A6069"/>
          <w:sz w:val="14"/>
          <w:szCs w:val="14"/>
        </w:rPr>
        <w:t xml:space="preserve">Funding: Supported by BeOne Medicines, Jazz Pharmaceuticals and Zymeworks; Zymeworks and BeOne were involved in the design and conduct, all three in the collection, management, analysis and interpretation of the data and in the preparation, review and approval of the manuscript, with company employees among the authors</w:t>
      </w:r>
    </w:p>
    <w:p>
      <w:pPr>
        <w:keepNext/>
        <w:spacing w:after="50" w:before="260"/>
      </w:pPr>
      <w:r>
        <w:rPr>
          <w:rFonts w:ascii="Cambria" w:cs="Cambria" w:eastAsia="Cambria" w:hAnsi="Cambria"/>
          <w:b/>
          <w:bCs/>
          <w:color w:val="17365D"/>
          <w:sz w:val="20"/>
          <w:szCs w:val="20"/>
        </w:rPr>
        <w:t xml:space="preserve">KEYNOTE-966</w:t>
      </w:r>
      <w:r>
        <w:rPr>
          <w:b/>
          <w:bCs/>
          <w:color w:val="176A87"/>
          <w:sz w:val="15"/>
          <w:szCs w:val="15"/>
        </w:rPr>
        <w:t xml:space="preserve">   Randomised trial</w:t>
      </w:r>
      <w:r>
        <w:rPr>
          <w:color w:val="5A6069"/>
          <w:sz w:val="15"/>
          <w:szCs w:val="15"/>
        </w:rPr>
        <w:t xml:space="preserve">   PMID 37075781</w:t>
      </w:r>
    </w:p>
    <w:p>
      <w:pPr>
        <w:spacing w:after="50" w:line="276"/>
      </w:pPr>
      <w:r>
        <w:rPr>
          <w:color w:val="5A6069"/>
          <w:sz w:val="17"/>
          <w:szCs w:val="17"/>
        </w:rPr>
        <w:t xml:space="preserve">Pembrolizumab in combination with gemcitabine and cisplatin compared with gemcitabine and cisplatin alone for patients with advanced biliary tract cancer (KEYNOTE-966): a randomised, double-blind, placebo-controlled, phase 3 trial</w:t>
      </w:r>
    </w:p>
    <w:p>
      <w:pPr>
        <w:spacing w:after="50"/>
      </w:pPr>
      <w:r>
        <w:rPr>
          <w:b/>
          <w:bCs/>
          <w:color w:val="176A87"/>
          <w:sz w:val="16"/>
          <w:szCs w:val="16"/>
        </w:rPr>
        <w:t xml:space="preserve">Population. </w:t>
      </w:r>
      <w:r>
        <w:rPr>
          <w:sz w:val="16"/>
          <w:szCs w:val="16"/>
        </w:rPr>
        <w:t xml:space="preserve">1069 patients randomised from 1564 screened at 175 centres between October 2019 and June 2021 with previously untreated unresectable locally advanced or metastatic biliary tract cancer; 633 (59%) were intrahepatic and 943 (88%) metastatic</w:t>
      </w:r>
    </w:p>
    <w:p>
      <w:pPr>
        <w:spacing w:after="70"/>
      </w:pPr>
      <w:r>
        <w:rPr>
          <w:b/>
          <w:bCs/>
          <w:color w:val="17365D"/>
          <w:sz w:val="16"/>
          <w:szCs w:val="16"/>
        </w:rPr>
        <w:t xml:space="preserve">Bottom line. </w:t>
      </w:r>
      <w:r>
        <w:rPr>
          <w:sz w:val="16"/>
          <w:szCs w:val="16"/>
        </w:rPr>
        <w:t xml:space="preserve">KEYNOTE-966 met its primary endpoint, adding pembrolizumab to gemcitabine-cisplatin for a median survival of 12.7 against 10.9 months, HR 0.83 (0.72-0.95), and it is the larger and longer-followed of the two first-line immunotherapy trials. It does not show tumour-level activity: response rates were identical at 29%, progression-free survival missed its boundary, and quality of life was unchanged. With 88% metastatic disease, a mandatory-biopsy entry criterion that over-selected intrahepatic tumours, and no predictive biomarker, it cannot be read as an iCCA-specific or a liver-confined-disease result.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Participants with intrahepatic tumours were enrolled disproportionately relative to population frequencies, leaving smaller samples for extrahepatic cholangiocarcinoma and gallbladder cancer and affecting those subgroup analyses</w:t>
            </w:r>
          </w:p>
          <w:p>
            <w:pPr>
              <w:pStyle w:val="ListParagraph"/>
              <w:numPr>
                <w:ilvl w:val="0"/>
                <w:numId w:val="2"/>
              </w:numPr>
              <w:spacing w:after="45"/>
            </w:pPr>
            <w:r>
              <w:rPr>
                <w:sz w:val="15"/>
                <w:szCs w:val="15"/>
              </w:rPr>
              <w:t xml:space="preserve">The requirement for tumour tissue at entry may have contributed to a selection bias towards intrahepatic tumours because they are more accessible for sampling</w:t>
            </w:r>
          </w:p>
          <w:p>
            <w:pPr>
              <w:pStyle w:val="ListParagraph"/>
              <w:numPr>
                <w:ilvl w:val="0"/>
                <w:numId w:val="2"/>
              </w:numPr>
              <w:spacing w:after="45"/>
            </w:pPr>
            <w:r>
              <w:rPr>
                <w:sz w:val="15"/>
                <w:szCs w:val="15"/>
              </w:rPr>
              <w:t xml:space="preserve">Outcomes could not be assessed by microsatellite instability status because only ten participants with known MSI-high tumours were enrolled</w:t>
            </w:r>
          </w:p>
          <w:p>
            <w:pPr>
              <w:pStyle w:val="ListParagraph"/>
              <w:numPr>
                <w:ilvl w:val="0"/>
                <w:numId w:val="2"/>
              </w:numPr>
              <w:spacing w:after="45"/>
            </w:pPr>
            <w:r>
              <w:rPr>
                <w:sz w:val="15"/>
                <w:szCs w:val="15"/>
              </w:rPr>
              <w:t xml:space="preserve">Translational biomarker analyses are still ongoing and a dedicated analysis of the complete patient-reported outcome data is deferred to a future report</w:t>
            </w:r>
          </w:p>
          <w:p>
            <w:pPr>
              <w:pStyle w:val="ListParagraph"/>
              <w:numPr>
                <w:ilvl w:val="0"/>
                <w:numId w:val="2"/>
              </w:numPr>
              <w:spacing w:after="45"/>
            </w:pPr>
            <w:r>
              <w:rPr>
                <w:sz w:val="15"/>
                <w:szCs w:val="15"/>
              </w:rPr>
              <w:t xml:space="preserve">The authors acknowledge the same enrolment bias towards intrahepatic tumours was seen in TOPAZ-1</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absolute gain is 1.8 months of median survival and both supporting efficacy endpoints failed their prespecified boundaries: progression-free survival at HR 0.86 (0.75-1.00), p = 0.023 against a boundary of 0.0125, and objective response at 29% against 29%, p = 0.47</w:t>
            </w:r>
          </w:p>
          <w:p>
            <w:pPr>
              <w:pStyle w:val="ListParagraph"/>
              <w:numPr>
                <w:ilvl w:val="0"/>
                <w:numId w:val="2"/>
              </w:numPr>
              <w:spacing w:after="45"/>
            </w:pPr>
            <w:r>
              <w:rPr>
                <w:sz w:val="15"/>
                <w:szCs w:val="15"/>
              </w:rPr>
              <w:t xml:space="preserve">Identical response rates with a survival difference means the drug is not shrinking tumours; the mechanism offered, longer duration of response in the minority who respond, is an observation in a non-randomised subset of responders</w:t>
            </w:r>
          </w:p>
          <w:p>
            <w:pPr>
              <w:pStyle w:val="ListParagraph"/>
              <w:numPr>
                <w:ilvl w:val="0"/>
                <w:numId w:val="2"/>
              </w:numPr>
              <w:spacing w:after="45"/>
            </w:pPr>
            <w:r>
              <w:rPr>
                <w:sz w:val="15"/>
                <w:szCs w:val="15"/>
              </w:rPr>
              <w:t xml:space="preserve">The progression-free survival confidence interval ends exactly at 1.00 and the endpoint is declared not met, yet the overall survival claim is presented without the caveat that no intermediate endpoint supports it</w:t>
            </w:r>
          </w:p>
          <w:p>
            <w:pPr>
              <w:pStyle w:val="ListParagraph"/>
              <w:numPr>
                <w:ilvl w:val="0"/>
                <w:numId w:val="2"/>
              </w:numPr>
              <w:spacing w:after="45"/>
            </w:pPr>
            <w:r>
              <w:rPr>
                <w:sz w:val="15"/>
                <w:szCs w:val="15"/>
              </w:rPr>
              <w:t xml:space="preserve">The intrahepatic subgroup hazard ratio of 0.76 (0.64-0.91) is the number clinicians quote, but extrahepatic (0.99, 0.73-1.35) and gallbladder (0.96, 0.73-1.26) both cross 1; the trial reports no interaction test and the authors attribute the pattern to underpowering rather than to a site effect, so the subgroup cannot be treated as an iCCA-specific result</w:t>
            </w:r>
          </w:p>
          <w:p>
            <w:pPr>
              <w:pStyle w:val="ListParagraph"/>
              <w:numPr>
                <w:ilvl w:val="0"/>
                <w:numId w:val="2"/>
              </w:numPr>
              <w:spacing w:after="45"/>
            </w:pPr>
            <w:r>
              <w:rPr>
                <w:sz w:val="15"/>
                <w:szCs w:val="15"/>
              </w:rPr>
              <w:t xml:space="preserve">Mandatory tumour tissue at entry selected for accessible, biopsiable tumours, which skews the population towards larger intrahepatic masses and away from the patients whose disease is hardest to sample</w:t>
            </w:r>
          </w:p>
          <w:p>
            <w:pPr>
              <w:pStyle w:val="ListParagraph"/>
              <w:numPr>
                <w:ilvl w:val="0"/>
                <w:numId w:val="2"/>
              </w:numPr>
              <w:spacing w:after="45"/>
            </w:pPr>
            <w:r>
              <w:rPr>
                <w:sz w:val="15"/>
                <w:szCs w:val="15"/>
              </w:rPr>
              <w:t xml:space="preserve">PD-L1 gave no signal at all, HR 0.84 below a combined positive score of 1 and 0.85 at 1 or more, and with only 10 MSI-high patients there is no biomarker to select on, so 22% of patients incur immune-mediated events for a benefit that cannot be predicted</w:t>
            </w:r>
          </w:p>
          <w:p>
            <w:pPr>
              <w:pStyle w:val="ListParagraph"/>
              <w:numPr>
                <w:ilvl w:val="0"/>
                <w:numId w:val="2"/>
              </w:numPr>
              <w:spacing w:after="45"/>
            </w:pPr>
            <w:r>
              <w:rPr>
                <w:sz w:val="15"/>
                <w:szCs w:val="15"/>
              </w:rPr>
              <w:t xml:space="preserve">Treatment-related deaths were higher with pembrolizumab, 8 (2%) against 3 (1%), while all-cause adverse-event deaths were lower, 31 (6%) against 49 (9%); the paper leads with the latter comparison and the attribution of deaths in an unblinded-to-causality assessment is investigator-determined</w:t>
            </w:r>
          </w:p>
          <w:p>
            <w:pPr>
              <w:pStyle w:val="ListParagraph"/>
              <w:numPr>
                <w:ilvl w:val="0"/>
                <w:numId w:val="2"/>
              </w:numPr>
              <w:spacing w:after="45"/>
            </w:pPr>
            <w:r>
              <w:rPr>
                <w:sz w:val="15"/>
                <w:szCs w:val="15"/>
              </w:rPr>
              <w:t xml:space="preserve">Quality of life did not improve: the change in EORTC QLQ-C30 global health status to week 18 was -2.5 in both arms, difference 0.0 (-2.5 to 2.6), so the 1.8-month survival gain comes with no measurable improvement in how patients feel</w:t>
            </w:r>
          </w:p>
          <w:p>
            <w:pPr>
              <w:pStyle w:val="ListParagraph"/>
              <w:numPr>
                <w:ilvl w:val="0"/>
                <w:numId w:val="2"/>
              </w:numPr>
              <w:spacing w:after="45"/>
            </w:pPr>
            <w:r>
              <w:rPr>
                <w:sz w:val="15"/>
                <w:szCs w:val="15"/>
              </w:rPr>
              <w:t xml:space="preserve">Gemcitabine was continued to progression with no cycle cap, unlike TOPAZ-1, so the two immunotherapy trials are not comparable on chemotherapy exposure and the cross-trial equivalence frequently asserted between them is not supported</w:t>
            </w:r>
          </w:p>
          <w:p>
            <w:pPr>
              <w:pStyle w:val="ListParagraph"/>
              <w:numPr>
                <w:ilvl w:val="0"/>
                <w:numId w:val="2"/>
              </w:numPr>
              <w:spacing w:after="45"/>
            </w:pPr>
            <w:r>
              <w:rPr>
                <w:sz w:val="15"/>
                <w:szCs w:val="15"/>
              </w:rPr>
              <w:t xml:space="preserve">495 of 1564 screened patients were not randomised and the reasons are not characterised in the report, so the trial population is a selected 68% of those assessed</w:t>
            </w:r>
          </w:p>
          <w:p>
            <w:pPr>
              <w:pStyle w:val="ListParagraph"/>
              <w:numPr>
                <w:ilvl w:val="0"/>
                <w:numId w:val="2"/>
              </w:numPr>
              <w:spacing w:after="45"/>
            </w:pPr>
            <w:r>
              <w:rPr>
                <w:sz w:val="15"/>
                <w:szCs w:val="15"/>
              </w:rPr>
              <w:t xml:space="preserve">The sponsor's employees are co-authors, the sponsor performed the statistical analysis and held the database, and the sponsor funded medical writing; no independent statistical replication is described</w:t>
            </w:r>
          </w:p>
          <w:p>
            <w:pPr>
              <w:pStyle w:val="ListParagraph"/>
              <w:numPr>
                <w:ilvl w:val="0"/>
                <w:numId w:val="2"/>
              </w:numPr>
              <w:spacing w:after="45"/>
            </w:pPr>
            <w:r>
              <w:rPr>
                <w:sz w:val="15"/>
                <w:szCs w:val="15"/>
              </w:rPr>
              <w:t xml:space="preserve">Crossover was not permitted and post-progression immunotherapy in the control arm is not accounted for, so the overall survival comparison embeds whatever second-line treatment each region happened to provide</w:t>
            </w:r>
          </w:p>
          <w:p>
            <w:pPr>
              <w:pStyle w:val="ListParagraph"/>
              <w:numPr>
                <w:ilvl w:val="0"/>
                <w:numId w:val="2"/>
              </w:numPr>
              <w:spacing w:after="45"/>
            </w:pPr>
            <w:r>
              <w:rPr>
                <w:sz w:val="15"/>
                <w:szCs w:val="15"/>
              </w:rPr>
              <w:t xml:space="preserve">88% of patients had metastatic disease and the trial excluded resectable disease, so it provides no evidence for neoadjuvant, conversion or peri-transplant use of this regimen in liver-confined iCCA</w:t>
            </w:r>
          </w:p>
          <w:p>
            <w:pPr>
              <w:pStyle w:val="ListParagraph"/>
              <w:numPr>
                <w:ilvl w:val="0"/>
                <w:numId w:val="2"/>
              </w:numPr>
              <w:spacing w:after="45"/>
            </w:pPr>
            <w:r>
              <w:rPr>
                <w:sz w:val="15"/>
                <w:szCs w:val="15"/>
              </w:rPr>
              <w:t xml:space="preserve">The linked comment by Slater and Cunningham (Lancet 2023;401:1826-1827, PMID 37075782) is listed as the paper's commentary; its full text was not available, so none of its arguments are represented here</w:t>
            </w:r>
          </w:p>
        </w:tc>
      </w:tr>
    </w:tbl>
    <w:p>
      <w:pPr>
        <w:spacing w:after="0" w:line="276"/>
      </w:pPr>
      <w:r>
        <w:rPr>
          <w:color w:val="5A6069"/>
          <w:sz w:val="14"/>
          <w:szCs w:val="14"/>
        </w:rPr>
        <w:t xml:space="preserve">Funding: Merck Sharp and Dohme, a subsidiary of Merck and Co; authors employed by the funder contributed to design, data analysis, interpretation and writing, and the funder maintained the study database</w:t>
      </w:r>
    </w:p>
    <w:p>
      <w:pPr>
        <w:keepNext/>
        <w:spacing w:after="50" w:before="260"/>
      </w:pPr>
      <w:r>
        <w:rPr>
          <w:rFonts w:ascii="Cambria" w:cs="Cambria" w:eastAsia="Cambria" w:hAnsi="Cambria"/>
          <w:b/>
          <w:bCs/>
          <w:color w:val="17365D"/>
          <w:sz w:val="20"/>
          <w:szCs w:val="20"/>
        </w:rPr>
        <w:t xml:space="preserve">Milan consensus</w:t>
      </w:r>
      <w:r>
        <w:rPr>
          <w:b/>
          <w:bCs/>
          <w:color w:val="176A87"/>
          <w:sz w:val="15"/>
          <w:szCs w:val="15"/>
        </w:rPr>
        <w:t xml:space="preserve">   Consensus statement</w:t>
      </w:r>
      <w:r>
        <w:rPr>
          <w:color w:val="5A6069"/>
          <w:sz w:val="15"/>
          <w:szCs w:val="15"/>
        </w:rPr>
        <w:t xml:space="preserve">   PMID 40478744</w:t>
      </w:r>
    </w:p>
    <w:p>
      <w:pPr>
        <w:spacing w:after="50" w:line="276"/>
      </w:pPr>
      <w:r>
        <w:rPr>
          <w:color w:val="5A6069"/>
          <w:sz w:val="17"/>
          <w:szCs w:val="17"/>
        </w:rPr>
        <w:t xml:space="preserve">Recommendations on Perihilar Cholangiocarcinoma. The Milan Jury-Based Consensus</w:t>
      </w:r>
    </w:p>
    <w:p>
      <w:pPr>
        <w:spacing w:after="50"/>
      </w:pPr>
      <w:r>
        <w:rPr>
          <w:b/>
          <w:bCs/>
          <w:color w:val="176A87"/>
          <w:sz w:val="16"/>
          <w:szCs w:val="16"/>
        </w:rPr>
        <w:t xml:space="preserve">Population. </w:t>
      </w:r>
      <w:r>
        <w:rPr>
          <w:sz w:val="16"/>
          <w:szCs w:val="16"/>
        </w:rPr>
        <w:t xml:space="preserve">71 international experts in eight panels considering 570 studies published January 2000 to March 2024, with a ten-member jury of hepatologists, non-hepato-pancreato-biliary surgeons, epidemiologists and bioethicists, none directly involved in the care of or research into perihilar cholangiocarcinoma, at a two-day consensus meeting in Milan on 5-6 December 2024 with 226 on-site attendees; there is no patient cohort</w:t>
      </w:r>
    </w:p>
    <w:p>
      <w:pPr>
        <w:spacing w:after="70"/>
      </w:pPr>
      <w:r>
        <w:rPr>
          <w:b/>
          <w:bCs/>
          <w:color w:val="17365D"/>
          <w:sz w:val="16"/>
          <w:szCs w:val="16"/>
        </w:rPr>
        <w:t xml:space="preserve">Bottom line. </w:t>
      </w:r>
      <w:r>
        <w:rPr>
          <w:sz w:val="16"/>
          <w:szCs w:val="16"/>
        </w:rPr>
        <w:t xml:space="preserve">The Milan jury-based consensus is the most comprehensive current statement on perihilar cholangiocarcinoma, covering definition, staging, drainage, liver augmentation, the operation, systemic therapy, transplantation and outcome metrics, and it is candid that 84% of its 570 studies are observational and that most surgical recommendations sit at level of evidence 4. Its two central positions are unresolved by its own evidence: the resectability criteria it adopts are expert opinion awaiting validation while it declines to endorse any staging system for predicting resectability, and it extends transplantation to node-negative patients independent of resectability on a benchmark study and mixed retrospective comparisons after TRANSPHIL failed to recruit. Industry covered 55% of the conference's costs, no individual author conflict statement is printed, and no voting record exists for any recommendation.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systematic review revealed substantial heterogeneity in the level of evidence in most aspects of the disease, so several consensus discussions were guided primarily by expert opinion rather than empirical evidence</w:t>
            </w:r>
          </w:p>
          <w:p>
            <w:pPr>
              <w:pStyle w:val="ListParagraph"/>
              <w:numPr>
                <w:ilvl w:val="0"/>
                <w:numId w:val="2"/>
              </w:numPr>
              <w:spacing w:after="45"/>
            </w:pPr>
            <w:r>
              <w:rPr>
                <w:sz w:val="15"/>
                <w:szCs w:val="15"/>
              </w:rPr>
              <w:t xml:space="preserve">Of 570 studies, 479 (84%) were observational and 476 (83.5%) were deemed only of acceptable quality; major hepatectomy, the established curative approach, is supported by observational studies with very few multicentre reports, at level of evidence 4</w:t>
            </w:r>
          </w:p>
          <w:p>
            <w:pPr>
              <w:pStyle w:val="ListParagraph"/>
              <w:numPr>
                <w:ilvl w:val="0"/>
                <w:numId w:val="2"/>
              </w:numPr>
              <w:spacing w:after="45"/>
            </w:pPr>
            <w:r>
              <w:rPr>
                <w:sz w:val="15"/>
                <w:szCs w:val="15"/>
              </w:rPr>
              <w:t xml:space="preserve">Experience with complex scenarios such as vascular resection varies considerably across institutions globally and lacks generalisability</w:t>
            </w:r>
          </w:p>
          <w:p>
            <w:pPr>
              <w:pStyle w:val="ListParagraph"/>
              <w:numPr>
                <w:ilvl w:val="0"/>
                <w:numId w:val="2"/>
              </w:numPr>
              <w:spacing w:after="45"/>
            </w:pPr>
            <w:r>
              <w:rPr>
                <w:sz w:val="15"/>
                <w:szCs w:val="15"/>
              </w:rPr>
              <w:t xml:space="preserve">Liver transplantation relies mainly on the experience of a few centres, with many considering such an approach futile, and only 32 of the 570 studies (5.6%) concerned it</w:t>
            </w:r>
          </w:p>
          <w:p>
            <w:pPr>
              <w:pStyle w:val="ListParagraph"/>
              <w:numPr>
                <w:ilvl w:val="0"/>
                <w:numId w:val="2"/>
              </w:numPr>
              <w:spacing w:after="45"/>
            </w:pPr>
            <w:r>
              <w:rPr>
                <w:sz w:val="15"/>
                <w:szCs w:val="15"/>
              </w:rPr>
              <w:t xml:space="preserve">Systemic therapy evidence comes from multicentre randomised trials of pooled biliary tract cancer cohorts rather than perihilar disease specifically, which the authors call a shortcoming because emerging genetic data indicate that intrahepatic and extrahepatic subtypes are distinct entities</w:t>
            </w:r>
          </w:p>
          <w:p>
            <w:pPr>
              <w:pStyle w:val="ListParagraph"/>
              <w:numPr>
                <w:ilvl w:val="0"/>
                <w:numId w:val="2"/>
              </w:numPr>
              <w:spacing w:after="45"/>
            </w:pPr>
            <w:r>
              <w:rPr>
                <w:sz w:val="15"/>
                <w:szCs w:val="15"/>
              </w:rPr>
              <w:t xml:space="preserve">The resectability criteria the jury adopted are expert-opinion-based and require further validation</w:t>
            </w:r>
          </w:p>
          <w:p>
            <w:pPr>
              <w:pStyle w:val="ListParagraph"/>
              <w:numPr>
                <w:ilvl w:val="0"/>
                <w:numId w:val="2"/>
              </w:numPr>
              <w:spacing w:after="45"/>
            </w:pPr>
            <w:r>
              <w:rPr>
                <w:sz w:val="15"/>
                <w:szCs w:val="15"/>
              </w:rPr>
              <w:t xml:space="preserve">None of the available classifications, Bismuth-Corlette and Memorial Sloan-Kettering included, was developed primarily to determine resectability, their evaluation for that purpose rests on retrospective analyses only, and none can be recommended to predict it accurately</w:t>
            </w:r>
          </w:p>
          <w:p>
            <w:pPr>
              <w:pStyle w:val="ListParagraph"/>
              <w:numPr>
                <w:ilvl w:val="0"/>
                <w:numId w:val="2"/>
              </w:numPr>
              <w:spacing w:after="45"/>
            </w:pPr>
            <w:r>
              <w:rPr>
                <w:sz w:val="15"/>
                <w:szCs w:val="15"/>
              </w:rPr>
              <w:t xml:space="preserve">Both randomised trials of drainage route were prematurely closed, the optimal post-drainage bilirubin threshold is still debated, and percutaneous drainage remains the preferred approach in the majority of centres surveyed</w:t>
            </w:r>
          </w:p>
          <w:p>
            <w:pPr>
              <w:pStyle w:val="ListParagraph"/>
              <w:numPr>
                <w:ilvl w:val="0"/>
                <w:numId w:val="2"/>
              </w:numPr>
              <w:spacing w:after="45"/>
            </w:pPr>
            <w:r>
              <w:rPr>
                <w:sz w:val="15"/>
                <w:szCs w:val="15"/>
              </w:rPr>
              <w:t xml:space="preserve">Current surveillance recommendations depend on expert opinion and protocols published by surgical series, with no evidence so far indicating a survival benefit from more aggressive surveillance</w:t>
            </w:r>
          </w:p>
          <w:p>
            <w:pPr>
              <w:pStyle w:val="ListParagraph"/>
              <w:numPr>
                <w:ilvl w:val="0"/>
                <w:numId w:val="2"/>
              </w:numPr>
              <w:spacing w:after="45"/>
            </w:pPr>
            <w:r>
              <w:rPr>
                <w:sz w:val="15"/>
                <w:szCs w:val="15"/>
              </w:rPr>
              <w:t xml:space="preserve">The TRANSPHIL randomised trial comparing resection with transplantation failed in recruitment, and laparoscopic and robotic approaches have long-term results that are lacking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Industry covered 55% of the conference's costs. The funding statement asserts that no industry representatives sat on any committee, panel or jury, but names no company, discloses no amounts, and the document carries no individual author conflict-of-interest statement at all</w:t>
            </w:r>
          </w:p>
          <w:p>
            <w:pPr>
              <w:pStyle w:val="ListParagraph"/>
              <w:numPr>
                <w:ilvl w:val="0"/>
                <w:numId w:val="2"/>
              </w:numPr>
              <w:spacing w:after="45"/>
            </w:pPr>
            <w:r>
              <w:rPr>
                <w:sz w:val="15"/>
                <w:szCs w:val="15"/>
              </w:rPr>
              <w:t xml:space="preserve">The jury was deliberately composed of ten members with no clinical or research involvement in the disease, which buys impartiality at the price of subject expertise: recommendations on operative extent, drainage route and transplantation were adopted in closed session by a jury that does not treat perihilar cholangiocarcinoma, after a two-day meeting</w:t>
            </w:r>
          </w:p>
          <w:p>
            <w:pPr>
              <w:pStyle w:val="ListParagraph"/>
              <w:numPr>
                <w:ilvl w:val="0"/>
                <w:numId w:val="2"/>
              </w:numPr>
              <w:spacing w:after="45"/>
            </w:pPr>
            <w:r>
              <w:rPr>
                <w:sz w:val="15"/>
                <w:szCs w:val="15"/>
              </w:rPr>
              <w:t xml:space="preserve">No voting record, agreement percentage or record of dissent is published for any recommendation; the deliberations were closed sessions and the document reports only the adopted wording, with the GRADE level and the STRONG or WEAK label confined to Table 2</w:t>
            </w:r>
          </w:p>
          <w:p>
            <w:pPr>
              <w:pStyle w:val="ListParagraph"/>
              <w:numPr>
                <w:ilvl w:val="0"/>
                <w:numId w:val="2"/>
              </w:numPr>
              <w:spacing w:after="45"/>
            </w:pPr>
            <w:r>
              <w:rPr>
                <w:sz w:val="15"/>
                <w:szCs w:val="15"/>
              </w:rPr>
              <w:t xml:space="preserve">Quality appraisal used an in-house four-level scale (high, acceptable, low, unacceptable) rather than a validated instrument, applied by 17 surgical and research fellows described in the Discussion as a group of young academic surgeons, with low-quality studies admitted whenever nothing better existed</w:t>
            </w:r>
          </w:p>
          <w:p>
            <w:pPr>
              <w:pStyle w:val="ListParagraph"/>
              <w:numPr>
                <w:ilvl w:val="0"/>
                <w:numId w:val="2"/>
              </w:numPr>
              <w:spacing w:after="45"/>
            </w:pPr>
            <w:r>
              <w:rPr>
                <w:sz w:val="15"/>
                <w:szCs w:val="15"/>
              </w:rPr>
              <w:t xml:space="preserve">The systematic search ended in March 2024 and was then expanded by the panel experts to November 2024, so the most recent evidence entered through unblinded expert selection outside the two-reviewer blinded screening and appraisal process</w:t>
            </w:r>
          </w:p>
          <w:p>
            <w:pPr>
              <w:pStyle w:val="ListParagraph"/>
              <w:numPr>
                <w:ilvl w:val="0"/>
                <w:numId w:val="2"/>
              </w:numPr>
              <w:spacing w:after="45"/>
            </w:pPr>
            <w:r>
              <w:rPr>
                <w:sz w:val="15"/>
                <w:szCs w:val="15"/>
              </w:rPr>
              <w:t xml:space="preserve">The transplantation section states in one sentence that the superiority of transplantation over resection is clearly established by a recent 17-centre benchmark study and in the next that the available overall survival data remain imprecise, with one adjusted analysis showing an advantage in the transplant group and another no difference; a benchmark study describes best achievable outcomes and is not a comparative trial</w:t>
            </w:r>
          </w:p>
          <w:p>
            <w:pPr>
              <w:pStyle w:val="ListParagraph"/>
              <w:numPr>
                <w:ilvl w:val="0"/>
                <w:numId w:val="2"/>
              </w:numPr>
              <w:spacing w:after="45"/>
            </w:pPr>
            <w:r>
              <w:rPr>
                <w:sz w:val="15"/>
                <w:szCs w:val="15"/>
              </w:rPr>
              <w:t xml:space="preserve">The Mayo criteria are said to have been convincingly validated in a large multicentre cohort of 214; 214 is the number transplanted in that report and not the 287 enrolled, so the validation is quoted on the post-transplant denominator</w:t>
            </w:r>
          </w:p>
          <w:p>
            <w:pPr>
              <w:pStyle w:val="ListParagraph"/>
              <w:numPr>
                <w:ilvl w:val="0"/>
                <w:numId w:val="2"/>
              </w:numPr>
              <w:spacing w:after="45"/>
            </w:pPr>
            <w:r>
              <w:rPr>
                <w:sz w:val="15"/>
                <w:szCs w:val="15"/>
              </w:rPr>
              <w:t xml:space="preserve">The living-donor recommendation imports a threshold from other oncological indications, an anticipated post-transplant survival benefit above 50% at five years, and declares it de facto established in perihilar disease by quoting 5-year overall survival of 53%; that figure is the intention-to-treat survival of the whole enrolled multicentre cohort, not a post-transplant or living-donor estimate</w:t>
            </w:r>
          </w:p>
          <w:p>
            <w:pPr>
              <w:pStyle w:val="ListParagraph"/>
              <w:numPr>
                <w:ilvl w:val="0"/>
                <w:numId w:val="2"/>
              </w:numPr>
              <w:spacing w:after="45"/>
            </w:pPr>
            <w:r>
              <w:rPr>
                <w:sz w:val="15"/>
                <w:szCs w:val="15"/>
              </w:rPr>
              <w:t xml:space="preserve">The requirement for neoadjuvant therapy before transplantation rests partly on a subgroup of 27 patients in the benchmark study who did not receive it, and the regimen described, 4500 cGy external beam with a 1500 cGy brachytherapy boost and capecitabine for at least 3 to 6 months, differs in brachytherapy dose from both the Mayo and the AHPBA descriptions, with several centres omitting brachytherapy entirely</w:t>
            </w:r>
          </w:p>
          <w:p>
            <w:pPr>
              <w:pStyle w:val="ListParagraph"/>
              <w:numPr>
                <w:ilvl w:val="0"/>
                <w:numId w:val="2"/>
              </w:numPr>
              <w:spacing w:after="45"/>
            </w:pPr>
            <w:r>
              <w:rPr>
                <w:sz w:val="15"/>
                <w:szCs w:val="15"/>
              </w:rPr>
              <w:t xml:space="preserve">The resectability criteria the jury adopted appear only in a supplemental table and figure and are conceded to need validation, while the jury simultaneously declines to endorse any staging system for predicting resectability, so the central operative decision is left to an unvalidated proposal</w:t>
            </w:r>
          </w:p>
          <w:p>
            <w:pPr>
              <w:pStyle w:val="ListParagraph"/>
              <w:numPr>
                <w:ilvl w:val="0"/>
                <w:numId w:val="2"/>
              </w:numPr>
              <w:spacing w:after="45"/>
            </w:pPr>
            <w:r>
              <w:rPr>
                <w:sz w:val="15"/>
                <w:szCs w:val="15"/>
              </w:rPr>
              <w:t xml:space="preserve">The drainage-route recommendation names endoscopic drainage as preferred where tumour anatomy allows, records that percutaneous drainage remains what most surveyed centres actually do, and then defers to individual circumstances, so it cannot be acted on in either direction</w:t>
            </w:r>
          </w:p>
          <w:p>
            <w:pPr>
              <w:pStyle w:val="ListParagraph"/>
              <w:numPr>
                <w:ilvl w:val="0"/>
                <w:numId w:val="2"/>
              </w:numPr>
              <w:spacing w:after="45"/>
            </w:pPr>
            <w:r>
              <w:rPr>
                <w:sz w:val="15"/>
                <w:szCs w:val="15"/>
              </w:rPr>
              <w:t xml:space="preserve">Panel representation is uneven: 40 of 71 experts (56.3%) are European, 17 (23.9%) North American, 12 (16.9%) Asian and 2 (2.8%) South American with none African, and the audience whose discussion fed the jury was 226 self-selected conference attendees</w:t>
            </w:r>
          </w:p>
          <w:p>
            <w:pPr>
              <w:pStyle w:val="ListParagraph"/>
              <w:numPr>
                <w:ilvl w:val="0"/>
                <w:numId w:val="2"/>
              </w:numPr>
              <w:spacing w:after="45"/>
            </w:pPr>
            <w:r>
              <w:rPr>
                <w:sz w:val="15"/>
                <w:szCs w:val="15"/>
              </w:rPr>
              <w:t xml:space="preserve">Adjuvant capecitabine is endorsed although the pooled biliary tract cancer trials the recommendation draws on showed no benefit in the perihilar subgroup, in a document that insists elsewhere that intrahepatic and extrahepatic disease are distinct entities and that those trials are underpowered for perihilar disease</w:t>
            </w:r>
          </w:p>
          <w:p>
            <w:pPr>
              <w:pStyle w:val="ListParagraph"/>
              <w:numPr>
                <w:ilvl w:val="0"/>
                <w:numId w:val="2"/>
              </w:numPr>
              <w:spacing w:after="45"/>
            </w:pPr>
            <w:r>
              <w:rPr>
                <w:sz w:val="15"/>
                <w:szCs w:val="15"/>
              </w:rPr>
              <w:t xml:space="preserve">The surveillance protocol of three-monthly CT in the first year then six-monthly for five years with CEA and CA 19-9 is adopted on the stated grounds that it best reflects current standard of care, with no evidence of benefit, no cost consideration and no account of cumulative radiation exposure</w:t>
            </w:r>
          </w:p>
          <w:p>
            <w:pPr>
              <w:pStyle w:val="ListParagraph"/>
              <w:numPr>
                <w:ilvl w:val="0"/>
                <w:numId w:val="2"/>
              </w:numPr>
              <w:spacing w:after="45"/>
            </w:pPr>
            <w:r>
              <w:rPr>
                <w:sz w:val="15"/>
                <w:szCs w:val="15"/>
              </w:rPr>
              <w:t xml:space="preserve">Median overall survival of 53 months and recurrence-free survival of 26 months, offered as the metrics against which centres should compare themselves, come from pooled phase III biliary tract cancer trials, that is from populations selected for fitness, rather than from a real-world perihilar cohort; the benchmark context the document itself cites is 5-year survival not exceeding 40% at expert centres, severe complications reaching 70%, 90-day mortality reaching 13%, re-laparotomy in one in five, and a negative margin in only two-thirds</w:t>
            </w:r>
          </w:p>
          <w:p>
            <w:pPr>
              <w:pStyle w:val="ListParagraph"/>
              <w:numPr>
                <w:ilvl w:val="0"/>
                <w:numId w:val="2"/>
              </w:numPr>
              <w:spacing w:after="45"/>
            </w:pPr>
            <w:r>
              <w:rPr>
                <w:sz w:val="15"/>
                <w:szCs w:val="15"/>
              </w:rPr>
              <w:t xml:space="preserve">Only 32 of the 570 studies concerned transplantation and 32 concerned systemic and locoregional therapy, against 299 on resection, yet all three panels issued recommendations of the same form and apparent authority</w:t>
            </w:r>
          </w:p>
          <w:p>
            <w:pPr>
              <w:pStyle w:val="ListParagraph"/>
              <w:numPr>
                <w:ilvl w:val="0"/>
                <w:numId w:val="2"/>
              </w:numPr>
              <w:spacing w:after="45"/>
            </w:pPr>
            <w:r>
              <w:rPr>
                <w:sz w:val="15"/>
                <w:szCs w:val="15"/>
              </w:rPr>
              <w:t xml:space="preserve">No linked editorial or comment was found in PubMed; the article was published ahead of print with no volume or page numbers</w:t>
            </w:r>
          </w:p>
        </w:tc>
      </w:tr>
    </w:tbl>
    <w:p>
      <w:pPr>
        <w:spacing w:after="0" w:line="276"/>
      </w:pPr>
      <w:r>
        <w:rPr>
          <w:color w:val="5A6069"/>
          <w:sz w:val="14"/>
          <w:szCs w:val="14"/>
        </w:rPr>
        <w:t xml:space="preserve">Funding: Industry covered 55% of the conference costs with the remaining 45% from registration fees and other sponsors including foundations and patient donation; no industry representatives were involved in committees, expert panels or the jury, and neither jury members nor experts received financial compensation. Support is acknowledged from the Liver and Gastrointestinal Disease Foundation, the Yvonne Jacob Foundation and the FZ-Healthcare Foundation. No individual author conflict-of-interest statement is printed</w:t>
      </w:r>
    </w:p>
    <w:p>
      <w:pPr>
        <w:keepNext/>
        <w:spacing w:after="50" w:before="260"/>
      </w:pPr>
      <w:r>
        <w:rPr>
          <w:rFonts w:ascii="Cambria" w:cs="Cambria" w:eastAsia="Cambria" w:hAnsi="Cambria"/>
          <w:b/>
          <w:bCs/>
          <w:color w:val="17365D"/>
          <w:sz w:val="20"/>
          <w:szCs w:val="20"/>
        </w:rPr>
        <w:t xml:space="preserve">Njei 2016</w:t>
      </w:r>
      <w:r>
        <w:rPr>
          <w:b/>
          <w:bCs/>
          <w:color w:val="176A87"/>
          <w:sz w:val="15"/>
          <w:szCs w:val="15"/>
        </w:rPr>
        <w:t xml:space="preserve">   Meta-analysis</w:t>
      </w:r>
      <w:r>
        <w:rPr>
          <w:color w:val="5A6069"/>
          <w:sz w:val="15"/>
          <w:szCs w:val="15"/>
        </w:rPr>
        <w:t xml:space="preserve">   PMID 27696456</w:t>
      </w:r>
    </w:p>
    <w:p>
      <w:pPr>
        <w:spacing w:after="50" w:line="276"/>
      </w:pPr>
      <w:r>
        <w:rPr>
          <w:color w:val="5A6069"/>
          <w:sz w:val="17"/>
          <w:szCs w:val="17"/>
        </w:rPr>
        <w:t xml:space="preserve">Systematic review with meta-analysis: endoscopic retrograde cholangiopancreatography-based modalities for the diagnosis of cholangiocarcinoma in primary sclerosing cholangitis</w:t>
      </w:r>
    </w:p>
    <w:p>
      <w:pPr>
        <w:spacing w:after="50"/>
      </w:pPr>
      <w:r>
        <w:rPr>
          <w:b/>
          <w:bCs/>
          <w:color w:val="176A87"/>
          <w:sz w:val="16"/>
          <w:szCs w:val="16"/>
        </w:rPr>
        <w:t xml:space="preserve">Population. </w:t>
      </w:r>
      <w:r>
        <w:rPr>
          <w:sz w:val="16"/>
          <w:szCs w:val="16"/>
        </w:rPr>
        <w:t xml:space="preserve">21 studies of ERCP-based tests for cholangiocarcinoma in primary sclerosing cholangitis published to December 2015: 13 of bile duct brushing for cytology (809 patients), 7 of FISH polysomy (701), 4 of FISH trisomy (629), 2 of probe-based confocal laser endomicroscopy (66) and 4 of single-operator cholangioscopy with targeted biopsies (128), with several cohorts contributing to more than one modality</w:t>
      </w:r>
    </w:p>
    <w:p>
      <w:pPr>
        <w:spacing w:after="70"/>
      </w:pPr>
      <w:r>
        <w:rPr>
          <w:b/>
          <w:bCs/>
          <w:color w:val="17365D"/>
          <w:sz w:val="16"/>
          <w:szCs w:val="16"/>
        </w:rPr>
        <w:t xml:space="preserve">Bottom line. </w:t>
      </w:r>
      <w:r>
        <w:rPr>
          <w:sz w:val="16"/>
          <w:szCs w:val="16"/>
        </w:rPr>
        <w:t xml:space="preserve">Across 21 studies of ERCP-based tests in primary sclerosing cholangitis, cholangioscopy with targeted biopsy came out with the highest accuracy at 96%, and this is the strongest published case for putting it into the work-up of a dominant stricture. That accuracy is driven by true negatives in low-prevalence cohorts: cholangioscopy's pooled sensitivity is 65% (95% CI 35-87%) on 4 studies and 128 patients, no better than brush cytology's 52%, and the authors' own meta-regression found study quality drove its heterogeneity. The combination estimates, including the claim that combining tests is worse than cholangioscopy alone, are imputed from a regression model rather than taken from patients who had both tests, and the procedure fails in 15% of PSC ducts with 11% post-procedure cholangitis.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possessed a large degree of heterogeneity, most importantly regarding the index test, which was defined in a variety of ways; positive cytology was not defined in a standard manner across studies</w:t>
            </w:r>
          </w:p>
          <w:p>
            <w:pPr>
              <w:pStyle w:val="ListParagraph"/>
              <w:numPr>
                <w:ilvl w:val="0"/>
                <w:numId w:val="2"/>
              </w:numPr>
              <w:spacing w:after="45"/>
            </w:pPr>
            <w:r>
              <w:rPr>
                <w:sz w:val="15"/>
                <w:szCs w:val="15"/>
              </w:rPr>
              <w:t xml:space="preserve">Samples were not uniformly reviewed by blinded reviewers, and in Tischendorf the pathologists were not blinded to the clinical scenario, giving that study a high risk of bias</w:t>
            </w:r>
          </w:p>
          <w:p>
            <w:pPr>
              <w:pStyle w:val="ListParagraph"/>
              <w:numPr>
                <w:ilvl w:val="0"/>
                <w:numId w:val="2"/>
              </w:numPr>
              <w:spacing w:after="45"/>
            </w:pPr>
            <w:r>
              <w:rPr>
                <w:sz w:val="15"/>
                <w:szCs w:val="15"/>
              </w:rPr>
              <w:t xml:space="preserve">Only few of the included studies were truly comparative, most evaluating a single modality, so institutional differences in experience and technical expertise limit applicability to smaller or less experienced centres</w:t>
            </w:r>
          </w:p>
          <w:p>
            <w:pPr>
              <w:pStyle w:val="ListParagraph"/>
              <w:numPr>
                <w:ilvl w:val="0"/>
                <w:numId w:val="2"/>
              </w:numPr>
              <w:spacing w:after="45"/>
            </w:pPr>
            <w:r>
              <w:rPr>
                <w:sz w:val="15"/>
                <w:szCs w:val="15"/>
              </w:rPr>
              <w:t xml:space="preserve">There is an overall paucity of data: single-operator cholangioscopy, the modality that comes out best, rests on 4 studies and 128 patients</w:t>
            </w:r>
          </w:p>
          <w:p>
            <w:pPr>
              <w:pStyle w:val="ListParagraph"/>
              <w:numPr>
                <w:ilvl w:val="0"/>
                <w:numId w:val="2"/>
              </w:numPr>
              <w:spacing w:after="45"/>
            </w:pPr>
            <w:r>
              <w:rPr>
                <w:sz w:val="15"/>
                <w:szCs w:val="15"/>
              </w:rPr>
              <w:t xml:space="preserve">Probe-based confocal laser endomicroscopy rests on two studies, one of them a published abstract; publication bias could not be assessed for it, it cannot yield a tissue diagnosis, and the lack of a homogeneous diagnostic standard precludes translating its results into clinical practice</w:t>
            </w:r>
          </w:p>
          <w:p>
            <w:pPr>
              <w:pStyle w:val="ListParagraph"/>
              <w:numPr>
                <w:ilvl w:val="0"/>
                <w:numId w:val="2"/>
              </w:numPr>
              <w:spacing w:after="45"/>
            </w:pPr>
            <w:r>
              <w:rPr>
                <w:sz w:val="15"/>
                <w:szCs w:val="15"/>
              </w:rPr>
              <w:t xml:space="preserve">Univariate meta-regression showed that study quality contributed significantly to the heterogeneity of the cholangioscopy estimate</w:t>
            </w:r>
          </w:p>
          <w:p>
            <w:pPr>
              <w:pStyle w:val="ListParagraph"/>
              <w:numPr>
                <w:ilvl w:val="0"/>
                <w:numId w:val="2"/>
              </w:numPr>
              <w:spacing w:after="45"/>
            </w:pPr>
            <w:r>
              <w:rPr>
                <w:sz w:val="15"/>
                <w:szCs w:val="15"/>
              </w:rPr>
              <w:t xml:space="preserve">Spectrum bias is possible: in Tischendorf only 8% of patients diagnosed with cholangiocarcinoma were alive at the end of follow-up, so cholangioscopy may be more accurate for later-stage disease than for the earlier lesion</w:t>
            </w:r>
          </w:p>
          <w:p>
            <w:pPr>
              <w:pStyle w:val="ListParagraph"/>
              <w:numPr>
                <w:ilvl w:val="0"/>
                <w:numId w:val="2"/>
              </w:numPr>
              <w:spacing w:after="45"/>
            </w:pPr>
            <w:r>
              <w:rPr>
                <w:sz w:val="15"/>
                <w:szCs w:val="15"/>
              </w:rPr>
              <w:t xml:space="preserve">Passage of the cholangioscope may be difficult in the narrow strictured ducts of primary sclerosing cholangitis, with 15% procedural failure against 2% in non-PSC controls and 11% post-procedure cholangitis in one included study, and ductal dilation to pass a stricture may cause mucosal trauma that precludes adequate macroscopic evaluation</w:t>
            </w:r>
          </w:p>
          <w:p>
            <w:pPr>
              <w:pStyle w:val="ListParagraph"/>
              <w:numPr>
                <w:ilvl w:val="0"/>
                <w:numId w:val="2"/>
              </w:numPr>
              <w:spacing w:after="45"/>
            </w:pPr>
            <w:r>
              <w:rPr>
                <w:sz w:val="15"/>
                <w:szCs w:val="15"/>
              </w:rPr>
              <w:t xml:space="preserve">EUS-guided fine-needle aspiration was excluded because of the tumour-seeding concern and the Mayo transplant protocol's exclusion rule, and because lesion location was not clearly reported in most studies</w:t>
            </w:r>
          </w:p>
          <w:p>
            <w:pPr>
              <w:pStyle w:val="ListParagraph"/>
              <w:numPr>
                <w:ilvl w:val="0"/>
                <w:numId w:val="2"/>
              </w:numPr>
              <w:spacing w:after="45"/>
            </w:pPr>
            <w:r>
              <w:rPr>
                <w:sz w:val="15"/>
                <w:szCs w:val="15"/>
              </w:rPr>
              <w:t xml:space="preserve">No cost data were available, and cost-effectiveness analysis is required before a preferred modality can be determined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headline that cholangioscopy is the most accurate modality at 96% (94-97%) is an accuracy figure, not a measure of discrimination: its pooled sensitivity is 65% (35-87%), indistinguishable from brush cytology's 52% (34-69%) or confocal endomicroscopy's 78% (40-97%), and accuracy in these low-prevalence cohorts is dominated by true negatives, so the ranking is largely a function of prevalence</w:t>
            </w:r>
          </w:p>
          <w:p>
            <w:pPr>
              <w:pStyle w:val="ListParagraph"/>
              <w:numPr>
                <w:ilvl w:val="0"/>
                <w:numId w:val="2"/>
              </w:numPr>
              <w:spacing w:after="45"/>
            </w:pPr>
            <w:r>
              <w:rPr>
                <w:sz w:val="15"/>
                <w:szCs w:val="15"/>
              </w:rPr>
              <w:t xml:space="preserve">The accuracy column is internally inconsistent with its own sensitivity and specificity pairs: FISH polysomy at 0.50 and 0.96 is given accuracy 0.69 while brush cytology at 0.52 and 0.99 is given 0.87, and brush cytology's accuracy interval is printed as (0.84-90)</w:t>
            </w:r>
          </w:p>
          <w:p>
            <w:pPr>
              <w:pStyle w:val="ListParagraph"/>
              <w:numPr>
                <w:ilvl w:val="0"/>
                <w:numId w:val="2"/>
              </w:numPr>
              <w:spacing w:after="45"/>
            </w:pPr>
            <w:r>
              <w:rPr>
                <w:sz w:val="15"/>
                <w:szCs w:val="15"/>
              </w:rPr>
              <w:t xml:space="preserve">Several intervals in Table 2 do not contain their point estimates: the positive likelihood ratio for brushing plus FISH polysomy is 23.60 (48.30-67.30) and the odds ratio for confocal endomicroscopy plus FISH polysomy is 16 (76-42); FISH trisomy's odds ratio is printed as 1 (1-3)</w:t>
            </w:r>
          </w:p>
          <w:p>
            <w:pPr>
              <w:pStyle w:val="ListParagraph"/>
              <w:numPr>
                <w:ilvl w:val="0"/>
                <w:numId w:val="2"/>
              </w:numPr>
              <w:spacing w:after="45"/>
            </w:pPr>
            <w:r>
              <w:rPr>
                <w:sz w:val="15"/>
                <w:szCs w:val="15"/>
              </w:rPr>
              <w:t xml:space="preserve">The abstract gives cholangioscopy's pooled diagnostic odds ratio as 59 (95% CI 10-341) and prints the interval label as '05% CI' in the Results, while Table 2 gives 95 (14-643) for the same comparison</w:t>
            </w:r>
          </w:p>
          <w:p>
            <w:pPr>
              <w:pStyle w:val="ListParagraph"/>
              <w:numPr>
                <w:ilvl w:val="0"/>
                <w:numId w:val="2"/>
              </w:numPr>
              <w:spacing w:after="45"/>
            </w:pPr>
            <w:r>
              <w:rPr>
                <w:sz w:val="15"/>
                <w:szCs w:val="15"/>
              </w:rPr>
              <w:t xml:space="preserve">Every combination row, including the conclusion that combining modalities does not improve accuracy over cholangioscopy alone, is imputed from a logistic regression model rather than taken from studies in which both tests were applied to the same patients; that model output is then listed among the paper's strengths</w:t>
            </w:r>
          </w:p>
          <w:p>
            <w:pPr>
              <w:pStyle w:val="ListParagraph"/>
              <w:numPr>
                <w:ilvl w:val="0"/>
                <w:numId w:val="2"/>
              </w:numPr>
              <w:spacing w:after="45"/>
            </w:pPr>
            <w:r>
              <w:rPr>
                <w:sz w:val="15"/>
                <w:szCs w:val="15"/>
              </w:rPr>
              <w:t xml:space="preserve">The abstract counts 7 studies on FISH while the Results split them into 7 polysomy and 4 trisomy studies, and the forest plot shows both sets</w:t>
            </w:r>
          </w:p>
          <w:p>
            <w:pPr>
              <w:pStyle w:val="ListParagraph"/>
              <w:numPr>
                <w:ilvl w:val="0"/>
                <w:numId w:val="2"/>
              </w:numPr>
              <w:spacing w:after="45"/>
            </w:pPr>
            <w:r>
              <w:rPr>
                <w:sz w:val="15"/>
                <w:szCs w:val="15"/>
              </w:rPr>
              <w:t xml:space="preserve">Cohorts overlap across modalities: Heif 2013 (n=15) contributes to all four, and Charatcharoenwitthaya (n=230), Moreno Luna (n=86) and Shah 2013 to two or three each, so the modality-specific denominators cannot be added and the modalities are partly being compared within the same patients</w:t>
            </w:r>
          </w:p>
          <w:p>
            <w:pPr>
              <w:pStyle w:val="ListParagraph"/>
              <w:numPr>
                <w:ilvl w:val="0"/>
                <w:numId w:val="2"/>
              </w:numPr>
              <w:spacing w:after="45"/>
            </w:pPr>
            <w:r>
              <w:rPr>
                <w:sz w:val="15"/>
                <w:szCs w:val="15"/>
              </w:rPr>
              <w:t xml:space="preserve">Eleven of the 21 studies come from one US centre's publication stream, so the cytology and FISH estimates largely recapitulate one institution's experience, as the same authors conceded of their own 2014 FISH meta-analysis</w:t>
            </w:r>
          </w:p>
          <w:p>
            <w:pPr>
              <w:pStyle w:val="ListParagraph"/>
              <w:numPr>
                <w:ilvl w:val="0"/>
                <w:numId w:val="2"/>
              </w:numPr>
              <w:spacing w:after="45"/>
            </w:pPr>
            <w:r>
              <w:rPr>
                <w:sz w:val="15"/>
                <w:szCs w:val="15"/>
              </w:rPr>
              <w:t xml:space="preserve">Per-study brush cytology sensitivity in the forest plot runs from 0.07 to 1.00, including two studies at 0.07 and 0.08 and three with a point estimate of 1.00 on one or two true positives; the pooled 0.52 has no clinical referent and the bivariate model's between-study variance is never reported</w:t>
            </w:r>
          </w:p>
          <w:p>
            <w:pPr>
              <w:pStyle w:val="ListParagraph"/>
              <w:numPr>
                <w:ilvl w:val="0"/>
                <w:numId w:val="2"/>
              </w:numPr>
              <w:spacing w:after="45"/>
            </w:pPr>
            <w:r>
              <w:rPr>
                <w:sz w:val="15"/>
                <w:szCs w:val="15"/>
              </w:rPr>
              <w:t xml:space="preserve">The Fagan nomogram is run at a pre-test probability of 20%, which is the lifetime risk of cholangiocarcinoma in primary sclerosing cholangitis rather than the probability at a single ERCP for a dominant stricture, so the quoted 90% post-positive and 9% post-negative probabilities are both overstated for the clinical question</w:t>
            </w:r>
          </w:p>
          <w:p>
            <w:pPr>
              <w:pStyle w:val="ListParagraph"/>
              <w:numPr>
                <w:ilvl w:val="0"/>
                <w:numId w:val="2"/>
              </w:numPr>
              <w:spacing w:after="45"/>
            </w:pPr>
            <w:r>
              <w:rPr>
                <w:sz w:val="15"/>
                <w:szCs w:val="15"/>
              </w:rPr>
              <w:t xml:space="preserve">The Discussion concludes that even at low to moderate pre-test probability cholangioscopy should be the recommended confirmatory test, which is a stronger claim than a sensitivity interval of 35% to 87% supports and stronger than the authors' own finding that study quality drove that estimate's heterogeneity</w:t>
            </w:r>
          </w:p>
          <w:p>
            <w:pPr>
              <w:pStyle w:val="ListParagraph"/>
              <w:numPr>
                <w:ilvl w:val="0"/>
                <w:numId w:val="2"/>
              </w:numPr>
              <w:spacing w:after="45"/>
            </w:pPr>
            <w:r>
              <w:rPr>
                <w:sz w:val="15"/>
                <w:szCs w:val="15"/>
              </w:rPr>
              <w:t xml:space="preserve">QUADAS-2 is presented only as a grid of symbols with no per-domain tabulation in the text, while the Discussion states that a high risk of bias for the index test was present in a large proportion of studies</w:t>
            </w:r>
          </w:p>
          <w:p>
            <w:pPr>
              <w:pStyle w:val="ListParagraph"/>
              <w:numPr>
                <w:ilvl w:val="0"/>
                <w:numId w:val="2"/>
              </w:numPr>
              <w:spacing w:after="45"/>
            </w:pPr>
            <w:r>
              <w:rPr>
                <w:sz w:val="15"/>
                <w:szCs w:val="15"/>
              </w:rPr>
              <w:t xml:space="preserve">The modality the paper recommends is a single-use proprietary platform made by a company for which two of the authors consult, and no cost data were collected</w:t>
            </w:r>
          </w:p>
          <w:p>
            <w:pPr>
              <w:pStyle w:val="ListParagraph"/>
              <w:numPr>
                <w:ilvl w:val="0"/>
                <w:numId w:val="2"/>
              </w:numPr>
              <w:spacing w:after="45"/>
            </w:pPr>
            <w:r>
              <w:rPr>
                <w:sz w:val="15"/>
                <w:szCs w:val="15"/>
              </w:rPr>
              <w:t xml:space="preserve">Intraductal biopsy under fluoroscopic guidance, which both the ASGE and ESGE later recommend adding to brushing, was not evaluated, so the comparative-effectiveness claim does not cover the comparator those guidelines favour</w:t>
            </w:r>
          </w:p>
          <w:p>
            <w:pPr>
              <w:pStyle w:val="ListParagraph"/>
              <w:numPr>
                <w:ilvl w:val="0"/>
                <w:numId w:val="2"/>
              </w:numPr>
              <w:spacing w:after="45"/>
            </w:pPr>
            <w:r>
              <w:rPr>
                <w:sz w:val="15"/>
                <w:szCs w:val="15"/>
              </w:rPr>
              <w:t xml:space="preserve">No formal organisational guideline existed at the time and no screening strategy is recommended, which the paper notes without resolving</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B. Njei supported by NIH 5 T32 DK 7356-37; U. Navaneethan is a consultant for Janssen, AbbVie and Takeda and S. Varadarajulu for Boston Scientific and Olympus, the manufacturers of the cholangioscopy platforms that come out best, and the other authors declare no financial conflict</w:t>
      </w:r>
    </w:p>
    <w:p>
      <w:pPr>
        <w:keepNext/>
        <w:spacing w:after="50" w:before="260"/>
      </w:pPr>
      <w:r>
        <w:rPr>
          <w:rFonts w:ascii="Cambria" w:cs="Cambria" w:eastAsia="Cambria" w:hAnsi="Cambria"/>
          <w:b/>
          <w:bCs/>
          <w:color w:val="17365D"/>
          <w:sz w:val="20"/>
          <w:szCs w:val="20"/>
        </w:rPr>
        <w:t xml:space="preserve">PRODIGE-12</w:t>
      </w:r>
      <w:r>
        <w:rPr>
          <w:b/>
          <w:bCs/>
          <w:color w:val="176A87"/>
          <w:sz w:val="15"/>
          <w:szCs w:val="15"/>
        </w:rPr>
        <w:t xml:space="preserve">   Randomised trial</w:t>
      </w:r>
      <w:r>
        <w:rPr>
          <w:color w:val="5A6069"/>
          <w:sz w:val="15"/>
          <w:szCs w:val="15"/>
        </w:rPr>
        <w:t xml:space="preserve">   PMID 30707660</w:t>
      </w:r>
    </w:p>
    <w:p>
      <w:pPr>
        <w:spacing w:after="50" w:line="276"/>
      </w:pPr>
      <w:r>
        <w:rPr>
          <w:color w:val="5A6069"/>
          <w:sz w:val="17"/>
          <w:szCs w:val="17"/>
        </w:rPr>
        <w:t xml:space="preserve">Gemcitabine and Oxaliplatin Chemotherapy or Surveillance in Resected Biliary Tract Cancer (PRODIGE 12-ACCORD 18-UNICANCER GI): A Randomized Phase III Study</w:t>
      </w:r>
    </w:p>
    <w:p>
      <w:pPr>
        <w:spacing w:after="50"/>
      </w:pPr>
      <w:r>
        <w:rPr>
          <w:b/>
          <w:bCs/>
          <w:color w:val="176A87"/>
          <w:sz w:val="16"/>
          <w:szCs w:val="16"/>
        </w:rPr>
        <w:t xml:space="preserve">Population. </w:t>
      </w:r>
      <w:r>
        <w:rPr>
          <w:sz w:val="16"/>
          <w:szCs w:val="16"/>
        </w:rPr>
        <w:t xml:space="preserve">196 patients randomised at 33 French centres within 3 months of R0 or R1 resection of biliary tract cancer, 194 analysed by intention to treat after two consent withdrawals; 86 of 194 (44%) were intrahepatic cholangiocarcinoma, 28% distal, 8% perihilar and 20% gallbladder, with 13% R1 and 38% node-positive</w:t>
      </w:r>
    </w:p>
    <w:p>
      <w:pPr>
        <w:spacing w:after="70"/>
      </w:pPr>
      <w:r>
        <w:rPr>
          <w:b/>
          <w:bCs/>
          <w:color w:val="17365D"/>
          <w:sz w:val="16"/>
          <w:szCs w:val="16"/>
        </w:rPr>
        <w:t xml:space="preserve">Bottom line. </w:t>
      </w:r>
      <w:r>
        <w:rPr>
          <w:sz w:val="16"/>
          <w:szCs w:val="16"/>
        </w:rPr>
        <w:t xml:space="preserve">PRODIGE 12 is the negative adjuvant trial that removed gemcitabine-oxaliplatin from consideration after biliary resection: relapse-free survival HR 0.88 (0.62-1.25) with no quality-of-life benefit and overall survival numerically favouring surveillance. It does not establish that adjuvant therapy is useless, because it was powered for an HR of 0.60 in a low-risk population and the survival comparison is confounded by salvage chemotherapy given to 98% of surveillance relapses against 27% after GEMOX. Its 86 intrahepatic patients make it the most iCCA-weighted adjuvant trial available, with a subgroup interval of 0.431 to 1.196 that settles nothing.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planned hazard ratio of 0.60 was ambitious and the trial may have been underpowered, with only 126 relapse-free survival events</w:t>
            </w:r>
          </w:p>
          <w:p>
            <w:pPr>
              <w:pStyle w:val="ListParagraph"/>
              <w:numPr>
                <w:ilvl w:val="0"/>
                <w:numId w:val="2"/>
              </w:numPr>
              <w:spacing w:after="45"/>
            </w:pPr>
            <w:r>
              <w:rPr>
                <w:sz w:val="15"/>
                <w:szCs w:val="15"/>
              </w:rPr>
              <w:t xml:space="preserve">The median relapse-free survival fell on a plateau where the curves separate most, so the median is less representative of the true difference than the hazard ratio</w:t>
            </w:r>
          </w:p>
          <w:p>
            <w:pPr>
              <w:pStyle w:val="ListParagraph"/>
              <w:numPr>
                <w:ilvl w:val="0"/>
                <w:numId w:val="2"/>
              </w:numPr>
              <w:spacing w:after="45"/>
            </w:pPr>
            <w:r>
              <w:rPr>
                <w:sz w:val="15"/>
                <w:szCs w:val="15"/>
              </w:rPr>
              <w:t xml:space="preserve">No trend toward an overall survival benefit was seen, with a hazard ratio above 1, and the overall survival medians are likewise unrepresentative because of a plateau at the median</w:t>
            </w:r>
          </w:p>
          <w:p>
            <w:pPr>
              <w:pStyle w:val="ListParagraph"/>
              <w:numPr>
                <w:ilvl w:val="0"/>
                <w:numId w:val="2"/>
              </w:numPr>
              <w:spacing w:after="45"/>
            </w:pPr>
            <w:r>
              <w:rPr>
                <w:sz w:val="15"/>
                <w:szCs w:val="15"/>
              </w:rPr>
              <w:t xml:space="preserve">Chemotherapy given after relapse differed between the arms and may partly explain the discrepancy between a relapse-free survival trend and no overall survival benefit, supported by the trend toward lower post-relapse survival in the GEMOX arm</w:t>
            </w:r>
          </w:p>
          <w:p>
            <w:pPr>
              <w:pStyle w:val="ListParagraph"/>
              <w:numPr>
                <w:ilvl w:val="0"/>
                <w:numId w:val="2"/>
              </w:numPr>
              <w:spacing w:after="45"/>
            </w:pPr>
            <w:r>
              <w:rPr>
                <w:sz w:val="15"/>
                <w:szCs w:val="15"/>
              </w:rPr>
              <w:t xml:space="preserve">Other unknown factors might also explain the absence of an overall survival benefit</w:t>
            </w:r>
          </w:p>
          <w:p>
            <w:pPr>
              <w:pStyle w:val="ListParagraph"/>
              <w:numPr>
                <w:ilvl w:val="0"/>
                <w:numId w:val="2"/>
              </w:numPr>
              <w:spacing w:after="45"/>
            </w:pPr>
            <w:r>
              <w:rPr>
                <w:sz w:val="15"/>
                <w:szCs w:val="15"/>
              </w:rPr>
              <w:t xml:space="preserve">The authors treat the apparent harm in the gallbladder subgroup as a possible chance finding in a small group</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 negative trial on both co-primary endpoints: relapse-free survival HR 0.88 (0.62-1.25), P = .48, and time to definitive quality-of-life deterioration HR 1.28 (0.73-2.26), P = .39, and overall survival pointed the wrong way at HR 1.08 (0.70-1.66)</w:t>
            </w:r>
          </w:p>
          <w:p>
            <w:pPr>
              <w:pStyle w:val="ListParagraph"/>
              <w:numPr>
                <w:ilvl w:val="0"/>
                <w:numId w:val="2"/>
              </w:numPr>
              <w:spacing w:after="45"/>
            </w:pPr>
            <w:r>
              <w:rPr>
                <w:sz w:val="15"/>
                <w:szCs w:val="15"/>
              </w:rPr>
              <w:t xml:space="preserve">Post-relapse chemotherapy was grossly unbalanced, with 40 of 41 surveillance relapses receiving gemcitabine-based salvage against 9 of 33 after adjuvant GEMOX, so the overall survival comparison is between a group that got effective salvage and a group that largely did not; this is a design consequence of using the same drug class in the adjuvant arm</w:t>
            </w:r>
          </w:p>
          <w:p>
            <w:pPr>
              <w:pStyle w:val="ListParagraph"/>
              <w:numPr>
                <w:ilvl w:val="0"/>
                <w:numId w:val="2"/>
              </w:numPr>
              <w:spacing w:after="45"/>
            </w:pPr>
            <w:r>
              <w:rPr>
                <w:sz w:val="15"/>
                <w:szCs w:val="15"/>
              </w:rPr>
              <w:t xml:space="preserve">The iCCA subgroup of 86 patients, the largest primary site and the one this record is used for, has a relapse-free survival hazard ratio of 0.718 (0.431-1.196) and no overall survival estimate highlighted; the interval is wide enough to contain both a worthwhile benefit and harm</w:t>
            </w:r>
          </w:p>
          <w:p>
            <w:pPr>
              <w:pStyle w:val="ListParagraph"/>
              <w:numPr>
                <w:ilvl w:val="0"/>
                <w:numId w:val="2"/>
              </w:numPr>
              <w:spacing w:after="45"/>
            </w:pPr>
            <w:r>
              <w:rPr>
                <w:sz w:val="15"/>
                <w:szCs w:val="15"/>
              </w:rPr>
              <w:t xml:space="preserve">The gallbladder subgroup of 38 patients shows significant harm on both endpoints, relapse-free HR 2.559 (1.037-6.318) and overall survival HR 3.390 (1.169-9.830), reported without multiplicity adjustment across four primary sites, so it is as likely to be noise as the favourable iCCA point estimate is</w:t>
            </w:r>
          </w:p>
          <w:p>
            <w:pPr>
              <w:pStyle w:val="ListParagraph"/>
              <w:numPr>
                <w:ilvl w:val="0"/>
                <w:numId w:val="2"/>
              </w:numPr>
              <w:spacing w:after="45"/>
            </w:pPr>
            <w:r>
              <w:rPr>
                <w:sz w:val="15"/>
                <w:szCs w:val="15"/>
              </w:rPr>
              <w:t xml:space="preserve">The population is substantially lower risk than BILCAP's, 13% against 38% R1 and 38% against 47% node-positive, so the trial was a test of adjuvant therapy in patients with less residual disease to treat</w:t>
            </w:r>
          </w:p>
          <w:p>
            <w:pPr>
              <w:pStyle w:val="ListParagraph"/>
              <w:numPr>
                <w:ilvl w:val="0"/>
                <w:numId w:val="2"/>
              </w:numPr>
              <w:spacing w:after="45"/>
            </w:pPr>
            <w:r>
              <w:rPr>
                <w:sz w:val="15"/>
                <w:szCs w:val="15"/>
              </w:rPr>
              <w:t xml:space="preserve">Toxicity was severe and asymmetric, grade 3 events in 62% against 18% and grade 3 sensory neuropathy in 18%, with no benefit on either co-primary endpoint, so the trial delivered measurable harm for no measurable gain</w:t>
            </w:r>
          </w:p>
          <w:p>
            <w:pPr>
              <w:pStyle w:val="ListParagraph"/>
              <w:numPr>
                <w:ilvl w:val="0"/>
                <w:numId w:val="2"/>
              </w:numPr>
              <w:spacing w:after="45"/>
            </w:pPr>
            <w:r>
              <w:rPr>
                <w:sz w:val="15"/>
                <w:szCs w:val="15"/>
              </w:rPr>
              <w:t xml:space="preserve">The trial was open-label with surveillance as the comparator, and the quality-of-life co-primary endpoint was collected by questionnaire from unblinded patients who knew whether they were receiving chemotherapy</w:t>
            </w:r>
          </w:p>
          <w:p>
            <w:pPr>
              <w:pStyle w:val="ListParagraph"/>
              <w:numPr>
                <w:ilvl w:val="0"/>
                <w:numId w:val="2"/>
              </w:numPr>
              <w:spacing w:after="45"/>
            </w:pPr>
            <w:r>
              <w:rPr>
                <w:sz w:val="15"/>
                <w:szCs w:val="15"/>
              </w:rPr>
              <w:t xml:space="preserve">Four primary sites with different biology were pooled for feasibility and the trial was minimised but not powered by site, so neither the negative overall result nor any subgroup can be attributed to a particular tumour type</w:t>
            </w:r>
          </w:p>
          <w:p>
            <w:pPr>
              <w:pStyle w:val="ListParagraph"/>
              <w:numPr>
                <w:ilvl w:val="0"/>
                <w:numId w:val="2"/>
              </w:numPr>
              <w:spacing w:after="45"/>
            </w:pPr>
            <w:r>
              <w:rPr>
                <w:sz w:val="15"/>
                <w:szCs w:val="15"/>
              </w:rPr>
              <w:t xml:space="preserve">Multivariable predictors of relapse (R1, node-positive, microvascular invasion, CA 19-9 of 37 U/mL or more) are reported from the trial population as if prognostic findings, with no adjustment for the treatment arm interaction and no validation</w:t>
            </w:r>
          </w:p>
          <w:p>
            <w:pPr>
              <w:pStyle w:val="ListParagraph"/>
              <w:numPr>
                <w:ilvl w:val="0"/>
                <w:numId w:val="2"/>
              </w:numPr>
              <w:spacing w:after="45"/>
            </w:pPr>
            <w:r>
              <w:rPr>
                <w:sz w:val="15"/>
                <w:szCs w:val="15"/>
              </w:rPr>
              <w:t xml:space="preserve">No formal non-inferiority or futility boundary was prespecified, so a trial that cannot exclude an HR of 0.62 is reported as showing no benefit; the correct reading is that the question remains open for GEMOX at smaller effect sizes</w:t>
            </w:r>
          </w:p>
          <w:p>
            <w:pPr>
              <w:pStyle w:val="ListParagraph"/>
              <w:numPr>
                <w:ilvl w:val="0"/>
                <w:numId w:val="2"/>
              </w:numPr>
              <w:spacing w:after="45"/>
            </w:pPr>
            <w:r>
              <w:rPr>
                <w:sz w:val="15"/>
                <w:szCs w:val="15"/>
              </w:rPr>
              <w:t xml:space="preserve">No linked editorial or comment was found in PubMed, and the author disclosures are available only in a separate file at the DOI rather than printed with the paper</w:t>
            </w:r>
          </w:p>
        </w:tc>
      </w:tr>
    </w:tbl>
    <w:p>
      <w:pPr>
        <w:spacing w:after="0" w:line="276"/>
      </w:pPr>
      <w:r>
        <w:rPr>
          <w:color w:val="5A6069"/>
          <w:sz w:val="14"/>
          <w:szCs w:val="14"/>
        </w:rPr>
        <w:t xml:space="preserve">Funding: Supported by Programme Hospitalier de Recherche Clinique (PHRC 2009) and the Ligue Nationale Contre le Cancer, with no industry funding; most authors declare pharmaceutical consultancies in the separately posted disclosure file</w:t>
      </w:r>
    </w:p>
    <w:p>
      <w:pPr>
        <w:keepNext/>
        <w:spacing w:after="50" w:before="260"/>
      </w:pPr>
      <w:r>
        <w:rPr>
          <w:rFonts w:ascii="Cambria" w:cs="Cambria" w:eastAsia="Cambria" w:hAnsi="Cambria"/>
          <w:b/>
          <w:bCs/>
          <w:color w:val="17365D"/>
          <w:sz w:val="20"/>
          <w:szCs w:val="20"/>
        </w:rPr>
        <w:t xml:space="preserve">Rea 2005</w:t>
      </w:r>
      <w:r>
        <w:rPr>
          <w:b/>
          <w:bCs/>
          <w:color w:val="176A87"/>
          <w:sz w:val="15"/>
          <w:szCs w:val="15"/>
        </w:rPr>
        <w:t xml:space="preserve">   cohort</w:t>
      </w:r>
      <w:r>
        <w:rPr>
          <w:color w:val="5A6069"/>
          <w:sz w:val="15"/>
          <w:szCs w:val="15"/>
        </w:rPr>
        <w:t xml:space="preserve">   PMID 16135931</w:t>
      </w:r>
    </w:p>
    <w:p>
      <w:pPr>
        <w:spacing w:after="50" w:line="276"/>
      </w:pPr>
      <w:r>
        <w:rPr>
          <w:color w:val="5A6069"/>
          <w:sz w:val="17"/>
          <w:szCs w:val="17"/>
        </w:rPr>
        <w:t xml:space="preserve">Liver transplantation with neoadjuvant chemoradiation is more effective than resection for hilar cholangiocarcinoma</w:t>
      </w:r>
    </w:p>
    <w:p>
      <w:pPr>
        <w:spacing w:after="50"/>
      </w:pPr>
      <w:r>
        <w:rPr>
          <w:b/>
          <w:bCs/>
          <w:color w:val="176A87"/>
          <w:sz w:val="16"/>
          <w:szCs w:val="16"/>
        </w:rPr>
        <w:t xml:space="preserve">Population. </w:t>
      </w:r>
      <w:r>
        <w:rPr>
          <w:sz w:val="16"/>
          <w:szCs w:val="16"/>
        </w:rPr>
        <w:t xml:space="preserve">71 patients with unresectable hilar cholangiocarcinoma or cholangiocarcinoma arising in primary sclerosing cholangitis enrolled in the Mayo neoadjuvant chemoradiation and transplant protocol between January 1993 and August 2004, of whom 38 were transplanted, compared with 54 patients explored for potentially curative resection over the same period, of whom 26 were resected</w:t>
      </w:r>
    </w:p>
    <w:p>
      <w:pPr>
        <w:spacing w:after="70"/>
      </w:pPr>
      <w:r>
        <w:rPr>
          <w:b/>
          <w:bCs/>
          <w:color w:val="17365D"/>
          <w:sz w:val="16"/>
          <w:szCs w:val="16"/>
        </w:rPr>
        <w:t xml:space="preserve">Bottom line. </w:t>
      </w:r>
      <w:r>
        <w:rPr>
          <w:sz w:val="16"/>
          <w:szCs w:val="16"/>
        </w:rPr>
        <w:t xml:space="preserve">This is the Mayo single-centre report that put neoadjuvant chemoradiation followed by transplantation on the map, with 82% 5-year survival after transplantation against 21% after resection. The two figures are not comparable: by protocol no transplant patient was resectable and every recipient was proved node-negative at staging laparotomy, while 31% of resections were node-positive and 12% margin-positive, and the transplant curve starts at transplantation although 33 of 71 enrolled patients never got there, so from the start of treatment the comparison is 58% against about 21%. The defensible claim is what the protocol achieves in a selected, node-negative, mostly PSC population, in which 16 of 38 explants held no residual tumour and 8 recipients had no tissue proof of cancer.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state 'We acknowledge difficulties in comparing results between the resection and transplant groups' and then set out the selection asymmetry: the transplant group was significantly younger with higher rates of primary sclerosing cholangitis and inflammatory bowel disease, by protocol design no transplant recipient had regional nodal metastases, medical selection criteria were more stringent for transplantation while tumour selection criteria were less stringent, and none of the transplant patients was a candidate for resection</w:t>
            </w:r>
          </w:p>
          <w:p>
            <w:pPr>
              <w:pStyle w:val="ListParagraph"/>
              <w:numPr>
                <w:ilvl w:val="0"/>
                <w:numId w:val="2"/>
              </w:numPr>
              <w:spacing w:after="45"/>
            </w:pPr>
            <w:r>
              <w:rPr>
                <w:sz w:val="15"/>
                <w:szCs w:val="15"/>
              </w:rPr>
              <w:t xml:space="preserve">Rosen concedes in the published discussion that the age difference between the groups is difficult to correct for, and that removing the patients with sclerosing cholangitis only partly corrects for it</w:t>
            </w:r>
          </w:p>
          <w:p>
            <w:pPr>
              <w:pStyle w:val="ListParagraph"/>
              <w:numPr>
                <w:ilvl w:val="0"/>
                <w:numId w:val="2"/>
              </w:numPr>
              <w:spacing w:after="45"/>
            </w:pPr>
            <w:r>
              <w:rPr>
                <w:sz w:val="15"/>
                <w:szCs w:val="15"/>
              </w:rPr>
              <w:t xml:space="preserve">Eight of the 38 recipients had no histological or cytological confirmation of carcinoma before neoadjuvant therapy; the authors note that one might be sceptical of those diagnoses and report that omitting them changes 5-year survival from 82% to 80%</w:t>
            </w:r>
          </w:p>
          <w:p>
            <w:pPr>
              <w:pStyle w:val="ListParagraph"/>
              <w:numPr>
                <w:ilvl w:val="0"/>
                <w:numId w:val="2"/>
              </w:numPr>
              <w:spacing w:after="45"/>
            </w:pPr>
            <w:r>
              <w:rPr>
                <w:sz w:val="15"/>
                <w:szCs w:val="15"/>
              </w:rPr>
              <w:t xml:space="preserve">The change in the timing of staging laparotomy in 2002, from near the time of transplantation to immediately after brachytherapy, may lower the yield of staging and allow disease progression to go undetected, leading to more recurrence after transplantation, which the authors state as an explicit concern</w:t>
            </w:r>
          </w:p>
          <w:p>
            <w:pPr>
              <w:pStyle w:val="ListParagraph"/>
              <w:numPr>
                <w:ilvl w:val="0"/>
                <w:numId w:val="2"/>
              </w:numPr>
              <w:spacing w:after="45"/>
            </w:pPr>
            <w:r>
              <w:rPr>
                <w:sz w:val="15"/>
                <w:szCs w:val="15"/>
              </w:rPr>
              <w:t xml:space="preserve">The most serious disadvantage of the protocol is the limitation of donor organ availability</w:t>
            </w:r>
          </w:p>
          <w:p>
            <w:pPr>
              <w:pStyle w:val="ListParagraph"/>
              <w:numPr>
                <w:ilvl w:val="0"/>
                <w:numId w:val="2"/>
              </w:numPr>
              <w:spacing w:after="45"/>
            </w:pPr>
            <w:r>
              <w:rPr>
                <w:sz w:val="15"/>
                <w:szCs w:val="15"/>
              </w:rPr>
              <w:t xml:space="preserve">The appealed MELD score of 20 was, in Rosen's own words in the discussion, an arbitrary decision agreed locally with the only other liver programme in the organ procurement organisation, and neither the correct starting point nor the correct increment is known</w:t>
            </w:r>
          </w:p>
          <w:p>
            <w:pPr>
              <w:pStyle w:val="ListParagraph"/>
              <w:numPr>
                <w:ilvl w:val="0"/>
                <w:numId w:val="2"/>
              </w:numPr>
              <w:spacing w:after="45"/>
            </w:pPr>
            <w:r>
              <w:rPr>
                <w:sz w:val="15"/>
                <w:szCs w:val="15"/>
              </w:rPr>
              <w:t xml:space="preserve">Transplantation becomes technically more difficult the longer a patient waits after neoadjuvant therapy and staging, with portal vein stenosis and friable tissues attributed to the radiation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two survival curves start at different points. The 82% figure is survival from transplantation among the 38 who survived neoadjuvant therapy, staging and the waiting list, while 33 of the 71 enrolled never reached transplantation; the 21% figure is survival from operation among the 26 of 54 resected. From the start of treatment the comparison is 58% against about 21%, and Figure 1 is the only near-intention-to-treat comparison the paper offers</w:t>
            </w:r>
          </w:p>
          <w:p>
            <w:pPr>
              <w:pStyle w:val="ListParagraph"/>
              <w:numPr>
                <w:ilvl w:val="0"/>
                <w:numId w:val="2"/>
              </w:numPr>
              <w:spacing w:after="45"/>
            </w:pPr>
            <w:r>
              <w:rPr>
                <w:sz w:val="15"/>
                <w:szCs w:val="15"/>
              </w:rPr>
              <w:t xml:space="preserve">The best-selected resection subgroup did worse, not better: the node-negative margin-negative resections had 5-year survival of 18% against 21% for the whole resection group, which undercuts the argument that nodal and margin selection explains the gap</w:t>
            </w:r>
          </w:p>
          <w:p>
            <w:pPr>
              <w:pStyle w:val="ListParagraph"/>
              <w:numPr>
                <w:ilvl w:val="0"/>
                <w:numId w:val="2"/>
              </w:numPr>
              <w:spacing w:after="45"/>
            </w:pPr>
            <w:r>
              <w:rPr>
                <w:sz w:val="15"/>
                <w:szCs w:val="15"/>
              </w:rPr>
              <w:t xml:space="preserve">No statistical adjustment of any kind is attempted. The comparison is a log-rank test on unmatched groups differing by 15 years of mean age, by aetiology (22 of 38 transplant recipients had primary sclerosing cholangitis against 2 of 26 resections) and by protocol-mandated nodal status</w:t>
            </w:r>
          </w:p>
          <w:p>
            <w:pPr>
              <w:pStyle w:val="ListParagraph"/>
              <w:numPr>
                <w:ilvl w:val="0"/>
                <w:numId w:val="2"/>
              </w:numPr>
              <w:spacing w:after="45"/>
            </w:pPr>
            <w:r>
              <w:rPr>
                <w:sz w:val="15"/>
                <w:szCs w:val="15"/>
              </w:rPr>
              <w:t xml:space="preserve">Protocol exclusions make the groups non-exchangeable by construction: prior attempted resection or operative biopsy of the tumour barred a patient from the transplant arm, so patients who had been explored are structurally in the resection group</w:t>
            </w:r>
          </w:p>
          <w:p>
            <w:pPr>
              <w:pStyle w:val="ListParagraph"/>
              <w:numPr>
                <w:ilvl w:val="0"/>
                <w:numId w:val="2"/>
              </w:numPr>
              <w:spacing w:after="45"/>
            </w:pPr>
            <w:r>
              <w:rPr>
                <w:sz w:val="15"/>
                <w:szCs w:val="15"/>
              </w:rPr>
              <w:t xml:space="preserve">Five of the 71 protocol patients (7%) died during neoadjuvant therapy, four of sepsis and one of pulmonary embolism, and four more progressed beyond transplant criteria; none of this treatment-related mortality appears in the post-transplant curve that carries the paper's claim</w:t>
            </w:r>
          </w:p>
          <w:p>
            <w:pPr>
              <w:pStyle w:val="ListParagraph"/>
              <w:numPr>
                <w:ilvl w:val="0"/>
                <w:numId w:val="2"/>
              </w:numPr>
              <w:spacing w:after="45"/>
            </w:pPr>
            <w:r>
              <w:rPr>
                <w:sz w:val="15"/>
                <w:szCs w:val="15"/>
              </w:rPr>
              <w:t xml:space="preserve">Internal inconsistencies are not reconciled: the Results state that 8 of the 16 explants without residual tumour had unequivocal preoperative confirmation while the Discussion states 9 and refers to 'the other 7'; the node-negative margin-negative resection group is 15 patients in the Results and 16 in the Discussion and Figure 4; and 5-year survival after resection is 21% in the abstract and 20% in the Discussion</w:t>
            </w:r>
          </w:p>
          <w:p>
            <w:pPr>
              <w:pStyle w:val="ListParagraph"/>
              <w:numPr>
                <w:ilvl w:val="0"/>
                <w:numId w:val="2"/>
              </w:numPr>
              <w:spacing w:after="45"/>
            </w:pPr>
            <w:r>
              <w:rPr>
                <w:sz w:val="15"/>
                <w:szCs w:val="15"/>
              </w:rPr>
              <w:t xml:space="preserve">Sixteen of 38 explants (42%) contained no residual tumour, and from 2003 a CA 19-9 above 100 or digital image analysis or FISH aneuploidy alone sufficed for enrolment, so some transplanted patients may never have had cancer; Roberts raised exactly this point in the published discussion</w:t>
            </w:r>
          </w:p>
          <w:p>
            <w:pPr>
              <w:pStyle w:val="ListParagraph"/>
              <w:numPr>
                <w:ilvl w:val="0"/>
                <w:numId w:val="2"/>
              </w:numPr>
              <w:spacing w:after="45"/>
            </w:pPr>
            <w:r>
              <w:rPr>
                <w:sz w:val="15"/>
                <w:szCs w:val="15"/>
              </w:rPr>
              <w:t xml:space="preserve">Recurrence is compared as crude percentages, 13% against 27%, and mean time to recurrence as 40 against 21 months, although the transplant group's clock starts later and the follow-up durations of the two groups are never compared</w:t>
            </w:r>
          </w:p>
          <w:p>
            <w:pPr>
              <w:pStyle w:val="ListParagraph"/>
              <w:numPr>
                <w:ilvl w:val="0"/>
                <w:numId w:val="2"/>
              </w:numPr>
              <w:spacing w:after="45"/>
            </w:pPr>
            <w:r>
              <w:rPr>
                <w:sz w:val="15"/>
                <w:szCs w:val="15"/>
              </w:rPr>
              <w:t xml:space="preserve">At censoring one patient awaited staging and nine awaited transplantation; all are inside the 71-patient denominator of the intention-to-treat curve with minimal follow-up, and no numbers at risk appear on any figure</w:t>
            </w:r>
          </w:p>
          <w:p>
            <w:pPr>
              <w:pStyle w:val="ListParagraph"/>
              <w:numPr>
                <w:ilvl w:val="0"/>
                <w:numId w:val="2"/>
              </w:numPr>
              <w:spacing w:after="45"/>
            </w:pPr>
            <w:r>
              <w:rPr>
                <w:sz w:val="15"/>
                <w:szCs w:val="15"/>
              </w:rPr>
              <w:t xml:space="preserve">The comparator operation is not maximal by the paper's own standards: left hepatectomy in 13 of 26, extended right hepatectomy in only 1, and caudate resection in only 10 of 26 (38%), against the Neuhaus series quoted in the Discussion reporting 72% 5-year survival after margin-negative right trisegmentectomy with portal vein resection</w:t>
            </w:r>
          </w:p>
          <w:p>
            <w:pPr>
              <w:pStyle w:val="ListParagraph"/>
              <w:numPr>
                <w:ilvl w:val="0"/>
                <w:numId w:val="2"/>
              </w:numPr>
              <w:spacing w:after="45"/>
            </w:pPr>
            <w:r>
              <w:rPr>
                <w:sz w:val="15"/>
                <w:szCs w:val="15"/>
              </w:rPr>
              <w:t xml:space="preserve">Thirty-day mortality after resection was 12% (3 of 26), and Wall observes in the discussion that recurrence after resection was only about 30% while 5-year survival was 20%, implying that non-cancer deaths drive much of the difference</w:t>
            </w:r>
          </w:p>
          <w:p>
            <w:pPr>
              <w:pStyle w:val="ListParagraph"/>
              <w:numPr>
                <w:ilvl w:val="0"/>
                <w:numId w:val="2"/>
              </w:numPr>
              <w:spacing w:after="45"/>
            </w:pPr>
            <w:r>
              <w:rPr>
                <w:sz w:val="15"/>
                <w:szCs w:val="15"/>
              </w:rPr>
              <w:t xml:space="preserve">Seven living donor grafts were used and two of the three surgical deaths in the transplant arm followed living donor transplantation, yet no donor morbidity or mortality is reported and the organ cost of 38 grafts for 71 enrolled patients is never discussed</w:t>
            </w:r>
          </w:p>
          <w:p>
            <w:pPr>
              <w:pStyle w:val="ListParagraph"/>
              <w:numPr>
                <w:ilvl w:val="0"/>
                <w:numId w:val="2"/>
              </w:numPr>
              <w:spacing w:after="45"/>
            </w:pPr>
            <w:r>
              <w:rPr>
                <w:sz w:val="15"/>
                <w:szCs w:val="15"/>
              </w:rPr>
              <w:t xml:space="preserve">Twenty-three percent of patients taken to staging had findings precluding transplantation, but that yield is not stable across the study: before 2002 staging was done near the time of transplantation and nearly 40% of early patients had positive findings, while after the 2002 change very few did, so the single 23% figure spans two different practices</w:t>
            </w:r>
          </w:p>
          <w:p>
            <w:pPr>
              <w:pStyle w:val="ListParagraph"/>
              <w:numPr>
                <w:ilvl w:val="0"/>
                <w:numId w:val="2"/>
              </w:numPr>
              <w:spacing w:after="45"/>
            </w:pPr>
            <w:r>
              <w:rPr>
                <w:sz w:val="15"/>
                <w:szCs w:val="15"/>
              </w:rPr>
              <w:t xml:space="preserve">The CA 19-9 diagnostic criterion is reported in ng/mL rather than U/mL throughout</w:t>
            </w:r>
          </w:p>
          <w:p>
            <w:pPr>
              <w:pStyle w:val="ListParagraph"/>
              <w:numPr>
                <w:ilvl w:val="0"/>
                <w:numId w:val="2"/>
              </w:numPr>
              <w:spacing w:after="45"/>
            </w:pPr>
            <w:r>
              <w:rPr>
                <w:sz w:val="15"/>
                <w:szCs w:val="15"/>
              </w:rPr>
              <w:t xml:space="preserve">The published discussion (Ann Surg 2005;242:458-61) records the substantive objections: Roberts on diagnostic certainty in primary sclerosing cholangitis and on explant pathology, Shaw on the limited selection and the radiation dose, Wall on non-cancer mortality in the resected group, and Jenkins on how to counsel a non-PSC patient when the transplant results are set against resection results that every centre achieves</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No funding statement and no declaration of interests anywhere in the paper or the published discussion</w:t>
      </w:r>
    </w:p>
    <w:p>
      <w:pPr>
        <w:keepNext/>
        <w:spacing w:after="50" w:before="260"/>
      </w:pPr>
      <w:r>
        <w:rPr>
          <w:rFonts w:ascii="Cambria" w:cs="Cambria" w:eastAsia="Cambria" w:hAnsi="Cambria"/>
          <w:b/>
          <w:bCs/>
          <w:color w:val="17365D"/>
          <w:sz w:val="20"/>
          <w:szCs w:val="20"/>
        </w:rPr>
        <w:t xml:space="preserve">ROAR</w:t>
      </w:r>
      <w:r>
        <w:rPr>
          <w:b/>
          <w:bCs/>
          <w:color w:val="176A87"/>
          <w:sz w:val="15"/>
          <w:szCs w:val="15"/>
        </w:rPr>
        <w:t xml:space="preserve">   Prospective trial</w:t>
      </w:r>
      <w:r>
        <w:rPr>
          <w:color w:val="5A6069"/>
          <w:sz w:val="15"/>
          <w:szCs w:val="15"/>
        </w:rPr>
        <w:t xml:space="preserve">   PMID 32818466</w:t>
      </w:r>
    </w:p>
    <w:p>
      <w:pPr>
        <w:spacing w:after="50" w:line="276"/>
      </w:pPr>
      <w:r>
        <w:rPr>
          <w:color w:val="5A6069"/>
          <w:sz w:val="17"/>
          <w:szCs w:val="17"/>
        </w:rPr>
        <w:t xml:space="preserve">Dabrafenib plus trametinib in patients with BRAF-V600E-mutated biliary tract cancer (ROAR): a phase 2, open-label, single-arm, multicentre basket trial</w:t>
      </w:r>
    </w:p>
    <w:p>
      <w:pPr>
        <w:spacing w:after="50"/>
      </w:pPr>
      <w:r>
        <w:rPr>
          <w:b/>
          <w:bCs/>
          <w:color w:val="176A87"/>
          <w:sz w:val="16"/>
          <w:szCs w:val="16"/>
        </w:rPr>
        <w:t xml:space="preserve">Population. </w:t>
      </w:r>
      <w:r>
        <w:rPr>
          <w:sz w:val="16"/>
          <w:szCs w:val="16"/>
        </w:rPr>
        <w:t xml:space="preserve">43 patients with BRAF V600E-mutated biliary tract cancer previously treated with gemcitabine-based chemotherapy, enrolled at 19 sites in nine countries between March 2014 and July 2018 from 626 locally prescreened patients in whom 57 BRAF V600E mutations were found; 39 of 43 (91%) had intrahepatic cholangiocarcinoma and the mutation was centrally confirmed in 39 of 43</w:t>
      </w:r>
    </w:p>
    <w:p>
      <w:pPr>
        <w:spacing w:after="70"/>
      </w:pPr>
      <w:r>
        <w:rPr>
          <w:b/>
          <w:bCs/>
          <w:color w:val="17365D"/>
          <w:sz w:val="16"/>
          <w:szCs w:val="16"/>
        </w:rPr>
        <w:t xml:space="preserve">Bottom line. </w:t>
      </w:r>
      <w:r>
        <w:rPr>
          <w:sz w:val="16"/>
          <w:szCs w:val="16"/>
        </w:rPr>
        <w:t xml:space="preserve">ROAR showed that dabrafenib plus trametinib produces responses in roughly half of patients with BRAF V600E biliary tract cancer, a cohort that is 91% intrahepatic, with median progression-free survival of 9 months. It is a single-arm interim analysis with no comparator, an investigator-assessed primary endpoint that central review scored lower, and only 8% of patients progression-free at 24 months. BRAF V600E was found in 9% here only because sites entered patients already known to carry it; in practice the yield is lower, and jaundiced patients were excluded.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is not randomised, which the authors call an obvious limitation, defended on the grounds that a randomised trial in a disease this rare is difficult to design</w:t>
            </w:r>
          </w:p>
          <w:p>
            <w:pPr>
              <w:pStyle w:val="ListParagraph"/>
              <w:numPr>
                <w:ilvl w:val="0"/>
                <w:numId w:val="2"/>
              </w:numPr>
              <w:spacing w:after="45"/>
            </w:pPr>
            <w:r>
              <w:rPr>
                <w:sz w:val="15"/>
                <w:szCs w:val="15"/>
              </w:rPr>
              <w:t xml:space="preserve">The prescreening population probably already contained patients with known BRAF V600E status because several sites test locally, so the 9% mutation rate is higher than published reports</w:t>
            </w:r>
          </w:p>
          <w:p>
            <w:pPr>
              <w:pStyle w:val="ListParagraph"/>
              <w:numPr>
                <w:ilvl w:val="0"/>
                <w:numId w:val="2"/>
              </w:numPr>
              <w:spacing w:after="45"/>
            </w:pPr>
            <w:r>
              <w:rPr>
                <w:sz w:val="15"/>
                <w:szCs w:val="15"/>
              </w:rPr>
              <w:t xml:space="preserve">Central confirmation of histology was not in the protocol, so similar histological subtypes appear under different names in the baseline table according to investigator entry</w:t>
            </w:r>
          </w:p>
          <w:p>
            <w:pPr>
              <w:pStyle w:val="ListParagraph"/>
              <w:numPr>
                <w:ilvl w:val="0"/>
                <w:numId w:val="2"/>
              </w:numPr>
              <w:spacing w:after="45"/>
            </w:pPr>
            <w:r>
              <w:rPr>
                <w:sz w:val="15"/>
                <w:szCs w:val="15"/>
              </w:rPr>
              <w:t xml:space="preserve">The study database was not designed to capture previous or subsequent chemotherapy as regimens, only as individual drugs</w:t>
            </w:r>
          </w:p>
          <w:p>
            <w:pPr>
              <w:pStyle w:val="ListParagraph"/>
              <w:numPr>
                <w:ilvl w:val="0"/>
                <w:numId w:val="2"/>
              </w:numPr>
              <w:spacing w:after="45"/>
            </w:pPr>
            <w:r>
              <w:rPr>
                <w:sz w:val="15"/>
                <w:szCs w:val="15"/>
              </w:rPr>
              <w:t xml:space="preserve">The published figures are interim results from a trial that remained active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With no control arm, the 51% response rate cannot be turned into a survival benefit, and the comparisons offered in the discussion, ivosidenib 2%, selumetinib 12%, pembrolizumab 6% and FOLFOX median survival of 6 months in ABC-06, are all drawn from other trials with different populations</w:t>
            </w:r>
          </w:p>
          <w:p>
            <w:pPr>
              <w:pStyle w:val="ListParagraph"/>
              <w:numPr>
                <w:ilvl w:val="0"/>
                <w:numId w:val="2"/>
              </w:numPr>
              <w:spacing w:after="45"/>
            </w:pPr>
            <w:r>
              <w:rPr>
                <w:sz w:val="15"/>
                <w:szCs w:val="15"/>
              </w:rPr>
              <w:t xml:space="preserve">The headline response rate is investigator-assessed at 51% while independent central review gave 47% with no complete responses, and the paper leads with the investigator figure</w:t>
            </w:r>
          </w:p>
          <w:p>
            <w:pPr>
              <w:pStyle w:val="ListParagraph"/>
              <w:numPr>
                <w:ilvl w:val="0"/>
                <w:numId w:val="2"/>
              </w:numPr>
              <w:spacing w:after="45"/>
            </w:pPr>
            <w:r>
              <w:rPr>
                <w:sz w:val="15"/>
                <w:szCs w:val="15"/>
              </w:rPr>
              <w:t xml:space="preserve">Durability collapses with time: responses were ongoing in 36% at 12 months and 13% at 24 months, and progression-free survival fell from 63% at 6 months to 8% at 24, so the 9-month median duration of response is the generous reading of a short-lived effect</w:t>
            </w:r>
          </w:p>
          <w:p>
            <w:pPr>
              <w:pStyle w:val="ListParagraph"/>
              <w:numPr>
                <w:ilvl w:val="0"/>
                <w:numId w:val="2"/>
              </w:numPr>
              <w:spacing w:after="45"/>
            </w:pPr>
            <w:r>
              <w:rPr>
                <w:sz w:val="15"/>
                <w:szCs w:val="15"/>
              </w:rPr>
              <w:t xml:space="preserve">Patients with bilirubin above three times normal or untreatable biliary obstruction were excluded, which removes much of real advanced biliary practice and selects for preserved liver function, making the survival figures optimistic for the clinic</w:t>
            </w:r>
          </w:p>
          <w:p>
            <w:pPr>
              <w:pStyle w:val="ListParagraph"/>
              <w:numPr>
                <w:ilvl w:val="0"/>
                <w:numId w:val="2"/>
              </w:numPr>
              <w:spacing w:after="45"/>
            </w:pPr>
            <w:r>
              <w:rPr>
                <w:sz w:val="15"/>
                <w:szCs w:val="15"/>
              </w:rPr>
              <w:t xml:space="preserve">Dose reduction was needed in 35% and interruption in 56%, with a median exposure of 8 months, so the regimen as delivered differs substantially from 150 mg twice daily plus 2 mg daily</w:t>
            </w:r>
          </w:p>
          <w:p>
            <w:pPr>
              <w:pStyle w:val="ListParagraph"/>
              <w:numPr>
                <w:ilvl w:val="0"/>
                <w:numId w:val="2"/>
              </w:numPr>
              <w:spacing w:after="45"/>
            </w:pPr>
            <w:r>
              <w:rPr>
                <w:sz w:val="15"/>
                <w:szCs w:val="15"/>
              </w:rPr>
              <w:t xml:space="preserve">All 16 sequenced tumours had tumour mutational burden below 6 mutations per Mb and the biomarker analyses involved 16 to 19 patients, so the translational component cannot support or refute anything and is reported as if informative</w:t>
            </w:r>
          </w:p>
          <w:p>
            <w:pPr>
              <w:pStyle w:val="ListParagraph"/>
              <w:numPr>
                <w:ilvl w:val="0"/>
                <w:numId w:val="2"/>
              </w:numPr>
              <w:spacing w:after="45"/>
            </w:pPr>
            <w:r>
              <w:rPr>
                <w:sz w:val="15"/>
                <w:szCs w:val="15"/>
              </w:rPr>
              <w:t xml:space="preserve">Two patients (5%) died of sepsis judged unrelated to treatment while on a combination whose commonest treatment-related serious event was pyrexia in 19%; the attribution of those deaths is investigator-determined with no independent adjudication described</w:t>
            </w:r>
          </w:p>
          <w:p>
            <w:pPr>
              <w:pStyle w:val="ListParagraph"/>
              <w:numPr>
                <w:ilvl w:val="0"/>
                <w:numId w:val="2"/>
              </w:numPr>
              <w:spacing w:after="45"/>
            </w:pPr>
            <w:r>
              <w:rPr>
                <w:sz w:val="15"/>
                <w:szCs w:val="15"/>
              </w:rPr>
              <w:t xml:space="preserve">The trial changed sponsor mid-conduct from GlaxoSmithKline to Novartis, with data collection and analysis transferring between two companies and Novartis employees as authors, and no independent analysis is described</w:t>
            </w:r>
          </w:p>
          <w:p>
            <w:pPr>
              <w:pStyle w:val="ListParagraph"/>
              <w:numPr>
                <w:ilvl w:val="0"/>
                <w:numId w:val="2"/>
              </w:numPr>
              <w:spacing w:after="45"/>
            </w:pPr>
            <w:r>
              <w:rPr>
                <w:sz w:val="15"/>
                <w:szCs w:val="15"/>
              </w:rPr>
              <w:t xml:space="preserve">The trial is a basket cohort of 43 patients reported as a standalone result, so the multiplicity across the basket's other cohorts is not accounted for in the confidence interval presented</w:t>
            </w:r>
          </w:p>
          <w:p>
            <w:pPr>
              <w:pStyle w:val="ListParagraph"/>
              <w:numPr>
                <w:ilvl w:val="0"/>
                <w:numId w:val="2"/>
              </w:numPr>
              <w:spacing w:after="45"/>
            </w:pPr>
            <w:r>
              <w:rPr>
                <w:sz w:val="15"/>
                <w:szCs w:val="15"/>
              </w:rPr>
              <w:t xml:space="preserve">One patient who responded went on to cholecystectomy, hepatectomy and lymphadenectomy; a single case is reported in a way that invites reading the regimen as a conversion strategy, which 43 patients cannot support</w:t>
            </w:r>
          </w:p>
          <w:p>
            <w:pPr>
              <w:pStyle w:val="ListParagraph"/>
              <w:numPr>
                <w:ilvl w:val="0"/>
                <w:numId w:val="2"/>
              </w:numPr>
              <w:spacing w:after="45"/>
            </w:pPr>
            <w:r>
              <w:rPr>
                <w:sz w:val="15"/>
                <w:szCs w:val="15"/>
              </w:rPr>
              <w:t xml:space="preserve">Linked correspondence by van Golen and Dekker with the authors' reply (Lancet Oncol 2020;21:e515, PMID 33152306 and 33152307) exists; it was identified from the citation record and not read here</w:t>
            </w:r>
          </w:p>
        </w:tc>
      </w:tr>
    </w:tbl>
    <w:p>
      <w:pPr>
        <w:spacing w:after="0" w:line="276"/>
      </w:pPr>
      <w:r>
        <w:rPr>
          <w:color w:val="5A6069"/>
          <w:sz w:val="14"/>
          <w:szCs w:val="14"/>
        </w:rPr>
        <w:t xml:space="preserve">Funding: GlaxoSmithKline, which originally designed and sponsored the trial and initially performed data collection and analysis, with Novartis Pharmaceuticals as current sponsor and funder of the medical writing; Novartis employees are among the authors</w:t>
      </w:r>
    </w:p>
    <w:p>
      <w:pPr>
        <w:keepNext/>
        <w:spacing w:after="50" w:before="260"/>
      </w:pPr>
      <w:r>
        <w:rPr>
          <w:rFonts w:ascii="Cambria" w:cs="Cambria" w:eastAsia="Cambria" w:hAnsi="Cambria"/>
          <w:b/>
          <w:bCs/>
          <w:color w:val="17365D"/>
          <w:sz w:val="20"/>
          <w:szCs w:val="20"/>
        </w:rPr>
        <w:t xml:space="preserve">TOPAZ-1</w:t>
      </w:r>
      <w:r>
        <w:rPr>
          <w:b/>
          <w:bCs/>
          <w:color w:val="176A87"/>
          <w:sz w:val="15"/>
          <w:szCs w:val="15"/>
        </w:rPr>
        <w:t xml:space="preserve">   Randomised trial</w:t>
      </w:r>
      <w:r>
        <w:rPr>
          <w:color w:val="5A6069"/>
          <w:sz w:val="15"/>
          <w:szCs w:val="15"/>
        </w:rPr>
        <w:t xml:space="preserve">   PMID 38319896</w:t>
      </w:r>
    </w:p>
    <w:p>
      <w:pPr>
        <w:spacing w:after="50" w:line="276"/>
      </w:pPr>
      <w:r>
        <w:rPr>
          <w:color w:val="5A6069"/>
          <w:sz w:val="17"/>
          <w:szCs w:val="17"/>
        </w:rPr>
        <w:t xml:space="preserve">Durvalumab plus Gemcitabine and Cisplatin in Advanced Biliary Tract Cancer</w:t>
      </w:r>
    </w:p>
    <w:p>
      <w:pPr>
        <w:spacing w:after="50"/>
      </w:pPr>
      <w:r>
        <w:rPr>
          <w:b/>
          <w:bCs/>
          <w:color w:val="176A87"/>
          <w:sz w:val="16"/>
          <w:szCs w:val="16"/>
        </w:rPr>
        <w:t xml:space="preserve">Population. </w:t>
      </w:r>
      <w:r>
        <w:rPr>
          <w:sz w:val="16"/>
          <w:szCs w:val="16"/>
        </w:rPr>
        <w:t xml:space="preserve">685 patients randomised from 914 enrolled at 105 sites in 17 countries between April 2019 and December 2020, with previously untreated advanced biliary tract cancer; 383 of 685 (55.9%) had intrahepatic cholangiocarcinoma and 86% had metastatic disease</w:t>
      </w:r>
    </w:p>
    <w:p>
      <w:pPr>
        <w:spacing w:after="70"/>
      </w:pPr>
      <w:r>
        <w:rPr>
          <w:b/>
          <w:bCs/>
          <w:color w:val="17365D"/>
          <w:sz w:val="16"/>
          <w:szCs w:val="16"/>
        </w:rPr>
        <w:t xml:space="preserve">Bottom line. </w:t>
      </w:r>
      <w:r>
        <w:rPr>
          <w:sz w:val="16"/>
          <w:szCs w:val="16"/>
        </w:rPr>
        <w:t xml:space="preserve">TOPAZ-1 is the trial that added immunotherapy to first-line gemcitabine-cisplatin in advanced biliary tract cancer, with a hazard ratio of 0.80 (0.66-0.97) and 24-month survival of 24.9% against 10.4%. The median gain is 1.3 months, the result is an interim analysis at 424 of 496 planned deaths, and the proportional hazards assumption is formally violated, so the single hazard ratio summarises a benefit that begins only after six months. With 86% metastatic disease and no predictive value from PD-L1, it says nothing about liver-confined disease or about which patients should be exposed.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in the discussion that microsatellite instability status was missing for approximately 50% of patients in each group because of insufficient tissue or an unknown result, and that only 5 of 333 evaluable patients were MSI-high, so a statistical conclusion about that subgroup cannot be drawn</w:t>
            </w:r>
          </w:p>
          <w:p>
            <w:pPr>
              <w:pStyle w:val="ListParagraph"/>
              <w:numPr>
                <w:ilvl w:val="0"/>
                <w:numId w:val="2"/>
              </w:numPr>
              <w:spacing w:after="45"/>
            </w:pPr>
            <w:r>
              <w:rPr>
                <w:sz w:val="15"/>
                <w:szCs w:val="15"/>
              </w:rPr>
              <w:t xml:space="preserve">They report that the smoothed hazard function and the log-log plot confirmed a departure from the proportional hazards assumption</w:t>
            </w:r>
          </w:p>
          <w:p>
            <w:pPr>
              <w:pStyle w:val="ListParagraph"/>
              <w:numPr>
                <w:ilvl w:val="0"/>
                <w:numId w:val="2"/>
              </w:numPr>
              <w:spacing w:after="45"/>
            </w:pPr>
            <w:r>
              <w:rPr>
                <w:sz w:val="15"/>
                <w:szCs w:val="15"/>
              </w:rPr>
              <w:t xml:space="preserve">They present the survival result as a prespecified interim analysis rather than a final one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an interim analysis with 424 of the 496 planned deaths, so the reported hazard ratio is the first look that crossed its boundary, and interim estimates at a crossing boundary are systematically larger than the eventual effect</w:t>
            </w:r>
          </w:p>
          <w:p>
            <w:pPr>
              <w:pStyle w:val="ListParagraph"/>
              <w:numPr>
                <w:ilvl w:val="0"/>
                <w:numId w:val="2"/>
              </w:numPr>
              <w:spacing w:after="45"/>
            </w:pPr>
            <w:r>
              <w:rPr>
                <w:sz w:val="15"/>
                <w:szCs w:val="15"/>
              </w:rPr>
              <w:t xml:space="preserve">The absolute difference in median overall survival is 1.3 months, 12.8 against 11.5, which is within the trial's own imaging and follow-up granularity and considerably smaller than the 24-month separation the authors emphasise</w:t>
            </w:r>
          </w:p>
          <w:p>
            <w:pPr>
              <w:pStyle w:val="ListParagraph"/>
              <w:numPr>
                <w:ilvl w:val="0"/>
                <w:numId w:val="2"/>
              </w:numPr>
              <w:spacing w:after="45"/>
            </w:pPr>
            <w:r>
              <w:rPr>
                <w:sz w:val="15"/>
                <w:szCs w:val="15"/>
              </w:rPr>
              <w:t xml:space="preserve">With proportional hazards formally violated, the single hazard ratio of 0.80 that carries the registration claim describes no constant effect: the paper's own split shows 0.91 (0.66-1.26) to 6 months and 0.74 (0.58-0.94) afterwards, so early patients derive nothing</w:t>
            </w:r>
          </w:p>
          <w:p>
            <w:pPr>
              <w:pStyle w:val="ListParagraph"/>
              <w:numPr>
                <w:ilvl w:val="0"/>
                <w:numId w:val="2"/>
              </w:numPr>
              <w:spacing w:after="45"/>
            </w:pPr>
            <w:r>
              <w:rPr>
                <w:sz w:val="15"/>
                <w:szCs w:val="15"/>
              </w:rPr>
              <w:t xml:space="preserve">The 24-month survival estimates that make the result look large, 24.9% against 10.4%, have confidence intervals of 17.9-32.5 and 4.7-18.8 and come from the thinnest part of the curve at an interim cut; no numbers at risk at 24 months are given alongside them</w:t>
            </w:r>
          </w:p>
          <w:p>
            <w:pPr>
              <w:pStyle w:val="ListParagraph"/>
              <w:numPr>
                <w:ilvl w:val="0"/>
                <w:numId w:val="2"/>
              </w:numPr>
              <w:spacing w:after="45"/>
            </w:pPr>
            <w:r>
              <w:rPr>
                <w:sz w:val="15"/>
                <w:szCs w:val="15"/>
              </w:rPr>
              <w:t xml:space="preserve">PD-L1 expression did not predict benefit, 0.79 (0.61-1.00) at tumour area positivity of 1% or more against 0.86 (0.60-1.23) below, so there is no way to spare the 12.7% of patients who had immune-mediated adverse events from an exposure most will not benefit from</w:t>
            </w:r>
          </w:p>
          <w:p>
            <w:pPr>
              <w:pStyle w:val="ListParagraph"/>
              <w:numPr>
                <w:ilvl w:val="0"/>
                <w:numId w:val="2"/>
              </w:numPr>
              <w:spacing w:after="45"/>
            </w:pPr>
            <w:r>
              <w:rPr>
                <w:sz w:val="15"/>
                <w:szCs w:val="15"/>
              </w:rPr>
              <w:t xml:space="preserve">Responses were investigator-assessed with no blinded independent central review, in a trial whose response and progression-free survival results are used to support the primary claim</w:t>
            </w:r>
          </w:p>
          <w:p>
            <w:pPr>
              <w:pStyle w:val="ListParagraph"/>
              <w:numPr>
                <w:ilvl w:val="0"/>
                <w:numId w:val="2"/>
              </w:numPr>
              <w:spacing w:after="45"/>
            </w:pPr>
            <w:r>
              <w:rPr>
                <w:sz w:val="15"/>
                <w:szCs w:val="15"/>
              </w:rPr>
              <w:t xml:space="preserve">Subgroup point estimates differ substantially, 0.73 in Asia against 0.89 in the rest of the world and 0.49 in locally advanced against 0.83 in metastatic disease, with no multiplicity control and no interaction test reported, so the applicability of the headline to a Western, metastatic population is not established by this trial</w:t>
            </w:r>
          </w:p>
          <w:p>
            <w:pPr>
              <w:pStyle w:val="ListParagraph"/>
              <w:numPr>
                <w:ilvl w:val="0"/>
                <w:numId w:val="2"/>
              </w:numPr>
              <w:spacing w:after="45"/>
            </w:pPr>
            <w:r>
              <w:rPr>
                <w:sz w:val="15"/>
                <w:szCs w:val="15"/>
              </w:rPr>
              <w:t xml:space="preserve">86% of patients had metastatic disease and ampullary cancer was excluded, so the trial speaks to palliative treatment of disseminated disease and not to the liver-confined, downstaging or peri-transplant settings where the regimen is now borrowed</w:t>
            </w:r>
          </w:p>
          <w:p>
            <w:pPr>
              <w:pStyle w:val="ListParagraph"/>
              <w:numPr>
                <w:ilvl w:val="0"/>
                <w:numId w:val="2"/>
              </w:numPr>
              <w:spacing w:after="45"/>
            </w:pPr>
            <w:r>
              <w:rPr>
                <w:sz w:val="15"/>
                <w:szCs w:val="15"/>
              </w:rPr>
              <w:t xml:space="preserve">Durvalumab continued as monotherapy until progression while gemcitabine-cisplatin was capped at eight cycles in both arms, so the experimental arm receives indefinite treatment and the control arm receives nothing after cycle 8; part of the tail separation may be maintenance of any kind rather than immunotherapy specifically</w:t>
            </w:r>
          </w:p>
          <w:p>
            <w:pPr>
              <w:pStyle w:val="ListParagraph"/>
              <w:numPr>
                <w:ilvl w:val="0"/>
                <w:numId w:val="2"/>
              </w:numPr>
              <w:spacing w:after="45"/>
            </w:pPr>
            <w:r>
              <w:rPr>
                <w:sz w:val="15"/>
                <w:szCs w:val="15"/>
              </w:rPr>
              <w:t xml:space="preserve">Only 44% of the cohort had an evaluable microsatellite instability result, so the argument that a hypermutated subset is not driving the signal rests on a biomarker measured in fewer than half the patients</w:t>
            </w:r>
          </w:p>
          <w:p>
            <w:pPr>
              <w:pStyle w:val="ListParagraph"/>
              <w:numPr>
                <w:ilvl w:val="0"/>
                <w:numId w:val="2"/>
              </w:numPr>
              <w:spacing w:after="45"/>
            </w:pPr>
            <w:r>
              <w:rPr>
                <w:sz w:val="15"/>
                <w:szCs w:val="15"/>
              </w:rPr>
              <w:t xml:space="preserve">AstraZeneca sponsored the trial, collaborated on the design, collected, analysed and interpreted the data, supplied the drug and paid for the medical writing, and the sponsor vouches for the data alongside the authors; no fully independent analysis is described</w:t>
            </w:r>
          </w:p>
          <w:p>
            <w:pPr>
              <w:pStyle w:val="ListParagraph"/>
              <w:numPr>
                <w:ilvl w:val="0"/>
                <w:numId w:val="2"/>
              </w:numPr>
              <w:spacing w:after="45"/>
            </w:pPr>
            <w:r>
              <w:rPr>
                <w:sz w:val="15"/>
                <w:szCs w:val="15"/>
              </w:rPr>
              <w:t xml:space="preserve">No crossover or post-progression immunotherapy accounting is reported, so what the control arm received after progression, which determines how much of the overall survival difference is attributable to first-line durvalumab, cannot be assessed</w:t>
            </w:r>
          </w:p>
          <w:p>
            <w:pPr>
              <w:pStyle w:val="ListParagraph"/>
              <w:numPr>
                <w:ilvl w:val="0"/>
                <w:numId w:val="2"/>
              </w:numPr>
              <w:spacing w:after="45"/>
            </w:pPr>
            <w:r>
              <w:rPr>
                <w:sz w:val="15"/>
                <w:szCs w:val="15"/>
              </w:rPr>
              <w:t xml:space="preserve">No linked editorial or comment was found in PubMed for this report, so no independent published appraisal accompanies it</w:t>
            </w:r>
          </w:p>
        </w:tc>
      </w:tr>
    </w:tbl>
    <w:p>
      <w:pPr>
        <w:spacing w:after="0" w:line="276"/>
      </w:pPr>
      <w:r>
        <w:rPr>
          <w:color w:val="5A6069"/>
          <w:sz w:val="14"/>
          <w:szCs w:val="14"/>
        </w:rPr>
        <w:t xml:space="preserve">Funding: Funded by AstraZeneca, which sponsored the trial, collaborated on design and on the collection, analysis and interpretation of the data, supplied durvalumab, co-ran the analyses with PHASTAR, and funded the medical writing</w:t>
      </w:r>
    </w:p>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Guideline alignment worksheet v0.6 — Guideline alignment worksheet — Adult perihilar cholangiocarcinoma. Memorial Hermann Perihilar Cholangiocarcinoma System Roadmap, Draft v0.6, 4 October 2026. Sixteen areas where the published guidelines can disagree, wit</w:t>
      </w:r>
    </w:p>
    <w:p>
      <w:pPr>
        <w:pStyle w:val="ListParagraph"/>
        <w:numPr>
          <w:ilvl w:val="0"/>
          <w:numId w:val="2"/>
        </w:numPr>
        <w:spacing w:after="60" w:line="268"/>
      </w:pPr>
      <w:r>
        <w:rPr>
          <w:color w:val="15181F"/>
          <w:sz w:val="16"/>
          <w:szCs w:val="16"/>
        </w:rPr>
        <w:t xml:space="preserve">HAI floxuridine phase II — Cercek A, Boerner T, Tan BR, et al. Assessment of hepatic arterial infusion of floxuridine in combination with systemic gemcitabine and oxaliplatin in patients with unresectable intrahepatic cholangiocarcinoma: a phase 2</w:t>
      </w:r>
    </w:p>
    <w:p>
      <w:pPr>
        <w:pStyle w:val="ListParagraph"/>
        <w:numPr>
          <w:ilvl w:val="0"/>
          <w:numId w:val="2"/>
        </w:numPr>
        <w:spacing w:after="60" w:line="268"/>
      </w:pPr>
      <w:r>
        <w:rPr>
          <w:color w:val="15181F"/>
          <w:sz w:val="16"/>
          <w:szCs w:val="16"/>
        </w:rPr>
        <w:t xml:space="preserve">HOPE4LIVER — Ziemlewicz TJ, et al. HOPE4LIVER one-year update. Ann Surg 2025. 47 patients, 52 tumours; local control 63.4% on the primary assessment versus 90% post hoc.</w:t>
      </w:r>
    </w:p>
    <w:p>
      <w:pPr>
        <w:pStyle w:val="ListParagraph"/>
        <w:numPr>
          <w:ilvl w:val="0"/>
          <w:numId w:val="2"/>
        </w:numPr>
        <w:spacing w:after="60" w:line="268"/>
      </w:pPr>
      <w:r>
        <w:rPr>
          <w:color w:val="15181F"/>
          <w:sz w:val="16"/>
          <w:szCs w:val="16"/>
        </w:rPr>
        <w:t xml:space="preserve">MH perihilar CCA roadmap v0.6 — Memorial Hermann Perihilar Cholangiocarcinoma System Roadmap. Multidisciplinary practice guideline and operating pathway, Draft v0.6, 4 October 2026, with the liver-directed treatment revision of 3 October 2026. Pending </w:t>
      </w:r>
    </w:p>
    <w:p>
      <w:pPr>
        <w:pStyle w:val="ListParagraph"/>
        <w:numPr>
          <w:ilvl w:val="0"/>
          <w:numId w:val="2"/>
        </w:numPr>
        <w:spacing w:after="60" w:line="268"/>
      </w:pPr>
      <w:r>
        <w:rPr>
          <w:color w:val="15181F"/>
          <w:sz w:val="16"/>
          <w:szCs w:val="16"/>
        </w:rPr>
        <w:t xml:space="preserve">NCCN Biliary Tract Cancers v1.2026 — National Comprehensive Cancer Network. Biliary Tract Cancers. NCCN Clinical Practice Guidelines in Oncology. Version 1.2026, 10 March 2026. Perihilar pathway, original PDF pp23–27; INTRA-D p22; adjuvant p36; first-line p</w:t>
      </w:r>
    </w:p>
    <w:p>
      <w:pPr>
        <w:pStyle w:val="ListParagraph"/>
        <w:numPr>
          <w:ilvl w:val="0"/>
          <w:numId w:val="2"/>
        </w:numPr>
        <w:spacing w:after="60" w:line="268"/>
      </w:pPr>
      <w:r>
        <w:rPr>
          <w:color w:val="15181F"/>
          <w:sz w:val="16"/>
          <w:szCs w:val="16"/>
        </w:rPr>
        <w:t xml:space="preserve">OPTN NLRB guidance 2025 — Organ Procurement and Transplantation Network, Liver and Intestinal Organ Transplantation Committee. Guidance to Liver Transplant Programs and the National Liver Review Board for: Adult MELD Exceptions for Transplant Onc</w:t>
      </w:r>
    </w:p>
    <w:p>
      <w:pPr>
        <w:pStyle w:val="ListParagraph"/>
        <w:numPr>
          <w:ilvl w:val="0"/>
          <w:numId w:val="2"/>
        </w:numPr>
        <w:spacing w:after="60" w:line="268"/>
      </w:pPr>
      <w:r>
        <w:rPr>
          <w:color w:val="15181F"/>
          <w:sz w:val="16"/>
          <w:szCs w:val="16"/>
        </w:rPr>
        <w:t xml:space="preserve">OPTN Policy 9 — Organ Procurement and Transplantation Network. Policy 9: Allocation of Livers and Liver-Intestines, including 9.4.C–E and 9.5.A Specific Standardized MELD or PELD Exceptions. US Department of Health and Human Services, H</w:t>
      </w:r>
    </w:p>
    <w:p>
      <w:pPr>
        <w:pStyle w:val="ListParagraph"/>
        <w:numPr>
          <w:ilvl w:val="0"/>
          <w:numId w:val="2"/>
        </w:numPr>
        <w:spacing w:after="60" w:line="268"/>
      </w:pPr>
      <w:r>
        <w:rPr>
          <w:color w:val="15181F"/>
          <w:sz w:val="16"/>
          <w:szCs w:val="16"/>
        </w:rPr>
        <w:t xml:space="preserve">SWOG S0809 — Single-arm phase II trial of adjuvant capecitabine and gemcitabine followed by chemoradiation in extrahepatic cholangiocarcinoma and gallbladder cancer; 2-year survival 67% after R0 and 60% after R1 resection, as cited b</w:t>
      </w:r>
    </w:p>
    <w:p>
      <w:pPr>
        <w:pStyle w:val="ListParagraph"/>
        <w:numPr>
          <w:ilvl w:val="0"/>
          <w:numId w:val="2"/>
        </w:numPr>
        <w:spacing w:after="60" w:line="268"/>
      </w:pPr>
      <w:r>
        <w:rPr>
          <w:color w:val="15181F"/>
          <w:sz w:val="16"/>
          <w:szCs w:val="16"/>
        </w:rPr>
        <w:t xml:space="preserve">UTHealth perihilar CCA protocol v2 — UTHealth Houston standard perihilar cholangiocarcinoma transplant protocol, version 2; policy review 16 July 2026. The internal document on which the roadmap's corrected allocation statement rests; the OPTN policy text i</w:t>
      </w:r>
    </w:p>
    <w:p>
      <w:r>
        <w:br w:type="page"/>
      </w:r>
    </w:p>
    <w:p>
      <w:pPr>
        <w:pStyle w:val="Heading1"/>
      </w:pPr>
      <w:r>
        <w:t>Liver directed therapy evidence update 23 October 2026</w:t>
      </w:r>
    </w:p>
    <w:p>
      <w:r>
        <w:t>This section updates the local-therapy recommendations and alignment discussion. Proposed clinical choices remain subject to institutional ratification. Earlier trial summaries are retained as historical study descriptions.</w:t>
      </w:r>
    </w:p>
    <w:p>
      <w:pPr>
        <w:pStyle w:val="Heading2"/>
      </w:pPr>
      <w:r>
        <w:t>Transplant protocol and allocation</w:t>
      </w:r>
    </w:p>
    <w:p>
      <w:r>
        <w:t>Selected unresectable pCCA may enter a curative-intent neoadjuvant-to-LT pathway. OPTN Policy 9.5.A requires an approved written protocol, neoadjuvant therapy and operative staging; it does not specify the Mayo regimen, RT technique, dose or brachytherapy. A mass, if present, must be single and strictly &lt;3 cm in radial diameter. Avoid transperitoneal aspiration or biopsy of the primary. Clinical benefit, allocation eligibility and local approval are separate determinations.</w:t>
      </w:r>
    </w:p>
    <w:p>
      <w:pPr>
        <w:pStyle w:val="Heading2"/>
      </w:pPr>
      <w:r>
        <w:t>Radiation before transplant</w:t>
      </w:r>
    </w:p>
    <w:p>
      <w:r>
        <w:t>Welling et al., Liver Transpl 2014 (online 2013), PMID 24115315, DOI 10.1002/lt.23757: 17 evaluated, 12 RT-treated (11 SBRT and one non-SBRT), nine listed, six transplanted. SBRT 50–60 Gy in 3–5 fractions plus capecitabine supports feasibility of a protocol alternative; 1-year post-LT survival was 83%. These doses describe the study and are not a universal prescription.</w:t>
      </w:r>
    </w:p>
    <w:p>
      <w:pPr>
        <w:pStyle w:val="Heading2"/>
      </w:pPr>
      <w:r>
        <w:t>Systemic-only neoadjuvant evidence</w:t>
      </w:r>
    </w:p>
    <w:p>
      <w:r>
        <w:t>Soliman et al., Transplant Direct 2025, PMID 39936132, DOI 10.1097/TXD.0000000000001760: 26 LT recipients, 12 GemCis-only and 14 RT-containing regimens. No significant OS or RFS difference; no equivalence or intention-to-treat benefit established. Full-text Results give 1-/3-year post-LT OS 83.0%/52.3%, versus 84%/55% in the abstract. Six patients had positive nodes on explant despite negative operative staging. This does not justify knowingly transplanting node-positive disease or routinely omitting RT.</w:t>
      </w:r>
    </w:p>
    <w:p>
      <w:pPr>
        <w:pStyle w:val="Heading2"/>
      </w:pPr>
      <w:r>
        <w:t>Nontransplant local control</w:t>
      </w:r>
    </w:p>
    <w:p>
      <w:r>
        <w:t>Consider fractionated RT/SBRT or chemoradiation through an expert MDT for selected unresectable nonmetastatic disease, with sequencing individualized to the chosen regimen. Prefer a clinical trial when feasible. BSG recommendation 43 supports consideration after systemic therapy (PMID 37770126). STRONG phase I enrolled six patients, with 1-year local control 80% from RT and grade 3 cholangitis in five (PMID 34439146). ABC-07 randomized phase II did not improve PFS (8.6 vs 9.0 months, HR 1.00) or show a significant OS benefit (ASCO 2024 abstract 4006, DOI 10.1200/JCO.2024.42.16_suppl.4006). Do not describe RT alone as equivalent to resection or LT.</w:t>
      </w:r>
    </w:p>
    <w:p>
      <w:pPr>
        <w:pStyle w:val="Heading2"/>
      </w:pPr>
      <w:r>
        <w:t>Planning and newer evidence</w:t>
      </w:r>
    </w:p>
    <w:p>
      <w:r>
        <w:t xml:space="preserve">STRONG II is a phase II protocol, not an efficacy report (van Loosbroek, BMJ Open 2025, PMID 40669914, DOI 10.1136/bmjopen-2024-097545). ABC-07 RTQA found deviations from protocol objectives in 19/41 plans, mostly reduced target coverage to respect duodenal or gastric constraints (Eaton, Clin Oncol 2026, PMID 41512568, DOI 10.1016/j.clon.2025.103993). STRONG II benchmark QA describes contouring and planning variability on one benchmark case across six centres, not patient outcomes (van Loosbroek, Radiother Oncol 2026, PMID 42744077, DOI 10.1016/j.radonc.2026.111781). Protect bowel, functional liver and central ducts; optimize drainage and control cholangitis.</w:t>
      </w:r>
    </w:p>
    <w:p>
      <w:pPr>
        <w:pStyle w:val="Heading2"/>
      </w:pPr>
      <w:r>
        <w:t>Adjuvant and biliary treatments</w:t>
      </w:r>
    </w:p>
    <w:p>
      <w:r>
        <w:t>After R1 resection, consider chemoradiation alongside the adjuvant systemic plan, with shared assessment of benefit and toxicity (BSG recommendation 42). Nodal disease warrants individualized review. Recent randomized endobiliary RFA trials did not demonstrate survival or patency benefit (PMIDs 40619373 and 37652677); this remains distinct from parenchymal RFA/MWA. PDT is not recommended outside trials; PHOTOSTENT-02 reported worse survival, with an imbalance in subsequent chemotherapy (PMID 30094069). I-125 stents plus catheter GemCis remain investigational: both arms received HAIC in Chen (PMID 39311927), so that trial does not establish HAIC benefit, pump-FUDR efficacy or transplant bridging.</w:t>
      </w:r>
    </w:p>
    <w:p>
      <w:pPr>
        <w:pStyle w:val="Heading2"/>
      </w:pPr>
      <w:r>
        <w:t>Arterial and ablative modalities</w:t>
      </w:r>
    </w:p>
    <w:p>
      <w:r>
        <w:t>Y90, TACE, percutaneous thermal ablation and histotripsy have no established routine role against the primary infiltrative hilar tumor. Do not extrapolate iCCA or HCC evidence to pCCA. Review the hilar ducts, vasculature, infection risk and potential transplant candidacy before intervention. The specific OPTN biopsy prohibition is not a blanket exclusion for every percutaneous procedure.</w:t>
      </w:r>
    </w:p>
    <w:p>
      <w:pPr>
        <w:pStyle w:val="Heading2"/>
      </w:pPr>
      <w:r>
        <w:t>Decisions requiring program approval</w:t>
      </w:r>
    </w:p>
    <w:p>
      <w:r>
        <w:t>Choose the accepted neoadjuvant regimen and radiation planning pathway, define when non-LT RT is offered outside a trial, and agree on biliary-intervention safeguards. Record local-control, symptom, patency and survival endpoints separately. This evidence revision does not itself ratify a clinical protocol.</w:t>
      </w:r>
    </w:p>
    <w:p>
      <w:pPr>
        <w:pStyle w:val="Heading2"/>
      </w:pPr>
      <w:r>
        <w:t>Additional transplant protocol evidence</w:t>
      </w:r>
    </w:p>
    <w:p>
      <w:r>
        <w:t>Hoogwater et al., BJS Open 2023 (PMID 37032423; DOI 10.1093/bjsopen/zrad025): retrospective international comparison of 49 LT recipients, 27 with neoadjuvant chemoradiotherapy and 22 without neoadjuvant therapy. Adjusted recurrence HR 0.30 (95% CI 0.09–0.97); 5-year post-LT OS 41% versus 53%, not significantly different. Full-text Table 3 reports overall vascular complications in 11/27 versus 3/22, whereas the abstract cites 9/27 versus 2/22 for hepatic vascular complications. Baseline PSC, graft type and waiting intervals differed, and a complete intention-to-treat comparison was unavailable. This supports protocol research, not omission of neoadjuvant therapy under OPTN policy.</w:t>
      </w:r>
    </w:p>
    <w:p>
      <w:pPr>
        <w:pStyle w:val="Heading2"/>
      </w:pPr>
      <w:r>
        <w:t>NCCN radiation options and source-specific thresholds</w:t>
      </w:r>
    </w:p>
    <w:p>
      <w:r>
        <w:t>NCCN Biliary Tract Cancers v1.2026, original PDF page 23 (EXTRA-1), lists chemoradiation with or without sequential chemotherapy among unresectable eCCA options without requiring prior systemic control. Page 24 (EXTRA-2) lists postoperative chemoradiation for R1 or node-positive disease and as a nonpreferred option for R0/node-negative disease; systemic therapy and clinical trial are preferred. Trial data remain limited. Therefore, the BSG recommendation for selected SBRT/PBT after systemic therapy should not be imposed as a universal prerequisite for all chemoradiation. The institutional position is individualized MDT selection, trial preference, and no claim of a proven routine survival advantage. NCCN page 23 uses ≤3 cm for clinical LT consideration; OPTN 9.5.A uses strictly &lt;3 cm when a mass is present for allocation eligibility. Keep these source-specific thresholds distinct.</w:t>
      </w:r>
    </w:p>
    <w:p>
      <w:pPr>
        <w:pStyle w:val="Heading1"/>
        <w:widowControl/>
        <w:keepNext/>
      </w:pPr>
      <w:r>
        <w:t xml:space="preserve">Revision history</w:t>
      </w:r>
    </w:p>
    <w:p>
      <w:pPr>
        <w:pStyle w:val="Normal"/>
        <w:widowControl/>
        <w:spacing w:after="120"/>
      </w:pPr>
      <w:r>
        <w:t xml:space="preserve">2026-10-25 04:38 CDT. Problem and correction: Add/update the tumor-specific systemic matrix and full-text appraisals with point-of-use source/PDF links. Preserve ordinary balanced LRT treatment of RASER/LEGACY and existing surgical context. These systemic studies inform advanced biliary cancer care, not the established pCCA transplant-neoadjuvant regimen. Preserve biopsy-route precautions and existing staging, neoadjuvant and operative gates. ICI exposure requires prospective transplant safety review.</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Primrose JN; Fox RP; Palmer DH; et al. Capecitabine compared with observation in resected biliary tract cancer (BILCAP): a randomised, controlled, multicentre, phase 3 study.. The Lancet. Oncology. 2019; 20(5):663-673. </w:t>
      </w:r>
      <w:hyperlink r:id="rId105">
        <w:r>
          <w:rPr>
            <w:color w:val="0563C1"/>
            <w:u w:val="single"/>
          </w:rPr>
          <w:t>Source</w:t>
        </w:r>
      </w:hyperlink>
      <w:r>
        <w:t xml:space="preserve"> | </w:t>
      </w:r>
      <w:hyperlink r:id="rId106">
        <w:r>
          <w:rPr>
            <w:color w:val="0563C1"/>
            <w:u w:val="single"/>
          </w:rPr>
          <w:t>Full-text access</w:t>
        </w:r>
      </w:hyperlink>
    </w:p>
    <w:p>
      <w:pPr>
        <w:pStyle w:val="Normal"/>
        <w:widowControl/>
        <w:spacing w:after="120"/>
      </w:pPr>
      <w:r>
        <w:t xml:space="preserve"/>
      </w:r>
      <w:r>
        <w:t xml:space="preserve">[V16-2] Vogel A; Ducreux M; ESMO Guidelines Committee. Electronic address: clinicalguidelines@esmo.org. ESMO Clinical Practice Guideline interim update on the management of biliary tract cancer.. ESMO open. 2025; 10(1):104003. </w:t>
      </w:r>
      <w:hyperlink r:id="rId107">
        <w:r>
          <w:rPr>
            <w:color w:val="0563C1"/>
            <w:u w:val="single"/>
          </w:rPr>
          <w:t>Source</w:t>
        </w:r>
      </w:hyperlink>
      <w:r>
        <w:t xml:space="preserve"> | </w:t>
      </w:r>
      <w:hyperlink r:id="rId108">
        <w:r>
          <w:rPr>
            <w:color w:val="0563C1"/>
            <w:u w:val="single"/>
          </w:rPr>
          <w:t>Full-text access</w:t>
        </w:r>
      </w:hyperlink>
    </w:p>
    <w:p>
      <w:pPr>
        <w:pStyle w:val="Normal"/>
        <w:widowControl/>
        <w:spacing w:after="120"/>
      </w:pPr>
      <w:r>
        <w:t xml:space="preserve"/>
      </w:r>
      <w:r>
        <w:t xml:space="preserve">[V16-3] Oh DY; Ruth He A; Qin S; et al. Durvalumab plus Gemcitabine and Cisplatin in Advanced Biliary Tract Cancer.. NEJM evidence. 2022; 1(8):EVIDoa2200015. </w:t>
      </w:r>
      <w:hyperlink r:id="rId109">
        <w:r>
          <w:rPr>
            <w:color w:val="0563C1"/>
            <w:u w:val="single"/>
          </w:rPr>
          <w:t>Source</w:t>
        </w:r>
      </w:hyperlink>
      <w:r>
        <w:t xml:space="preserve"> | </w:t>
      </w:r>
      <w:hyperlink r:id="rId110">
        <w:r>
          <w:rPr>
            <w:color w:val="0563C1"/>
            <w:u w:val="single"/>
          </w:rPr>
          <w:t>Full-text access</w:t>
        </w:r>
      </w:hyperlink>
    </w:p>
    <w:p>
      <w:pPr>
        <w:pStyle w:val="Normal"/>
        <w:widowControl/>
        <w:spacing w:after="120"/>
      </w:pPr>
      <w:r>
        <w:t xml:space="preserve"/>
      </w:r>
      <w:r>
        <w:t xml:space="preserve">[V16-4] Shroff RT; Kennedy EB; Alarcon Rozas AE; et al. Treatment of Advanced Biliary Tract Cancer: ASCO Living Guideline, Version 2026.1.0.. Journal of clinical oncology : official journal of the American Society of Clinical Oncology. 2026; :101200JCO2602462. </w:t>
      </w:r>
      <w:hyperlink r:id="rId111">
        <w:r>
          <w:rPr>
            <w:color w:val="0563C1"/>
            <w:u w:val="single"/>
          </w:rPr>
          <w:t>Source</w:t>
        </w:r>
      </w:hyperlink>
      <w:r>
        <w:t xml:space="preserve"> | </w:t>
      </w:r>
      <w:hyperlink r:id="rId112">
        <w:r>
          <w:rPr>
            <w:color w:val="0563C1"/>
            <w:u w:val="single"/>
          </w:rPr>
          <w:t>Full-text access</w:t>
        </w:r>
      </w:hyperlink>
    </w:p>
    <w:p>
      <w:pPr>
        <w:pStyle w:val="Normal"/>
        <w:widowControl/>
        <w:spacing w:after="120"/>
      </w:pPr>
      <w:r>
        <w:t xml:space="preserve"/>
      </w:r>
      <w:r>
        <w:t xml:space="preserve">[V16-5] Kelley RK; Ueno M; Yoo C; et al. Pembrolizumab in combination with gemcitabine and cisplatin compared with gemcitabine and cisplatin alone for patients with advanced biliary tract cancer (KEYNOTE-966): a randomised, double-blind, placebo-controlled, phase 3 trial.. Lancet (London, England). 2023; 401(10391):1853-1865. </w:t>
      </w:r>
      <w:hyperlink r:id="rId113">
        <w:r>
          <w:rPr>
            <w:color w:val="0563C1"/>
            <w:u w:val="single"/>
          </w:rPr>
          <w:t>Source</w:t>
        </w:r>
      </w:hyperlink>
      <w:r>
        <w:t xml:space="preserve"> | </w:t>
      </w:r>
      <w:hyperlink r:id="rId114">
        <w:r>
          <w:rPr>
            <w:color w:val="0563C1"/>
            <w:u w:val="single"/>
          </w:rPr>
          <w:t>Full-text access</w:t>
        </w:r>
      </w:hyperlink>
    </w:p>
    <w:p>
      <w:pPr>
        <w:pStyle w:val="Normal"/>
        <w:widowControl/>
        <w:spacing w:after="120"/>
      </w:pPr>
      <w:r>
        <w:t xml:space="preserve"/>
      </w:r>
      <w:r>
        <w:t xml:space="preserve">[V16-6] Valle J; Wasan H; Palmer DH; et al. Cisplatin plus gemcitabine versus gemcitabine for biliary tract cancer.. The New England journal of medicine. 2010; 362(14):1273-81. </w:t>
      </w:r>
      <w:hyperlink r:id="rId115">
        <w:r>
          <w:rPr>
            <w:color w:val="0563C1"/>
            <w:u w:val="single"/>
          </w:rPr>
          <w:t>Source</w:t>
        </w:r>
      </w:hyperlink>
      <w:r>
        <w:t xml:space="preserve"> | </w:t>
      </w:r>
      <w:hyperlink r:id="rId116">
        <w:r>
          <w:rPr>
            <w:color w:val="0563C1"/>
            <w:u w:val="single"/>
          </w:rPr>
          <w:t>Full-text access</w:t>
        </w:r>
      </w:hyperlink>
    </w:p>
    <w:p>
      <w:pPr>
        <w:pStyle w:val="Normal"/>
        <w:widowControl/>
        <w:spacing w:after="120"/>
      </w:pPr>
      <w:r>
        <w:t xml:space="preserve"/>
      </w:r>
      <w:r>
        <w:t xml:space="preserve">[V16-7] Lamarca A; Palmer DH; Wasan HS; et al. Second-line FOLFOX chemotherapy versus active symptom control for advanced biliary tract cancer (ABC-06): a phase 3, open-label, randomised, controlled trial.. The Lancet. Oncology. 2021; 22(5):690-701. </w:t>
      </w:r>
      <w:hyperlink r:id="rId117">
        <w:r>
          <w:rPr>
            <w:color w:val="0563C1"/>
            <w:u w:val="single"/>
          </w:rPr>
          <w:t>Source</w:t>
        </w:r>
      </w:hyperlink>
      <w:r>
        <w:t xml:space="preserve"> | </w:t>
      </w:r>
      <w:hyperlink r:id="rId118">
        <w:r>
          <w:rPr>
            <w:color w:val="0563C1"/>
            <w:u w:val="single"/>
          </w:rPr>
          <w:t>Full-text access</w:t>
        </w:r>
      </w:hyperlink>
    </w:p>
    <w:p>
      <w:pPr>
        <w:pStyle w:val="Normal"/>
        <w:widowControl/>
        <w:spacing w:after="120"/>
      </w:pPr>
      <w:r>
        <w:t xml:space="preserve"/>
      </w:r>
      <w:r>
        <w:t xml:space="preserve">[V16-8] Vogel A; Saborowski A; Wenzel P; et al. Nanoliposomal irinotecan and fluorouracil plus leucovorin versus fluorouracil plus leucovorin in patients with cholangiocarcinoma and gallbladder carcinoma previously treated with gemcitabine-based therapies (AIO NALIRICC): a multicentre, open-label, randomised, phase 2 trial. The lancet. Gastroenterology &amp; hepatology. 2024; 9(8):734-744. </w:t>
      </w:r>
      <w:hyperlink r:id="rId119">
        <w:r>
          <w:rPr>
            <w:color w:val="0563C1"/>
            <w:u w:val="single"/>
          </w:rPr>
          <w:t>Source</w:t>
        </w:r>
      </w:hyperlink>
      <w:r>
        <w:t xml:space="preserve"> | </w:t>
      </w:r>
      <w:hyperlink r:id="rId120">
        <w:r>
          <w:rPr>
            <w:color w:val="0563C1"/>
            <w:u w:val="single"/>
          </w:rPr>
          <w:t>Full-text access</w:t>
        </w:r>
      </w:hyperlink>
    </w:p>
    <w:p>
      <w:pPr>
        <w:pStyle w:val="Normal"/>
        <w:widowControl/>
        <w:spacing w:after="120"/>
      </w:pPr>
      <w:r>
        <w:t xml:space="preserve"/>
      </w:r>
      <w:r>
        <w:t xml:space="preserve">[V16-9] Vogel A; Sahai V; Hollebecque A; et al. An open-label study of pemigatinib in cholangiocarcinoma: final results from FIGHT-202.. ESMO open. 2024; 9(6):103488. </w:t>
      </w:r>
      <w:hyperlink r:id="rId121">
        <w:r>
          <w:rPr>
            <w:color w:val="0563C1"/>
            <w:u w:val="single"/>
          </w:rPr>
          <w:t>Source</w:t>
        </w:r>
      </w:hyperlink>
      <w:r>
        <w:t xml:space="preserve"> | </w:t>
      </w:r>
      <w:hyperlink r:id="rId122">
        <w:r>
          <w:rPr>
            <w:color w:val="0563C1"/>
            <w:u w:val="single"/>
          </w:rPr>
          <w:t>Full-text access</w:t>
        </w:r>
      </w:hyperlink>
    </w:p>
    <w:p>
      <w:pPr>
        <w:pStyle w:val="Normal"/>
        <w:widowControl/>
        <w:spacing w:after="120"/>
      </w:pPr>
      <w:r>
        <w:t xml:space="preserve"/>
      </w:r>
      <w:r>
        <w:t xml:space="preserve">[V16-10] Goyal L; Meric-Bernstam F; Hollebecque A; et al. Futibatinib for FGFR2-Rearranged Intrahepatic Cholangiocarcinoma.. The New England journal of medicine. 2023; 388(3):228-239. </w:t>
      </w:r>
      <w:hyperlink r:id="rId123">
        <w:r>
          <w:rPr>
            <w:color w:val="0563C1"/>
            <w:u w:val="single"/>
          </w:rPr>
          <w:t>Source</w:t>
        </w:r>
      </w:hyperlink>
      <w:r>
        <w:t xml:space="preserve"> | </w:t>
      </w:r>
      <w:hyperlink r:id="rId124">
        <w:r>
          <w:rPr>
            <w:color w:val="0563C1"/>
            <w:u w:val="single"/>
          </w:rPr>
          <w:t>Full-text access</w:t>
        </w:r>
      </w:hyperlink>
    </w:p>
    <w:p>
      <w:pPr>
        <w:pStyle w:val="Normal"/>
        <w:widowControl/>
        <w:spacing w:after="120"/>
      </w:pPr>
      <w:r>
        <w:t xml:space="preserve"/>
      </w:r>
      <w:r>
        <w:t xml:space="preserve">[V16-11] Zhu AX; Macarulla T; Javle MM; et al. Final Overall Survival Efficacy Results of Ivosidenib for Patients With Advanced Cholangiocarcinoma With IDH1 Mutation: The Phase 3 Randomized Clinical ClarIDHy Trial.. JAMA oncology. 2021; 7(11):1669-1677. </w:t>
      </w:r>
      <w:hyperlink r:id="rId125">
        <w:r>
          <w:rPr>
            <w:color w:val="0563C1"/>
            <w:u w:val="single"/>
          </w:rPr>
          <w:t>Source</w:t>
        </w:r>
      </w:hyperlink>
      <w:r>
        <w:t xml:space="preserve"> | </w:t>
      </w:r>
      <w:hyperlink r:id="rId126">
        <w:r>
          <w:rPr>
            <w:color w:val="0563C1"/>
            <w:u w:val="single"/>
          </w:rPr>
          <w:t>Full-text access</w:t>
        </w:r>
      </w:hyperlink>
    </w:p>
    <w:p>
      <w:pPr>
        <w:pStyle w:val="Normal"/>
        <w:widowControl/>
        <w:spacing w:after="120"/>
      </w:pPr>
      <w:r>
        <w:t xml:space="preserve"/>
      </w:r>
      <w:r>
        <w:t xml:space="preserve">[V16-12] Subbiah V; Lassen U; Élez E; et al. Dabrafenib plus trametinib in patients with BRAF(V600E)-mutated biliary tract cancer (ROAR): a phase 2, open-label, single-arm, multicentre basket trial.. The Lancet. Oncology. 2020; 21(9):1234-1243. </w:t>
      </w:r>
      <w:hyperlink r:id="rId127">
        <w:r>
          <w:rPr>
            <w:color w:val="0563C1"/>
            <w:u w:val="single"/>
          </w:rPr>
          <w:t>Source</w:t>
        </w:r>
      </w:hyperlink>
      <w:r>
        <w:t xml:space="preserve"> | </w:t>
      </w:r>
      <w:hyperlink r:id="rId128">
        <w:r>
          <w:rPr>
            <w:color w:val="0563C1"/>
            <w:u w:val="single"/>
          </w:rPr>
          <w:t>Full-text access</w:t>
        </w:r>
      </w:hyperlink>
    </w:p>
    <w:p>
      <w:pPr>
        <w:pStyle w:val="Normal"/>
        <w:widowControl/>
        <w:spacing w:after="120"/>
      </w:pPr>
      <w:r>
        <w:t xml:space="preserve"/>
      </w:r>
      <w:r>
        <w:t xml:space="preserve">[V16-13] US Food and Drug Administration. FDA grants accelerated approval to zanidatamab hrii for previously treated unresectable or metastatic HER2 positive biliary tract cancer. FDA approval announcement. 2024. </w:t>
      </w:r>
      <w:hyperlink r:id="rId129">
        <w:r>
          <w:rPr>
            <w:color w:val="0563C1"/>
            <w:u w:val="single"/>
          </w:rPr>
          <w:t>Source</w:t>
        </w:r>
      </w:hyperlink>
      <w:r>
        <w:t xml:space="preserve"> | Local PDF not available in this update</w:t>
      </w:r>
    </w:p>
    <w:p>
      <w:pPr>
        <w:pStyle w:val="Normal"/>
        <w:widowControl/>
        <w:spacing w:after="120"/>
      </w:pPr>
      <w:r>
        <w:t xml:space="preserve"/>
      </w:r>
      <w:r>
        <w:t xml:space="preserve">[V16-14] US Food and Drug Administration. FDA approves zenocutuzumab zbco for advanced unresectable or metastatic cholangiocarcinoma. FDA approval announcement. 2026. </w:t>
      </w:r>
      <w:hyperlink r:id="rId130">
        <w:r>
          <w:rPr>
            <w:color w:val="0563C1"/>
            <w:u w:val="single"/>
          </w:rPr>
          <w:t>Source</w:t>
        </w:r>
      </w:hyperlink>
      <w:r>
        <w:t xml:space="preserve"> | Local PDF not available in this update</w:t>
      </w:r>
    </w:p>
    <w:p>
      <w:pPr>
        <w:pStyle w:val="Normal"/>
        <w:widowControl/>
        <w:spacing w:after="120"/>
      </w:pPr>
      <w:r>
        <w:t xml:space="preserve"/>
      </w:r>
      <w:r>
        <w:t xml:space="preserve">[V16-15] Kuriyama, Naohisa; Mizuno, Shugo; Segi, Yuki; et al. Long-Term Outcomes of a Multidisciplinary Treatment Strategy Using Neoadjuvant Gemcitabine Plus S-1 Based on Anatomical Resectability Classification and Lymph Node Status in Patients with Perihilar Cholangiocarcinoma. Cancers. 2026; 18(19). </w:t>
      </w:r>
      <w:hyperlink r:id="rId131">
        <w:r>
          <w:rPr>
            <w:color w:val="0563C1"/>
            <w:u w:val="single"/>
          </w:rPr>
          <w:t>Source</w:t>
        </w:r>
      </w:hyperlink>
      <w:r>
        <w:t xml:space="preserve"> | Local PDF not available in this update</w:t>
      </w:r>
    </w:p>
    <w:p>
      <w:pPr>
        <w:pStyle w:val="Normal"/>
        <w:widowControl/>
        <w:spacing w:after="120"/>
      </w:pPr>
      <w:r>
        <w:t xml:space="preserve"/>
      </w:r>
      <w:r>
        <w:t xml:space="preserve">[V16-16] Murakami, Takashi; Matsuyama, Ryusei; Yabushita, Yasuhiro; et al. Efficacy of Conversion Surgery for Initially Unresectable Biliary Tract Cancer That Has Responded to Down-Staging Chemotherapy. Cancers. 2025; 17(5). </w:t>
      </w:r>
      <w:hyperlink r:id="rId132">
        <w:r>
          <w:rPr>
            <w:color w:val="0563C1"/>
            <w:u w:val="single"/>
          </w:rPr>
          <w:t>Source</w:t>
        </w:r>
      </w:hyperlink>
      <w:r>
        <w:t xml:space="preserve"> | Local PDF not available in this update</w:t>
      </w:r>
    </w:p>
    <w:p>
      <w:pPr>
        <w:pStyle w:val="Normal"/>
        <w:widowControl/>
        <w:spacing w:after="120"/>
      </w:pPr>
      <w:r>
        <w:t xml:space="preserve"/>
      </w:r>
      <w:r>
        <w:t xml:space="preserve">[V16-17] Takenouchi, Akira; Miyake, Kentaro; Sahara, Kota; et al. Intraoperative Paraaortic Lymph Node Sampling to Guide Surgical Decision-Making in Perihilar Cholangiocarcinoma. Annals of surgical oncology. 2026. </w:t>
      </w:r>
      <w:hyperlink r:id="rId133">
        <w:r>
          <w:rPr>
            <w:color w:val="0563C1"/>
            <w:u w:val="single"/>
          </w:rPr>
          <w:t>Source</w:t>
        </w:r>
      </w:hyperlink>
      <w:r>
        <w:t xml:space="preserve"> | Local PDF not available in this update</w:t>
      </w:r>
    </w:p>
    <w:p>
      <w:pPr>
        <w:pStyle w:val="Normal"/>
        <w:widowControl/>
        <w:spacing w:after="120"/>
      </w:pPr>
      <w:r>
        <w:t xml:space="preserve"/>
      </w:r>
      <w:r>
        <w:t xml:space="preserve">[V16-18] Nitta, Nobuhito; Ohgi, Katsuhisa; Sugiura, Teiichi; et al. Prognostic Impact of Paraaortic Lymph Node Metastasis in Extrahepatic Cholangiocarcinoma. World journal of surgery. 2020; 45(2):581-589. </w:t>
      </w:r>
      <w:hyperlink r:id="rId134">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pCCA-R1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2 cited study lines rest on full-text reading (complete main text; relevant complete sections of long guidelines) and 2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Perihilar CCA system roadmap V16 · Extrahepatic-disease update, 29 October 2026 · draft, not ratified</w:t>
    </w:r>
    <w:r>
      <w:rPr>
        <w:sz w:val="15"/>
        <w:szCs w:val="15"/>
      </w:rPr>
      <w:t xml:space="preserve">	</w:t>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Heading1">
    <w:name w:val="heading 1"/>
    <w:pPr>
      <w:keepNext/>
    </w:pPr>
    <w:rPr>
      <w:b/>
      <w:sz w:val="32"/>
    </w:rPr>
  </w:style>
  <w:style w:type="paragraph" w:customStyle="1" w:styleId="Heading2">
    <w:name w:val="heading 2"/>
    <w:pPr>
      <w:keepNext/>
    </w:pPr>
    <w:rPr>
      <w:b/>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oi.org/10.1016/S1470-2045(18)30915-X" TargetMode="External"/><Relationship Id="rId10" Type="http://schemas.openxmlformats.org/officeDocument/2006/relationships/hyperlink" Target="https://drliuhao.github.io/mh-liver-pathways/evidence-libraries/" TargetMode="External"/><Relationship Id="rId11" Type="http://schemas.openxmlformats.org/officeDocument/2006/relationships/hyperlink" Target="https://doi.org/10.1016/j.esmoop.2024.104003" TargetMode="External"/><Relationship Id="rId12" Type="http://schemas.openxmlformats.org/officeDocument/2006/relationships/hyperlink" Target="https://drliuhao.github.io/mh-liver-pathways/evidence-libraries/" TargetMode="External"/><Relationship Id="rId13" Type="http://schemas.openxmlformats.org/officeDocument/2006/relationships/hyperlink" Target="https://doi.org/10.1056/EVIDoa2200015" TargetMode="External"/><Relationship Id="rId14" Type="http://schemas.openxmlformats.org/officeDocument/2006/relationships/hyperlink" Target="https://drliuhao.github.io/mh-liver-pathways/evidence-libraries/" TargetMode="External"/><Relationship Id="rId15" Type="http://schemas.openxmlformats.org/officeDocument/2006/relationships/hyperlink" Target="https://doi.org/10.1016/j.esmoop.2024.104003" TargetMode="External"/><Relationship Id="rId16" Type="http://schemas.openxmlformats.org/officeDocument/2006/relationships/hyperlink" Target="https://drliuhao.github.io/mh-liver-pathways/evidence-libraries/" TargetMode="External"/><Relationship Id="rId17" Type="http://schemas.openxmlformats.org/officeDocument/2006/relationships/hyperlink" Target="https://doi.org/10.1200/JCO-26-02462" TargetMode="External"/><Relationship Id="rId18" Type="http://schemas.openxmlformats.org/officeDocument/2006/relationships/hyperlink" Target="https://drliuhao.github.io/mh-liver-pathways/evidence-libraries/" TargetMode="External"/><Relationship Id="rId19" Type="http://schemas.openxmlformats.org/officeDocument/2006/relationships/hyperlink" Target="https://doi.org/10.1016/S0140-6736(23)00727-4" TargetMode="External"/><Relationship Id="rId20" Type="http://schemas.openxmlformats.org/officeDocument/2006/relationships/hyperlink" Target="https://drliuhao.github.io/mh-liver-pathways/evidence-libraries/" TargetMode="External"/><Relationship Id="rId21" Type="http://schemas.openxmlformats.org/officeDocument/2006/relationships/hyperlink" Target="https://doi.org/10.1016/j.esmoop.2024.104003" TargetMode="External"/><Relationship Id="rId22" Type="http://schemas.openxmlformats.org/officeDocument/2006/relationships/hyperlink" Target="https://drliuhao.github.io/mh-liver-pathways/evidence-libraries/" TargetMode="External"/><Relationship Id="rId23" Type="http://schemas.openxmlformats.org/officeDocument/2006/relationships/hyperlink" Target="https://doi.org/10.1200/JCO-26-02462" TargetMode="External"/><Relationship Id="rId24" Type="http://schemas.openxmlformats.org/officeDocument/2006/relationships/hyperlink" Target="https://drliuhao.github.io/mh-liver-pathways/evidence-libraries/" TargetMode="External"/><Relationship Id="rId25" Type="http://schemas.openxmlformats.org/officeDocument/2006/relationships/hyperlink" Target="https://doi.org/10.1056/NEJMoa0908721" TargetMode="External"/><Relationship Id="rId26" Type="http://schemas.openxmlformats.org/officeDocument/2006/relationships/hyperlink" Target="https://drliuhao.github.io/mh-liver-pathways/evidence-libraries/" TargetMode="External"/><Relationship Id="rId27" Type="http://schemas.openxmlformats.org/officeDocument/2006/relationships/hyperlink" Target="https://doi.org/10.1016/j.esmoop.2024.104003" TargetMode="External"/><Relationship Id="rId28" Type="http://schemas.openxmlformats.org/officeDocument/2006/relationships/hyperlink" Target="https://drliuhao.github.io/mh-liver-pathways/evidence-libraries/" TargetMode="External"/><Relationship Id="rId29" Type="http://schemas.openxmlformats.org/officeDocument/2006/relationships/hyperlink" Target="https://doi.org/10.1200/JCO-26-02462" TargetMode="External"/><Relationship Id="rId30" Type="http://schemas.openxmlformats.org/officeDocument/2006/relationships/hyperlink" Target="https://drliuhao.github.io/mh-liver-pathways/evidence-libraries/" TargetMode="External"/><Relationship Id="rId31" Type="http://schemas.openxmlformats.org/officeDocument/2006/relationships/hyperlink" Target="https://doi.org/10.1016/S1470-2045(21)00027-9" TargetMode="External"/><Relationship Id="rId32" Type="http://schemas.openxmlformats.org/officeDocument/2006/relationships/hyperlink" Target="https://drliuhao.github.io/mh-liver-pathways/evidence-libraries/" TargetMode="External"/><Relationship Id="rId33" Type="http://schemas.openxmlformats.org/officeDocument/2006/relationships/hyperlink" Target="https://doi.org/10.1200/JCO-26-02462" TargetMode="External"/><Relationship Id="rId34" Type="http://schemas.openxmlformats.org/officeDocument/2006/relationships/hyperlink" Target="https://drliuhao.github.io/mh-liver-pathways/evidence-libraries/" TargetMode="External"/><Relationship Id="rId35" Type="http://schemas.openxmlformats.org/officeDocument/2006/relationships/hyperlink" Target="https://doi.org/10.1016/j.esmoop.2024.104003" TargetMode="External"/><Relationship Id="rId36" Type="http://schemas.openxmlformats.org/officeDocument/2006/relationships/hyperlink" Target="https://drliuhao.github.io/mh-liver-pathways/evidence-libraries/" TargetMode="External"/><Relationship Id="rId37" Type="http://schemas.openxmlformats.org/officeDocument/2006/relationships/hyperlink" Target="https://doi.org/10.1016/S2468-1253(24)00119-5" TargetMode="External"/><Relationship Id="rId38" Type="http://schemas.openxmlformats.org/officeDocument/2006/relationships/hyperlink" Target="https://drliuhao.github.io/mh-liver-pathways/evidence-libraries/" TargetMode="External"/><Relationship Id="rId39" Type="http://schemas.openxmlformats.org/officeDocument/2006/relationships/hyperlink" Target="https://doi.org/10.1200/JCO-26-02462" TargetMode="External"/><Relationship Id="rId40" Type="http://schemas.openxmlformats.org/officeDocument/2006/relationships/hyperlink" Target="https://drliuhao.github.io/mh-liver-pathways/evidence-libraries/" TargetMode="External"/><Relationship Id="rId41" Type="http://schemas.openxmlformats.org/officeDocument/2006/relationships/hyperlink" Target="https://doi.org/10.1016/j.esmoop.2024.103488" TargetMode="External"/><Relationship Id="rId42" Type="http://schemas.openxmlformats.org/officeDocument/2006/relationships/hyperlink" Target="https://drliuhao.github.io/mh-liver-pathways/evidence-libraries/" TargetMode="External"/><Relationship Id="rId43" Type="http://schemas.openxmlformats.org/officeDocument/2006/relationships/hyperlink" Target="https://doi.org/10.1056/NEJMoa2206834" TargetMode="External"/><Relationship Id="rId44" Type="http://schemas.openxmlformats.org/officeDocument/2006/relationships/hyperlink" Target="https://drliuhao.github.io/mh-liver-pathways/evidence-libraries/" TargetMode="External"/><Relationship Id="rId45" Type="http://schemas.openxmlformats.org/officeDocument/2006/relationships/hyperlink" Target="https://doi.org/10.1200/JCO-26-02462" TargetMode="External"/><Relationship Id="rId46" Type="http://schemas.openxmlformats.org/officeDocument/2006/relationships/hyperlink" Target="https://drliuhao.github.io/mh-liver-pathways/evidence-libraries/" TargetMode="External"/><Relationship Id="rId47" Type="http://schemas.openxmlformats.org/officeDocument/2006/relationships/hyperlink" Target="https://doi.org/10.1001/jamaoncol.2021.3836" TargetMode="External"/><Relationship Id="rId48" Type="http://schemas.openxmlformats.org/officeDocument/2006/relationships/hyperlink" Target="https://drliuhao.github.io/mh-liver-pathways/evidence-libraries/" TargetMode="External"/><Relationship Id="rId49" Type="http://schemas.openxmlformats.org/officeDocument/2006/relationships/hyperlink" Target="https://doi.org/10.1016/j.esmoop.2024.104003" TargetMode="External"/><Relationship Id="rId50" Type="http://schemas.openxmlformats.org/officeDocument/2006/relationships/hyperlink" Target="https://drliuhao.github.io/mh-liver-pathways/evidence-libraries/" TargetMode="External"/><Relationship Id="rId51" Type="http://schemas.openxmlformats.org/officeDocument/2006/relationships/hyperlink" Target="https://doi.org/10.1200/JCO-26-02462" TargetMode="External"/><Relationship Id="rId52" Type="http://schemas.openxmlformats.org/officeDocument/2006/relationships/hyperlink" Target="https://drliuhao.github.io/mh-liver-pathways/evidence-libraries/" TargetMode="External"/><Relationship Id="rId53" Type="http://schemas.openxmlformats.org/officeDocument/2006/relationships/hyperlink" Target="https://doi.org/10.1016/S1470-2045(20)30321-1" TargetMode="External"/><Relationship Id="rId54" Type="http://schemas.openxmlformats.org/officeDocument/2006/relationships/hyperlink" Target="https://drliuhao.github.io/mh-liver-pathways/evidence-libraries/" TargetMode="External"/><Relationship Id="rId55" Type="http://schemas.openxmlformats.org/officeDocument/2006/relationships/hyperlink" Target="https://doi.org/10.1016/j.esmoop.2024.104003" TargetMode="External"/><Relationship Id="rId56" Type="http://schemas.openxmlformats.org/officeDocument/2006/relationships/hyperlink" Target="https://drliuhao.github.io/mh-liver-pathways/evidence-libraries/" TargetMode="External"/><Relationship Id="rId57" Type="http://schemas.openxmlformats.org/officeDocument/2006/relationships/hyperlink" Target="https://doi.org/10.1200/JCO-26-02462" TargetMode="External"/><Relationship Id="rId58" Type="http://schemas.openxmlformats.org/officeDocument/2006/relationships/hyperlink" Target="https://drliuhao.github.io/mh-liver-pathways/evidence-libraries/" TargetMode="External"/><Relationship Id="rId59" Type="http://schemas.openxmlformats.org/officeDocument/2006/relationships/hyperlink" Target="https://www.fda.gov/drugs/resources-information-approved-drugs/fda-grants-accelerated-approval-zanidatamab-hrii-previously-treated-unresectable-or-metastatic-her2" TargetMode="External"/><Relationship Id="rId60" Type="http://schemas.openxmlformats.org/officeDocument/2006/relationships/hyperlink" Target="https://doi.org/10.1016/j.esmoop.2024.104003" TargetMode="External"/><Relationship Id="rId61" Type="http://schemas.openxmlformats.org/officeDocument/2006/relationships/hyperlink" Target="https://drliuhao.github.io/mh-liver-pathways/evidence-libraries/" TargetMode="External"/><Relationship Id="rId62" Type="http://schemas.openxmlformats.org/officeDocument/2006/relationships/hyperlink" Target="https://doi.org/10.1200/JCO-26-02462" TargetMode="External"/><Relationship Id="rId63" Type="http://schemas.openxmlformats.org/officeDocument/2006/relationships/hyperlink" Target="https://drliuhao.github.io/mh-liver-pathways/evidence-libraries/" TargetMode="External"/><Relationship Id="rId64" Type="http://schemas.openxmlformats.org/officeDocument/2006/relationships/hyperlink" Target="https://www.fda.gov/drugs/resources-information-approved-drugs/fda-approves-zenocutuzumab-zbco-advanced-unresectable-or-metastatic-cholangiocarcinoma" TargetMode="External"/><Relationship Id="rId65" Type="http://schemas.openxmlformats.org/officeDocument/2006/relationships/hyperlink" Target="https://doi.org/10.1200/JCO-26-02462" TargetMode="External"/><Relationship Id="rId66" Type="http://schemas.openxmlformats.org/officeDocument/2006/relationships/hyperlink" Target="https://drliuhao.github.io/mh-liver-pathways/evidence-libraries/" TargetMode="External"/><Relationship Id="rId67" Type="http://schemas.openxmlformats.org/officeDocument/2006/relationships/hyperlink" Target="https://doi.org/10.1200/JCO-26-02462" TargetMode="External"/><Relationship Id="rId68" Type="http://schemas.openxmlformats.org/officeDocument/2006/relationships/hyperlink" Target="https://drliuhao.github.io/mh-liver-pathways/evidence-libraries/" TargetMode="External"/><Relationship Id="rId69" Type="http://schemas.openxmlformats.org/officeDocument/2006/relationships/hyperlink" Target="https://doi.org/10.1016/j.esmoop.2024.104003" TargetMode="External"/><Relationship Id="rId70" Type="http://schemas.openxmlformats.org/officeDocument/2006/relationships/hyperlink" Target="https://drliuhao.github.io/mh-liver-pathways/evidence-libraries/" TargetMode="External"/><Relationship Id="rId71" Type="http://schemas.openxmlformats.org/officeDocument/2006/relationships/hyperlink" Target="https://doi.org/10.1200/JCO-26-02462" TargetMode="External"/><Relationship Id="rId72" Type="http://schemas.openxmlformats.org/officeDocument/2006/relationships/hyperlink" Target="https://drliuhao.github.io/mh-liver-pathways/evidence-libraries/" TargetMode="External"/><Relationship Id="rId73" Type="http://schemas.openxmlformats.org/officeDocument/2006/relationships/hyperlink" Target="https://doi.org/10.1016/S2468-1253(24)00119-5" TargetMode="External"/><Relationship Id="rId74" Type="http://schemas.openxmlformats.org/officeDocument/2006/relationships/hyperlink" Target="https://drliuhao.github.io/mh-liver-pathways/evidence-libraries/" TargetMode="External"/><Relationship Id="rId75" Type="http://schemas.openxmlformats.org/officeDocument/2006/relationships/hyperlink" Target="https://doi.org/10.1016/S1470-2045(18)30915-X" TargetMode="External"/><Relationship Id="rId76" Type="http://schemas.openxmlformats.org/officeDocument/2006/relationships/hyperlink" Target="https://drliuhao.github.io/mh-liver-pathways/evidence-libraries/" TargetMode="External"/><Relationship Id="rId77" Type="http://schemas.openxmlformats.org/officeDocument/2006/relationships/hyperlink" Target="https://doi.org/10.1016/j.esmoop.2024.104003" TargetMode="External"/><Relationship Id="rId78" Type="http://schemas.openxmlformats.org/officeDocument/2006/relationships/hyperlink" Target="https://drliuhao.github.io/mh-liver-pathways/evidence-libraries/" TargetMode="External"/><Relationship Id="rId79" Type="http://schemas.openxmlformats.org/officeDocument/2006/relationships/hyperlink" Target="https://doi.org/10.1056/EVIDoa2200015" TargetMode="External"/><Relationship Id="rId80" Type="http://schemas.openxmlformats.org/officeDocument/2006/relationships/hyperlink" Target="https://drliuhao.github.io/mh-liver-pathways/evidence-libraries/" TargetMode="External"/><Relationship Id="rId81" Type="http://schemas.openxmlformats.org/officeDocument/2006/relationships/hyperlink" Target="https://doi.org/10.1200/JCO-26-02462" TargetMode="External"/><Relationship Id="rId82" Type="http://schemas.openxmlformats.org/officeDocument/2006/relationships/hyperlink" Target="https://drliuhao.github.io/mh-liver-pathways/evidence-libraries/" TargetMode="External"/><Relationship Id="rId83" Type="http://schemas.openxmlformats.org/officeDocument/2006/relationships/hyperlink" Target="https://doi.org/10.1016/S0140-6736(23)00727-4" TargetMode="External"/><Relationship Id="rId84" Type="http://schemas.openxmlformats.org/officeDocument/2006/relationships/hyperlink" Target="https://drliuhao.github.io/mh-liver-pathways/evidence-libraries/" TargetMode="External"/><Relationship Id="rId85" Type="http://schemas.openxmlformats.org/officeDocument/2006/relationships/hyperlink" Target="https://doi.org/10.1056/NEJMoa0908721" TargetMode="External"/><Relationship Id="rId86" Type="http://schemas.openxmlformats.org/officeDocument/2006/relationships/hyperlink" Target="https://drliuhao.github.io/mh-liver-pathways/evidence-libraries/" TargetMode="External"/><Relationship Id="rId87" Type="http://schemas.openxmlformats.org/officeDocument/2006/relationships/hyperlink" Target="https://doi.org/10.1016/S1470-2045(21)00027-9" TargetMode="External"/><Relationship Id="rId88" Type="http://schemas.openxmlformats.org/officeDocument/2006/relationships/hyperlink" Target="https://drliuhao.github.io/mh-liver-pathways/evidence-libraries/" TargetMode="External"/><Relationship Id="rId89" Type="http://schemas.openxmlformats.org/officeDocument/2006/relationships/hyperlink" Target="https://doi.org/10.1016/S2468-1253(24)00119-5" TargetMode="External"/><Relationship Id="rId90" Type="http://schemas.openxmlformats.org/officeDocument/2006/relationships/hyperlink" Target="https://drliuhao.github.io/mh-liver-pathways/evidence-libraries/" TargetMode="External"/><Relationship Id="rId91" Type="http://schemas.openxmlformats.org/officeDocument/2006/relationships/hyperlink" Target="https://doi.org/10.1016/j.esmoop.2024.103488" TargetMode="External"/><Relationship Id="rId92" Type="http://schemas.openxmlformats.org/officeDocument/2006/relationships/hyperlink" Target="https://drliuhao.github.io/mh-liver-pathways/evidence-libraries/" TargetMode="External"/><Relationship Id="rId93" Type="http://schemas.openxmlformats.org/officeDocument/2006/relationships/hyperlink" Target="https://doi.org/10.1056/NEJMoa2206834" TargetMode="External"/><Relationship Id="rId94" Type="http://schemas.openxmlformats.org/officeDocument/2006/relationships/hyperlink" Target="https://drliuhao.github.io/mh-liver-pathways/evidence-libraries/" TargetMode="External"/><Relationship Id="rId95" Type="http://schemas.openxmlformats.org/officeDocument/2006/relationships/hyperlink" Target="https://doi.org/10.1001/jamaoncol.2021.3836" TargetMode="External"/><Relationship Id="rId96" Type="http://schemas.openxmlformats.org/officeDocument/2006/relationships/hyperlink" Target="https://drliuhao.github.io/mh-liver-pathways/evidence-libraries/" TargetMode="External"/><Relationship Id="rId97" Type="http://schemas.openxmlformats.org/officeDocument/2006/relationships/hyperlink" Target="https://doi.org/10.1016/S1470-2045(20)30321-1" TargetMode="External"/><Relationship Id="rId98" Type="http://schemas.openxmlformats.org/officeDocument/2006/relationships/hyperlink" Target="https://drliuhao.github.io/mh-liver-pathways/evidence-libraries/" TargetMode="External"/><Relationship Id="rId99" Type="http://schemas.openxmlformats.org/officeDocument/2006/relationships/hyperlink" Target="https://www.fda.gov/drugs/resources-information-approved-drugs/fda-grants-accelerated-approval-zanidatamab-hrii-previously-treated-unresectable-or-metastatic-her2" TargetMode="External"/><Relationship Id="rId100" Type="http://schemas.openxmlformats.org/officeDocument/2006/relationships/hyperlink" Target="https://www.fda.gov/drugs/resources-information-approved-drugs/fda-approves-zenocutuzumab-zbco-advanced-unresectable-or-metastatic-cholangiocarcinoma" TargetMode="External"/><Relationship Id="rId101" Type="http://schemas.openxmlformats.org/officeDocument/2006/relationships/hyperlink" Target="https://doi.org/10.3390/cancers18193238" TargetMode="External"/><Relationship Id="rId102" Type="http://schemas.openxmlformats.org/officeDocument/2006/relationships/hyperlink" Target="https://doi.org/10.3390/cancers17050873" TargetMode="External"/><Relationship Id="rId103" Type="http://schemas.openxmlformats.org/officeDocument/2006/relationships/hyperlink" Target="https://doi.org/10.1245/s10434-026-20612-5" TargetMode="External"/><Relationship Id="rId104" Type="http://schemas.openxmlformats.org/officeDocument/2006/relationships/hyperlink" Target="https://doi.org/10.1007/s00268-020-05834-2" TargetMode="External"/><Relationship Id="rId105" Type="http://schemas.openxmlformats.org/officeDocument/2006/relationships/hyperlink" Target="https://doi.org/10.1016/S1470-2045(18)30915-X" TargetMode="External"/><Relationship Id="rId106" Type="http://schemas.openxmlformats.org/officeDocument/2006/relationships/hyperlink" Target="https://drliuhao.github.io/mh-liver-pathways/evidence-libraries/" TargetMode="External"/><Relationship Id="rId107" Type="http://schemas.openxmlformats.org/officeDocument/2006/relationships/hyperlink" Target="https://doi.org/10.1016/j.esmoop.2024.104003" TargetMode="External"/><Relationship Id="rId108" Type="http://schemas.openxmlformats.org/officeDocument/2006/relationships/hyperlink" Target="https://drliuhao.github.io/mh-liver-pathways/evidence-libraries/" TargetMode="External"/><Relationship Id="rId109" Type="http://schemas.openxmlformats.org/officeDocument/2006/relationships/hyperlink" Target="https://doi.org/10.1056/EVIDoa2200015" TargetMode="External"/><Relationship Id="rId110" Type="http://schemas.openxmlformats.org/officeDocument/2006/relationships/hyperlink" Target="https://drliuhao.github.io/mh-liver-pathways/evidence-libraries/" TargetMode="External"/><Relationship Id="rId111" Type="http://schemas.openxmlformats.org/officeDocument/2006/relationships/hyperlink" Target="https://doi.org/10.1200/JCO-26-02462" TargetMode="External"/><Relationship Id="rId112" Type="http://schemas.openxmlformats.org/officeDocument/2006/relationships/hyperlink" Target="https://drliuhao.github.io/mh-liver-pathways/evidence-libraries/" TargetMode="External"/><Relationship Id="rId113" Type="http://schemas.openxmlformats.org/officeDocument/2006/relationships/hyperlink" Target="https://doi.org/10.1016/S0140-6736(23)00727-4" TargetMode="External"/><Relationship Id="rId114" Type="http://schemas.openxmlformats.org/officeDocument/2006/relationships/hyperlink" Target="https://drliuhao.github.io/mh-liver-pathways/evidence-libraries/" TargetMode="External"/><Relationship Id="rId115" Type="http://schemas.openxmlformats.org/officeDocument/2006/relationships/hyperlink" Target="https://doi.org/10.1056/NEJMoa0908721" TargetMode="External"/><Relationship Id="rId116" Type="http://schemas.openxmlformats.org/officeDocument/2006/relationships/hyperlink" Target="https://drliuhao.github.io/mh-liver-pathways/evidence-libraries/" TargetMode="External"/><Relationship Id="rId117" Type="http://schemas.openxmlformats.org/officeDocument/2006/relationships/hyperlink" Target="https://doi.org/10.1016/S1470-2045(21)00027-9" TargetMode="External"/><Relationship Id="rId118" Type="http://schemas.openxmlformats.org/officeDocument/2006/relationships/hyperlink" Target="https://drliuhao.github.io/mh-liver-pathways/evidence-libraries/" TargetMode="External"/><Relationship Id="rId119" Type="http://schemas.openxmlformats.org/officeDocument/2006/relationships/hyperlink" Target="https://doi.org/10.1016/S2468-1253(24)00119-5" TargetMode="External"/><Relationship Id="rId120" Type="http://schemas.openxmlformats.org/officeDocument/2006/relationships/hyperlink" Target="https://drliuhao.github.io/mh-liver-pathways/evidence-libraries/" TargetMode="External"/><Relationship Id="rId121" Type="http://schemas.openxmlformats.org/officeDocument/2006/relationships/hyperlink" Target="https://doi.org/10.1016/j.esmoop.2024.103488" TargetMode="External"/><Relationship Id="rId122" Type="http://schemas.openxmlformats.org/officeDocument/2006/relationships/hyperlink" Target="https://drliuhao.github.io/mh-liver-pathways/evidence-libraries/" TargetMode="External"/><Relationship Id="rId123" Type="http://schemas.openxmlformats.org/officeDocument/2006/relationships/hyperlink" Target="https://doi.org/10.1056/NEJMoa2206834" TargetMode="External"/><Relationship Id="rId124" Type="http://schemas.openxmlformats.org/officeDocument/2006/relationships/hyperlink" Target="https://drliuhao.github.io/mh-liver-pathways/evidence-libraries/" TargetMode="External"/><Relationship Id="rId125" Type="http://schemas.openxmlformats.org/officeDocument/2006/relationships/hyperlink" Target="https://doi.org/10.1001/jamaoncol.2021.3836" TargetMode="External"/><Relationship Id="rId126" Type="http://schemas.openxmlformats.org/officeDocument/2006/relationships/hyperlink" Target="https://drliuhao.github.io/mh-liver-pathways/evidence-libraries/" TargetMode="External"/><Relationship Id="rId127" Type="http://schemas.openxmlformats.org/officeDocument/2006/relationships/hyperlink" Target="https://doi.org/10.1016/S1470-2045(20)30321-1" TargetMode="External"/><Relationship Id="rId128" Type="http://schemas.openxmlformats.org/officeDocument/2006/relationships/hyperlink" Target="https://drliuhao.github.io/mh-liver-pathways/evidence-libraries/" TargetMode="External"/><Relationship Id="rId129" Type="http://schemas.openxmlformats.org/officeDocument/2006/relationships/hyperlink" Target="https://www.fda.gov/drugs/resources-information-approved-drugs/fda-grants-accelerated-approval-zanidatamab-hrii-previously-treated-unresectable-or-metastatic-her2" TargetMode="External"/><Relationship Id="rId130" Type="http://schemas.openxmlformats.org/officeDocument/2006/relationships/hyperlink" Target="https://www.fda.gov/drugs/resources-information-approved-drugs/fda-approves-zenocutuzumab-zbco-advanced-unresectable-or-metastatic-cholangiocarcinoma" TargetMode="External"/><Relationship Id="rId131" Type="http://schemas.openxmlformats.org/officeDocument/2006/relationships/hyperlink" Target="https://doi.org/10.3390/cancers18193238" TargetMode="External"/><Relationship Id="rId132" Type="http://schemas.openxmlformats.org/officeDocument/2006/relationships/hyperlink" Target="https://doi.org/10.3390/cancers17050873" TargetMode="External"/><Relationship Id="rId133" Type="http://schemas.openxmlformats.org/officeDocument/2006/relationships/hyperlink" Target="https://doi.org/10.1245/s10434-026-20612-5" TargetMode="External"/><Relationship Id="rId134" Type="http://schemas.openxmlformats.org/officeDocument/2006/relationships/hyperlink" Target="https://doi.org/10.1007/s00268-020-05834-2"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Perihilar CCA system roadmap v0.7</dc:title>
  <dc:subject>Perihilar cholangiocarcinoma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2026-10-10T04:29:16.681Z</dcterms:created>
  <dcterms:modified xsi:type="dcterms:W3CDTF">2026-10-29T14:21:30Z</dcterms:modified>
</cp:coreProperties>
</file>

<file path=docProps/custom.xml><?xml version="1.0" encoding="utf-8"?>
<Properties xmlns="http://schemas.openxmlformats.org/officeDocument/2006/custom-properties" xmlns:vt="http://schemas.openxmlformats.org/officeDocument/2006/docPropsVTypes"/>
</file>