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Perihilar cholangiocarcinoma Standard / Guidance-Aligned Transplant Protocol</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transplant pathway. Questions for consensus: pCCA_4_Standard_Transplant_Questions.docx. Decision discussion for all settings: pCCA_7_Decision_Discussion.docx. Web page: https://drliuhao.github.io/mh-liver-pathways/transplant/pcca/</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kOTdmYTVhMy1kYmUzLTU4ODMtYTU2OC01MmVlZTI3YjM3YmQ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STANDARDIZED EXCEPTION PATHWAY. Hilar/perihilar CCA qualifies only when the transplant program has an OPTN-approved written protocol and the candidate meets every requirement in Policy 9.5.A. For adults, the standardized score is MMaT-3.</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kOTdmYTVhMy1kYmUzLTU4ODMtYTU2OC01MmVlZTI3YjM3YmQ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kOTdmYTVhMy1kYmUzLTU4ODMtYTU2OC01MmVlZTI3YjM3YmQ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Transperitoneal aspiration or biopsy of the primary tumor must be avoided; regional-node sampling and operative staging must follow Policy 9.5.A.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Protocol A: Standard Liver Transplant Protocol for Hilar Cholangiocarcinoma</w:t>
      </w:r>
    </w:p>
    <w:p>
      <w:pPr>
        <w:pStyle w:val="Heading3"/>
        <w:keepNext/>
        <w:widowControl/>
      </w:pPr>
      <w:r>
        <w:t xml:space="preserve">1. Patient Selection Criteria</w:t>
      </w:r>
    </w:p>
    <w:p>
      <w:pPr>
        <w:pStyle w:val="Normal"/>
        <w:widowControl/>
      </w:pPr>
      <w:r>
        <w:t xml:space="preserve">Inclusion Criteria:</w:t>
      </w:r>
    </w:p>
    <w:p>
      <w:pPr>
        <w:pStyle w:val="Normal"/>
        <w:widowControl/>
      </w:pPr>
      <w:r>
        <w:t xml:space="preserve">Size-boundary disagreement — OPEN: NCCN BTC v1.2026 EXTRA-1 footnote h and AASLD use ≤3 cm, whereas standardized OPTN CCA policy requires radial mass diameter &lt;3 cm. At exactly 3.0 cm, confirm measurement and preserve the strict allocation gate; a clinical guideline does not enlarge a standardized exception.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For the standardized pCCA exception pathway, document a malignant-appearing stricture on cholangiography AND at least one policy-specified diagnostic finding: malignant biopsy/cytology; CA19-9 &gt;100 U/mL without cholangitis; aneuploidy; or a qualifying hilar mass. This is the allocation diagnostic framework; multidisciplinary clinical diagnosis and exclusion of mimics remain separate.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Malignant-appearing biliary stricture with CA 19-9 &gt;100 U/mL (in the absence of cholangitis or unstented obstructive jaundice)</w:t>
      </w:r>
    </w:p>
    <w:p>
      <w:pPr>
        <w:pStyle w:val="Normal"/>
        <w:widowControl/>
        <w:numPr>
          <w:ilvl w:val="0"/>
          <w:numId w:val="3"/>
        </w:numPr>
      </w:pPr>
      <w:r>
        <w:t xml:space="preserve">Malignant-appearing stricture with suspicious cytology and/or FISH polysomy</w:t>
      </w:r>
    </w:p>
    <w:p>
      <w:pPr>
        <w:pStyle w:val="Normal"/>
        <w:widowControl/>
        <w:numPr>
          <w:ilvl w:val="0"/>
          <w:numId w:val="3"/>
        </w:numPr>
      </w:pPr>
      <w:r>
        <w:t xml:space="preserve">Perihilar mass with imaging features consistent with CCA</w:t>
      </w:r>
    </w:p>
    <w:p>
      <w:pPr>
        <w:pStyle w:val="Normal"/>
        <w:widowControl/>
        <w:numPr>
          <w:ilvl w:val="0"/>
          <w:numId w:val="3"/>
        </w:numPr>
      </w:pPr>
      <w:r>
        <w:t xml:space="preserve">If a mass is present, it must be single and &lt;3 cm in radial diameter, measured perpendicular to the duct, for this standardized-exception pathway. Do not count longitudinal ductal extent as radial diameter. Exactly 3.0 cm requires expert measurement review and is not rounded down.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Ni00XTwvRGlzcGxheVRleHQ+PHJlY29yZD48cmVjLW51bWJlcj40PC9yZWMtbnVtYmVyPjxmb3JlaWduLWtleXM+PGtleSBhcHA9IkVOIiBkYi1pZD0iZDk3ZmE1YTMtZGJlMy01ODgzLWE1NjgtNTJlZWUyN2IzN2JkIiB0aW1lc3RhbXA9IjE3OTMyODM2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Document expert HPB and transplant assessment of R0 feasibility, ductal/vascular reconstruction, drainage/infection status and functional future liver remnant. When inadequate remnant is the only barrier, assess augmentation/PVE and reassess growth/function before declaring persistent unresectability. Reconstructible vascular involvement or need for PVE alone does not establish transplant eligibility.</w:t>
      </w:r>
      <w:r>
        <w:t xml:space="preserve"> </w:t>
      </w:r>
      <w:r>
        <w:t xml:space="preserve"> </w:t>
      </w:r>
      <w:r>
        <w:t xml:space="preserve"> </w:t>
      </w:r>
      <w:r>
        <w:fldChar w:fldCharType="begin"/>
      </w:r>
      <w:r>
        <w:instrText xml:space="preserve"> ADDIN EN.CITE </w:instrText>
      </w:r>
      <w:r>
        <w:fldChar w:fldCharType="begin">
          <w:fldData>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No intrahepatic or extrahepatic metastases</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Perform EUS assessment/sampling of suspicious regional nodes before NAT without traversing the primary tumor, followed by required operative staging after NAT and before LT. A negative needle sample does not exclude all nodal disease. Proven malignant nodes or other metastatic disease stop this standard pathway. Avoid transperitoneal biopsy of the primary pCCA; an unexpected prior exposure requires specialist/policy review. The restriction is not a claim that every biopsy inevitably causes dissemination.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dmVzb248L0F1dGhvcj48WWVhcj4yMDIyPC9ZZWFyPjxSZWNOdW0+ODwvUmVjTnVtPjxEaXNwbGF5VGV4dD5bVjE2LThdPC9EaXNwbGF5VGV4dD48cmVjb3JkPjxyZWMtbnVtYmVyPjg8L3JlYy1udW1iZXI+PGZvcmVpZ24ta2V5cz48a2V5IGFwcD0iRU4iIGRiLWlkPSJkOTdmYTVhMy1kYmUzLTU4ODMtYTU2OC01MmVlZTI3YjM3YmQiIHRpbWVzdGFtcD0iMTc5MzI4MzY4NCI+OD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Ni00XTwvRGlzcGxheVRleHQ+PHJlY29yZD48cmVjLW51bWJlcj40PC9yZWMtbnVtYmVyPjxmb3JlaWduLWtleXM+PGtleSBhcHA9IkVOIiBkYi1pZD0iZDk3ZmE1YTMtZGJlMy01ODgzLWE1NjgtNTJlZWUyN2IzN2JkIiB0aW1lc3RhbXA9IjE3OTMyODM2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ECOG performance status 0–1</w:t>
      </w:r>
    </w:p>
    <w:p>
      <w:pPr>
        <w:pStyle w:val="Normal"/>
        <w:widowControl/>
        <w:numPr>
          <w:ilvl w:val="0"/>
          <w:numId w:val="3"/>
        </w:numPr>
      </w:pPr>
      <w:r>
        <w:t xml:space="preserve">Adequate organ function for transplantation candidacy</w:t>
      </w:r>
    </w:p>
    <w:p>
      <w:pPr>
        <w:pStyle w:val="Normal"/>
        <w:widowControl/>
        <w:numPr>
          <w:ilvl w:val="0"/>
          <w:numId w:val="3"/>
        </w:numPr>
      </w:pPr>
      <w:r>
        <w:t xml:space="preserve">Age ≥18 years</w:t>
      </w:r>
    </w:p>
    <w:p>
      <w:pPr>
        <w:pStyle w:val="Normal"/>
        <w:widowControl/>
      </w:pPr>
      <w:r>
        <w:t xml:space="preserve">Exclusion Criteria:</w:t>
      </w:r>
    </w:p>
    <w:p>
      <w:pPr>
        <w:pStyle w:val="Normal"/>
        <w:widowControl/>
        <w:numPr>
          <w:ilvl w:val="0"/>
          <w:numId w:val="3"/>
        </w:numPr>
      </w:pPr>
      <w:r>
        <w:t xml:space="preserve">Prior percutaneous or transperitoneal tumor biopsy (risk of peritoneal seeding)</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Prior EUS-guided FNA of the primary tumor mass</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Prior surgical violation of the tumor plane</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Prior biliary resection or attempted resection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Prior radiation therapy or chemotherapy for this malignancy (outside of this protocol)</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Regional lymph node metastases on EUS-FNA</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Uncontrolled infection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Evidence of extrahepatic disease on cross-sectional imaging</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Hilar mass 3 cm or greater in radial diameter (see the size note in the inclusion criteria).</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Heading3"/>
        <w:keepNext/>
        <w:widowControl/>
      </w:pPr>
      <w:r>
        <w:t xml:space="preserve">2. Pre-Treatment Workup</w:t>
      </w:r>
    </w:p>
    <w:p>
      <w:pPr>
        <w:pStyle w:val="Normal"/>
        <w:widowControl/>
        <w:numPr>
          <w:ilvl w:val="0"/>
          <w:numId w:val="3"/>
        </w:numPr>
      </w:pPr>
      <w:r>
        <w:t xml:space="preserve">Multidisciplinary tumor board evaluation (transplant surgery, hepatology, medical oncology, radiation oncology, interventional radiology, pathology)</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Multiphasic abdomen/pelvis CT or MRI with IV contrast (assess for vascular invasion)</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Chest CT ± contrast</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MRCP (preferred cholangiography)</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EUS with FNA of regional lymph nodes to exclude nodal metastases</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CA 19-9 (after biliary decompression if stented)</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CEA</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LFTs, CBC, CMP, coagulation studies</w:t>
      </w:r>
    </w:p>
    <w:p>
      <w:pPr>
        <w:pStyle w:val="Normal"/>
        <w:widowControl/>
        <w:numPr>
          <w:ilvl w:val="0"/>
          <w:numId w:val="3"/>
        </w:numPr>
      </w:pPr>
      <w:r>
        <w:t xml:space="preserve">Serum IgG4 to rule out IgG4-related sclerosing cholangitis</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Standard liver transplant evaluation (cardiac, pulmonary, psychosocial, infectious disease screening)</w:t>
      </w:r>
    </w:p>
    <w:p>
      <w:pPr>
        <w:pStyle w:val="Normal"/>
        <w:widowControl/>
        <w:numPr>
          <w:ilvl w:val="0"/>
          <w:numId w:val="3"/>
        </w:numPr>
      </w:pPr>
      <w:r>
        <w:t xml:space="preserve">Biliary drainage if indicated for jaundice</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Obtain comprehensive molecular profiling when it will guide management, using a sampling strategy that preserves transplant options. Restriction of systemic therapy outside the approved transplant NAT plan is an institutional rule requiring formal review, not an NCCN-defined universal permanent exclusion. Do not initiate targeted therapy or immunotherapy within the LT pathway without approved oncology/transplant/pharmacy review.</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3. Neoadjuvant Chemoradiation Protocol (Mayo Clinic Protocol)</w:t>
      </w:r>
    </w:p>
    <w:p>
      <w:pPr>
        <w:pStyle w:val="Normal"/>
        <w:widowControl/>
      </w:pPr>
      <w:r>
        <w:t xml:space="preserve">Phase 1: External Beam Radiation Therapy (EBRT) with Concurrent Chemotherapy</w:t>
      </w:r>
    </w:p>
    <w:p>
      <w:pPr>
        <w:pStyle w:val="Normal"/>
        <w:widowControl/>
        <w:numPr>
          <w:ilvl w:val="0"/>
          <w:numId w:val="3"/>
        </w:numPr>
      </w:pPr>
      <w:r>
        <w:t xml:space="preserve">Before neoadjuvant treatment, radiation oncology and oncology/pharmacy must approve one complete named prescription covering EBRT dose/fractions, radiosensitization, any brachytherapy/boost, maintenance therapy, dose modification and stopping rules. Do not combine isolated doses from different published protocols. Alternatives require explicit protocol approval.</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xMTwvUmVjTnVtPjxEaXNwbGF5VGV4dD5bVjE2LTExXTwvRGlzcGxheVRleHQ+PHJlY29yZD48cmVjLW51bWJlcj4xMTwvcmVjLW51bWJlcj48Zm9yZWlnbi1rZXlzPjxrZXkgYXBwPSJFTiIgZGItaWQ9ImQ5N2ZhNWEzLWRiZTMtNTg4My1hNTY4LTUyZWVlMjdiMzdiZCIgdGltZXN0YW1wPSIxNzkzMjgzNjg0Ij4x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Concurrent IV 5-fluorouracil as a radiosensitizer during EBRT</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pPr>
      <w:r>
        <w:t xml:space="preserve">Phase 2: Brachytherapy</w:t>
      </w:r>
    </w:p>
    <w:p>
      <w:pPr>
        <w:pStyle w:val="Normal"/>
        <w:widowControl/>
        <w:numPr>
          <w:ilvl w:val="0"/>
          <w:numId w:val="3"/>
        </w:numPr>
      </w:pPr>
      <w:r>
        <w:t xml:space="preserve">If the approved Mayo-style prescription uses intraluminal brachytherapy or another boost, confirm the complete radiation plan, catheter access, constraints and dose with radiation oncology. An omitted or substituted component requires a named approved alternative; this summary is not the radiation order.</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pPr>
      <w:r>
        <w:t xml:space="preserve">Phase 3: Maintenance Chemotherapy</w:t>
      </w:r>
    </w:p>
    <w:p>
      <w:pPr>
        <w:pStyle w:val="Normal"/>
        <w:widowControl/>
        <w:numPr>
          <w:ilvl w:val="0"/>
          <w:numId w:val="3"/>
        </w:numPr>
      </w:pPr>
      <w:r>
        <w:t xml:space="preserve">Oral capecitabine until the time of transplantation</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Heading3"/>
        <w:widowControl/>
        <w:keepNext/>
      </w:pPr>
      <w:r>
        <w:t xml:space="preserve">Systemic treatment evidence and transplant boundaries</w:t>
      </w:r>
    </w:p>
    <w:p>
      <w:pPr>
        <w:pStyle w:val="Normal"/>
        <w:widowControl/>
        <w:spacing w:after="120"/>
      </w:pPr>
      <w:r>
        <w:t xml:space="preserve">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Heading4"/>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MTI8L1JlY051bT48RGlzcGxheVRleHQ+W1YxNi0xMl08L0Rpc3BsYXlUZXh0PjxyZWNvcmQ+PHJlYy1udW1iZXI+MTI8L3JlYy1udW1iZXI+PGZvcmVpZ24ta2V5cz48a2V5IGFwcD0iRU4iIGRiLWlkPSJkOTdmYTVhMy1kYmUzLTU4ODMtYTU2OC01MmVlZTI3YjM3YmQiIHRpbWVzdGFtcD0iMTc5MzI4MzY4NCI+MTI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br/>
      </w:r>
      <w:hyperlink r:id="rId128">
        <w:r>
          <w:rPr>
            <w:color w:val="0563C1"/>
            <w:u w:val="single"/>
          </w:rPr>
          <w:t>Source</w:t>
        </w:r>
      </w:hyperlink>
      <w:r>
        <w:t xml:space="preserve"> · </w:t>
      </w:r>
      <w:hyperlink r:id="rId129">
        <w:r>
          <w:rPr>
            <w:color w:val="0563C1"/>
            <w:u w:val="single"/>
          </w:rPr>
          <w:t>PDF</w:t>
        </w:r>
      </w:hyperlink>
    </w:p>
    <w:p>
      <w:pPr>
        <w:pStyle w:val="Heading4"/>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EzPC9SZWNOdW0+PERpc3BsYXlUZXh0PltWMTYtMTNdPC9EaXNwbGF5VGV4dD48cmVjb3JkPjxyZWMtbnVtYmVyPjEzPC9yZWMtbnVtYmVyPjxmb3JlaWduLWtleXM+PGtleSBhcHA9IkVOIiBkYi1pZD0iZDk3ZmE1YTMtZGJlMy01ODgzLWE1NjgtNTJlZWUyN2IzN2JkIiB0aW1lc3RhbXA9IjE3OTMyODM2ODQiPjEz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br/>
      </w:r>
      <w:hyperlink r:id="rId130">
        <w:r>
          <w:rPr>
            <w:color w:val="0563C1"/>
            <w:u w:val="single"/>
          </w:rPr>
          <w:t>Source</w:t>
        </w:r>
      </w:hyperlink>
      <w:r>
        <w:t xml:space="preserve"> · </w:t>
      </w:r>
      <w:hyperlink r:id="rId131">
        <w:r>
          <w:rPr>
            <w:color w:val="0563C1"/>
            <w:u w:val="single"/>
          </w:rPr>
          <w:t>PDF</w:t>
        </w:r>
      </w:hyperlink>
    </w:p>
    <w:p>
      <w:pPr>
        <w:pStyle w:val="Normal"/>
        <w:widowControl/>
        <w:spacing w:after="120"/>
      </w:pPr>
      <w:r>
        <w:t xml:space="preserve">Treatment comparisons and detailed regimen evidence: </w:t>
      </w:r>
      <w:hyperlink r:id="rId127">
        <w:r>
          <w:rPr>
            <w:color w:val="0563C1"/>
            <w:u w:val="single"/>
          </w:rPr>
          <w:t>Cross-tumor systemic matrix</w:t>
        </w:r>
      </w:hyperlink>
    </w:p>
    <w:p>
      <w:pPr>
        <w:pStyle w:val="Heading3"/>
        <w:keepNext/>
        <w:widowControl/>
      </w:pPr>
      <w:r>
        <w:t xml:space="preserve">4. Operative Staging (Pre-Transplant)</w:t>
      </w:r>
    </w:p>
    <w:p>
      <w:pPr>
        <w:pStyle w:val="Normal"/>
        <w:widowControl/>
        <w:numPr>
          <w:ilvl w:val="0"/>
          <w:numId w:val="3"/>
        </w:numPr>
      </w:pPr>
      <w:r>
        <w:t xml:space="preserve">Staging laparoscopy/laparotomy is mandatory following completion of neoadjuvant chemoradiation and prior to liver transplantation</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Evaluate regional/perihepatic lymph nodes and suspicious peritoneal deposits with pathology. Specify frozen versus permanent-section workflow in the local surgical/pathology SOP; negative oncologic staging must be established before proceeding.</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numPr>
          <w:ilvl w:val="0"/>
          <w:numId w:val="3"/>
        </w:numPr>
      </w:pPr>
      <w:r>
        <w:t xml:space="preserve">Peritoneal washings for cytology</w:t>
      </w:r>
    </w:p>
    <w:p>
      <w:pPr>
        <w:pStyle w:val="Normal"/>
        <w:widowControl/>
        <w:numPr>
          <w:ilvl w:val="0"/>
          <w:numId w:val="3"/>
        </w:numPr>
      </w:pPr>
      <w:r>
        <w:t xml:space="preserve">Timing: Immediately prior to LDLT, or as deceased donor LT approaches based on MELD score and regional access</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pPr>
      <w:r>
        <w:t xml:space="preserve">Criteria for Exclusion at Staging:</w:t>
      </w:r>
    </w:p>
    <w:p>
      <w:pPr>
        <w:pStyle w:val="Normal"/>
        <w:widowControl/>
        <w:numPr>
          <w:ilvl w:val="0"/>
          <w:numId w:val="3"/>
        </w:numPr>
      </w:pPr>
      <w:r>
        <w:t xml:space="preserve">Positive lymph nodes on frozen section</w:t>
      </w:r>
    </w:p>
    <w:p>
      <w:pPr>
        <w:pStyle w:val="Normal"/>
        <w:widowControl/>
        <w:numPr>
          <w:ilvl w:val="0"/>
          <w:numId w:val="3"/>
        </w:numPr>
      </w:pPr>
      <w:r>
        <w:t xml:space="preserve">Peritoneal disease</w:t>
      </w:r>
    </w:p>
    <w:p>
      <w:pPr>
        <w:pStyle w:val="Normal"/>
        <w:widowControl/>
        <w:numPr>
          <w:ilvl w:val="0"/>
          <w:numId w:val="3"/>
        </w:numPr>
      </w:pPr>
      <w:r>
        <w:t xml:space="preserve">Extrahepatic spread</w:t>
      </w:r>
    </w:p>
    <w:p>
      <w:pPr>
        <w:pStyle w:val="Normal"/>
        <w:widowControl/>
        <w:numPr>
          <w:ilvl w:val="0"/>
          <w:numId w:val="3"/>
        </w:numPr>
      </w:pPr>
      <w:r>
        <w:t xml:space="preserve">Note: Approximately 20% of patients will have positive surgical staging and be excluded</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Heading3"/>
        <w:keepNext/>
        <w:widowControl/>
      </w:pPr>
      <w:r>
        <w:t xml:space="preserve">5. MELD Exception and Waitlist Management</w:t>
      </w:r>
    </w:p>
    <w:p>
      <w:pPr>
        <w:pStyle w:val="Normal"/>
        <w:widowControl/>
        <w:numPr>
          <w:ilvl w:val="0"/>
          <w:numId w:val="3"/>
        </w:numPr>
      </w:pPr>
      <w:r>
        <w:t xml:space="preserve">Initial exception documentation must include chest and abdominal cross-sectional imaging within 90 days. Extension requests require chest and abdominal imaging within 30 days before submission.</w:t>
      </w:r>
    </w:p>
    <w:p>
      <w:pPr>
        <w:pStyle w:val="Normal"/>
        <w:widowControl/>
        <w:numPr>
          <w:ilvl w:val="0"/>
          <w:numId w:val="3"/>
        </w:numPr>
      </w:pPr>
      <w:r>
        <w:t xml:space="preserve">For the initial standardized exception, document required chest and abdominal imaging within 90 days before submission. For each extension, document required imaging within 30 days before submission. Keep the dated policy source and clinical restaging schedule distinct.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Adults who meet every current OPTN Policy 9.5.A requirement may receive the standardized CCA exception score, currently MMaT-3. Confirm the effective policy and score calculation at submission.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kOTdmYTVhMy1kYmUzLTU4ODMtYTU2OC01MmVlZTI3YjM3YmQ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Cross-sectional imaging every 3 months while on the waitlist to confirm disease stability</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CA 19-9 monitoring every 3 months</w:t>
      </w:r>
    </w:p>
    <w:p>
      <w:pPr>
        <w:pStyle w:val="Normal"/>
        <w:widowControl/>
        <w:numPr>
          <w:ilvl w:val="0"/>
          <w:numId w:val="3"/>
        </w:numPr>
      </w:pPr>
      <w:r>
        <w:t xml:space="preserve">Delisting criteria: tumor progression, new lesions, extrahepatic disease, lymph node metastases</w:t>
      </w:r>
    </w:p>
    <w:p>
      <w:pPr>
        <w:pStyle w:val="Heading3"/>
        <w:keepNext/>
        <w:widowControl/>
      </w:pPr>
      <w:r>
        <w:t xml:space="preserve">6. Liver Transplantation</w:t>
      </w:r>
    </w:p>
    <w:p>
      <w:pPr>
        <w:pStyle w:val="Normal"/>
        <w:widowControl/>
        <w:numPr>
          <w:ilvl w:val="0"/>
          <w:numId w:val="3"/>
        </w:numPr>
      </w:pPr>
      <w:r>
        <w:t xml:space="preserve">Deceased donor liver transplantation (DDLT) or living donor liver transplantation (LDLT)</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Caval reconstruction technique is an intraoperative decision. Piggyback reconstruction is the institutional default where anatomy permits. Neoadjuvant chemoradiation may produce retrohepatic caval and portal changes requiring caval resection with replacement or other vascular reconstruction, and living-donor recipients frequently require portal reconstruction. No single technique is protocol-mandated.</w:t>
      </w:r>
    </w:p>
    <w:p>
      <w:pPr>
        <w:pStyle w:val="Normal"/>
        <w:widowControl/>
        <w:numPr>
          <w:ilvl w:val="0"/>
          <w:numId w:val="3"/>
        </w:numPr>
      </w:pPr>
      <w:r>
        <w:t xml:space="preserve">Intraoperative staging laparotomy with lymph node sampling if not previously performed</w:t>
      </w:r>
    </w:p>
    <w:p>
      <w:pPr>
        <w:pStyle w:val="Normal"/>
        <w:widowControl/>
        <w:numPr>
          <w:ilvl w:val="0"/>
          <w:numId w:val="3"/>
        </w:numPr>
      </w:pPr>
      <w:r>
        <w:t xml:space="preserve">Before LT, review the actual radiation plan/dose map with transplant surgery and radiation oncology, including arterial/biliary exposure and reconstruction options. Counsel regarding arterial thrombosis, biliary injury, graft loss and possible retransplantation. Small pilot reports of outside-field reconstruction are technical signals, not a universal operative prescription.</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Heading3"/>
        <w:keepNext/>
        <w:widowControl/>
      </w:pPr>
      <w:r>
        <w:t xml:space="preserve">7. Post-Transplant Immunosuppression</w:t>
      </w:r>
    </w:p>
    <w:p>
      <w:pPr>
        <w:pStyle w:val="Normal"/>
        <w:widowControl/>
        <w:numPr>
          <w:ilvl w:val="0"/>
          <w:numId w:val="3"/>
        </w:numPr>
      </w:pPr>
      <w:r>
        <w:t xml:space="preserve">Induction: Bolus steroid therapy during the anhepatic phase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jwvUmVjTnVtPjxEaXNwbGF5VGV4dD5bVjE2LTE2XTwvRGlzcGxheVRleHQ+PHJlY29yZD48cmVjLW51bWJlcj4xNjwvcmVjLW51bWJlcj48Zm9yZWlnbi1rZXlzPjxrZXkgYXBwPSJFTiIgZGItaWQ9ImQ5N2ZhNWEzLWRiZTMtNTg4My1hNTY4LTUyZWVlMjdiMzdiZCIgdGltZXN0YW1wPSIxNzkzMjgzNjg0Ij4xNj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p>
    <w:p>
      <w:pPr>
        <w:pStyle w:val="Normal"/>
        <w:widowControl/>
        <w:numPr>
          <w:ilvl w:val="0"/>
          <w:numId w:val="3"/>
        </w:numPr>
      </w:pPr>
      <w:r>
        <w:t xml:space="preserve">Maintenance:</w:t>
      </w:r>
    </w:p>
    <w:p>
      <w:pPr>
        <w:pStyle w:val="Normal"/>
        <w:widowControl/>
        <w:numPr>
          <w:ilvl w:val="0"/>
          <w:numId w:val="3"/>
        </w:numPr>
      </w:pPr>
      <w:r>
        <w:t xml:space="preserve">Use the institutionally approved post-LT immunosuppression regimen with transplant hepatology and pharmacy review. Individualize MMF duration, steroid taper, renal-sparing induction and CNI exposure for rejection risk, renal function, cytopenias, infection and PSC/autoimmune disease. Ramanan reports one historical center regimen (prednisone withdrawal at day 121, MMF at 2–4 months), not evidence that either drug must stop at day 30.</w:t>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E3PC9SZWNOdW0+PERpc3BsYXlUZXh0PltWMTYtMTddPC9EaXNwbGF5VGV4dD48cmVjb3JkPjxyZWMtbnVtYmVyPjE3PC9yZWMtbnVtYmVyPjxmb3JlaWduLWtleXM+PGtleSBhcHA9IkVOIiBkYi1pZD0iZDk3ZmE1YTMtZGJlMy01ODgzLWE1NjgtNTJlZWUyN2IzN2JkIiB0aW1lc3RhbXA9IjE3OTMyODM2ODQiPjE3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Select ONE maintenance strategy per patient and document it: (a) tacrolimus-based maintenance with stepwise minimization, or (b) conversion to an mTOR inhibitor with reduced-dose tacrolimus.</w:t>
      </w:r>
    </w:p>
    <w:p>
      <w:pPr>
        <w:pStyle w:val="Normal"/>
        <w:widowControl/>
        <w:numPr>
          <w:ilvl w:val="0"/>
          <w:numId w:val="3"/>
        </w:numPr>
      </w:pPr>
      <w:r>
        <w:t xml:space="preserve">If everolimus conversion is selected, do not initiate before day 30 under the US adult-LT label. Confirm wound healing, arterial patency, proteinuria and infection status with transplant pharmacy. No pCCA-specific maintenance regimen has proved recurrence reduction. Renal-sparing induction is individualized; historical center CrCl thresholds are not validated cancer-selection thresholds.</w:t>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Tg8L1JlY051bT48RGlzcGxheVRleHQ+W1YxNi0xOF08L0Rpc3BsYXlUZXh0PjxyZWNvcmQ+PHJlYy1udW1iZXI+MTg8L3JlYy1udW1iZXI+PGZvcmVpZ24ta2V5cz48a2V5IGFwcD0iRU4iIGRiLWlkPSJkOTdmYTVhMy1kYmUzLTU4ODMtYTU2OC01MmVlZTI3YjM3YmQiIHRpbWVzdGFtcD0iMTc5MzI4MzY4NCI+MT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E3PC9SZWNOdW0+PERpc3BsYXlUZXh0PltWMTYtMTddPC9EaXNwbGF5VGV4dD48cmVjb3JkPjxyZWMtbnVtYmVyPjE3PC9yZWMtbnVtYmVyPjxmb3JlaWduLWtleXM+PGtleSBhcHA9IkVOIiBkYi1pZD0iZDk3ZmE1YTMtZGJlMy01ODgzLWE1NjgtNTJlZWUyN2IzN2JkIiB0aW1lc3RhbXA9IjE3OTMyODM2ODQiPjE3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k8L1JlY051bT48RGlzcGxheVRleHQ+W1YxNi0xOV08L0Rpc3BsYXlUZXh0PjxyZWNvcmQ+PHJlYy1udW1iZXI+MTk8L3JlYy1udW1iZXI+PGZvcmVpZ24ta2V5cz48a2V5IGFwcD0iRU4iIGRiLWlkPSJkOTdmYTVhMy1kYmUzLTU4ODMtYTU2OC01MmVlZTI3YjM3YmQiIHRpbWVzdGFtcD0iMTc5MzI4MzY4NCI+MTk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Heading3"/>
        <w:keepNext/>
        <w:widowControl/>
      </w:pPr>
      <w:r>
        <w:t xml:space="preserve">8. Post-Transplant Adjuvant Therapy</w:t>
      </w:r>
    </w:p>
    <w:p>
      <w:pPr>
        <w:pStyle w:val="Normal"/>
        <w:widowControl/>
        <w:numPr>
          <w:ilvl w:val="0"/>
          <w:numId w:val="3"/>
        </w:numPr>
      </w:pPr>
      <w:r>
        <w:t xml:space="preserve">No guideline establishes routine adjuvant chemotherapy after liver transplantation for pCCA. Explant pathology should trigger multidisciplinary recurrence-risk review.</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jwvUmVjTnVtPjxEaXNwbGF5VGV4dD5bVjE2LTE2XTwvRGlzcGxheVRleHQ+PHJlY29yZD48cmVjLW51bWJlcj4xNjwvcmVjLW51bWJlcj48Zm9yZWlnbi1rZXlzPjxrZXkgYXBwPSJFTiIgZGItaWQ9ImQ5N2ZhNWEzLWRiZTMtNTg4My1hNTY4LTUyZWVlMjdiMzdiZCIgdGltZXN0YW1wPSIxNzkzMjgzNjg0Ij4xNj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p>
    <w:p>
      <w:pPr>
        <w:pStyle w:val="Normal"/>
        <w:widowControl/>
        <w:numPr>
          <w:ilvl w:val="0"/>
          <w:numId w:val="3"/>
        </w:numPr>
      </w:pPr>
      <w:r>
        <w:t xml:space="preserve">Pathologic complete response (pCR): surveillance without routine adjuvant chemotherapy is appropriate unless a separate prospective protocol specifies otherwise.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jwvUmVjTnVtPjxEaXNwbGF5VGV4dD5bVjE2LTE2XTwvRGlzcGxheVRleHQ+PHJlY29yZD48cmVjLW51bWJlcj4xNjwvcmVjLW51bWJlcj48Zm9yZWlnbi1rZXlzPjxrZXkgYXBwPSJFTiIgZGItaWQ9ImQ5N2ZhNWEzLWRiZTMtNTg4My1hNTY4LTUyZWVlMjdiMzdiZCIgdGltZXN0YW1wPSIxNzkzMjgzNjg0Ij4xNj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p>
    <w:p>
      <w:pPr>
        <w:pStyle w:val="Normal"/>
        <w:widowControl/>
        <w:numPr>
          <w:ilvl w:val="0"/>
          <w:numId w:val="3"/>
        </w:numPr>
      </w:pPr>
      <w:r>
        <w:t xml:space="preserve">Residual active disease on explant: capecitabine or gemcitabine-based therapy may be considered only case-by-case or within a prospective protocol. Evidence is extrapolated from resection studies; post-transplant benefit and tolerability are unproven.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jwvUmVjTnVtPjxEaXNwbGF5VGV4dD5bVjE2LTE2XTwvRGlzcGxheVRleHQ+PHJlY29yZD48cmVjLW51bWJlcj4xNjwvcmVjLW51bWJlcj48Zm9yZWlnbi1rZXlzPjxrZXkgYXBwPSJFTiIgZGItaWQ9ImQ5N2ZhNWEzLWRiZTMtNTg4My1hNTY4LTUyZWVlMjdiMzdiZCIgdGltZXN0YW1wPSIxNzkzMjgzNjg0Ij4xNj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[V16-16]</w:t>
      </w:r>
      <w:r>
        <w:fldChar w:fldCharType="end"/>
      </w:r>
    </w:p>
    <w:p>
      <w:pPr>
        <w:pStyle w:val="Heading3"/>
        <w:keepNext/>
        <w:widowControl/>
      </w:pPr>
      <w:r>
        <w:t xml:space="preserve">9. Post-Transplant Surveillance</w:t>
      </w:r>
    </w:p>
    <w:p>
      <w:pPr>
        <w:pStyle w:val="Normal"/>
        <w:widowControl/>
        <w:numPr>
          <w:ilvl w:val="0"/>
          <w:numId w:val="3"/>
        </w:numPr>
      </w:pPr>
      <w:r>
        <w:t xml:space="preserve">Proposed local post-LT recurrence-surveillance schedule: contrast-enhanced abdominal/pelvic CT or MRI every 6 months for 3 years, then annually through year 5, with chest imaging and CA 19-9 use specified by the multidisciplinary team. Heinrich describes this observed imaging interval in incidental BTC; it was not a comparative trial establishing the optimal schedule for planned pCCA LT. Record the adopted schedule and rationale in the decision log.</w:t>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yMDwvUmVjTnVtPjxEaXNwbGF5VGV4dD5bVjE2LTIwXTwvRGlzcGxheVRleHQ+PHJlY29yZD48cmVjLW51bWJlcj4yMDwvcmVjLW51bWJlcj48Zm9yZWlnbi1rZXlzPjxrZXkgYXBwPSJFTiIgZGItaWQ9ImQ5N2ZhNWEzLWRiZTMtNTg4My1hNTY4LTUyZWVlMjdiMzdiZCIgdGltZXN0YW1wPSIxNzkzMjgzNjg0Ij4yMD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pPr>
      <w:r>
        <w:t xml:space="preserve">Proposed local post-LT chest imaging: every 6 months for 2 years, then annually through year 5, subject to MDT approval and individualized recurrence risk. NCCN describes post-resection surveillance and does not validate this exact transplant calendar.</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CA 19-9 every 3 months for 2 years, then every 6 months</w:t>
      </w:r>
    </w:p>
    <w:p>
      <w:pPr>
        <w:pStyle w:val="Normal"/>
        <w:widowControl/>
        <w:numPr>
          <w:ilvl w:val="0"/>
          <w:numId w:val="3"/>
        </w:numPr>
      </w:pPr>
      <w:r>
        <w:t xml:space="preserve">LFTs and tacrolimus levels per standard transplant protocol</w:t>
      </w:r>
    </w:p>
    <w:p>
      <w:pPr>
        <w:pStyle w:val="Normal"/>
        <w:widowControl/>
        <w:numPr>
          <w:ilvl w:val="0"/>
          <w:numId w:val="3"/>
        </w:numPr>
      </w:pPr>
      <w:r>
        <w:t xml:space="preserve">Vascular surveillance (Doppler ultrasound) given radiation-related vascular complication risk</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Heading3"/>
        <w:keepNext/>
        <w:widowControl/>
      </w:pPr>
      <w:r>
        <w:t xml:space="preserve">10. Expected Outcomes</w:t>
      </w:r>
    </w:p>
    <w:p>
      <w:pPr>
        <w:pStyle w:val="Normal"/>
        <w:widowControl/>
        <w:numPr>
          <w:ilvl w:val="0"/>
          <w:numId w:val="3"/>
        </w:numPr>
      </w:pPr>
      <w:r>
        <w:t xml:space="preserve">Intent-to-treat survival: 68% at 2 years and 53% at 5 years. Post-transplant RECURRENCE-FREE survival: 78% at 2 years and 65% at 5 years. The 65% figure is recurrence-free survival, not overall survival, and must not be quoted as 5-year survival in consent. Source: Darwish Murad S et al., Gastroenterology 2012;143(1):88-98.e3;  PMID 22504095 (12 US centers, n = 287).</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p>
    <w:p>
      <w:pPr>
        <w:pStyle w:val="Normal"/>
        <w:widowControl/>
        <w:numPr>
          <w:ilvl w:val="0"/>
          <w:numId w:val="3"/>
        </w:numPr>
      </w:pPr>
      <w:r>
        <w:t xml:space="preserve">Candidates falling outside UNOS criteria in that cohort — tumour mass greater than 3 cm, transperitoneal tumour biopsy, or metastatic disease — and those with a prior malignancy had significantly shorter survival (p &lt; 0.001). These features are hard exclusions under Section 1.</w:t>
      </w:r>
    </w:p>
    <w:p>
      <w:pPr>
        <w:pStyle w:val="Normal"/>
        <w:widowControl/>
        <w:numPr>
          <w:ilvl w:val="0"/>
          <w:numId w:val="3"/>
        </w:numPr>
      </w:pPr>
      <w:r>
        <w:t xml:space="preserve">A meta-analysis of 15 studies/315 recipients estimated explant pCR at 32% (95% CI 19–49), with substantial heterogeneity and some mixed iCCA populations. Regimen subgroups were small and nonrandomized; the results do not establish equivalence between Mayo-style therapy and SBRT. Counsel using both all-pathway and recipient outcomes from applicable primary cohorts, with denominators, time origins and uncertainty stated. pCR is not a pre-LT eligibility requirement or a validated study-level surrogate for OS.</w:t>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xMTwvUmVjTnVtPjxEaXNwbGF5VGV4dD5bVjE2LTExXTwvRGlzcGxheVRleHQ+PHJlY29yZD48cmVjLW51bWJlcj4xMTwvcmVjLW51bWJlcj48Zm9yZWlnbi1rZXlzPjxrZXkgYXBwPSJFTiIgZGItaWQ9ImQ5N2ZhNWEzLWRiZTMtNTg4My1hNTY4LTUyZWVlMjdiMzdiZCIgdGltZXN0YW1wPSIxNzkzMjgzNjg0Ij4x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numPr>
          <w:ilvl w:val="0"/>
          <w:numId w:val="3"/>
        </w:numPr>
      </w:pPr>
      <w:r>
        <w:t xml:space="preserve">Residual viable tumor on explant is associated with recurrence risk, but does not predict an individual patient's outcome with certainty; many patients with residual tumor did not recur. Discuss it with margins, nodes, differentiation and treatment history. It does not by itself establish a benefit from routine post-LT adjuvant therapy.</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Ni00XTwvRGlzcGxheVRleHQ+PHJlY29yZD48cmVjLW51bWJlcj40PC9yZWMtbnVtYmVyPjxmb3JlaWduLWtleXM+PGtleSBhcHA9IkVOIiBkYi1pZD0iZDk3ZmE1YTMtZGJlMy01ODgzLWE1NjgtNTJlZWUyN2IzN2JkIiB0aW1lc3RhbXA9IjE3OTMyODM2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In the 12-center US cohort, 71/287 patients (25%) dropped out before LT. The body reports an average 11.5% dropout per 3 months after completion of chemoradiation/listing; its abstract conclusion inconsistently says 3.5 months. In Toronto, 11/18 treated patients (61%) dropped out, six received LT and one remained waiting. These are different denominators, clocks and waiting environments. Report local cumulative dropout from protocol entry and time-specific dropout with the clock explicitly defined; do not equate cumulative attrition with a three-month rate.</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IyPC9SZWNOdW0+PERpc3BsYXlUZXh0PltWMTYtMjJdPC9EaXNwbGF5VGV4dD48cmVjb3JkPjxyZWMtbnVtYmVyPjIyPC9yZWMtbnVtYmVyPjxmb3JlaWduLWtleXM+PGtleSBhcHA9IkVOIiBkYi1pZD0iZDk3ZmE1YTMtZGJlMy01ODgzLWE1NjgtNTJlZWUyN2IzN2JkIiB0aW1lc3RhbXA9IjE3OTMyODM2ODQiPjIy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k8L1JlY051bT48RGlzcGxheVRleHQ+W1YxNi0xOV08L0Rpc3BsYXlUZXh0PjxyZWNvcmQ+PHJlYy1udW1iZXI+MTk8L3JlYy1udW1iZXI+PGZvcmVpZ24ta2V5cz48a2V5IGFwcD0iRU4iIGRiLWlkPSJkOTdmYTVhMy1kYmUzLTU4ODMtYTU2OC01MmVlZTI3YjM3YmQiIHRpbWVzdGFtcD0iMTc5MzI4MzY4NCI+MTk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mQ5N2ZhNWEzLWRiZTMtNTg4My1hNTY4LTUyZWVlMjdiMzdiZCIgdGltZXN0YW1wPSIxNzkzMjgzNjg0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Heading2"/>
        <w:keepNext/>
        <w:widowControl/>
      </w:pPr>
      <w:r>
        <w:t xml:space="preserve">Outcome evidence within the standard pathway</w:t>
      </w:r>
    </w:p>
    <w:p>
      <w:pPr>
        <w:pStyle w:val="Normal"/>
        <w:widowControl/>
      </w:pPr>
      <w:r>
        <w:t xml:space="preserve">The following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k8L1JlY051bT48RGlzcGxheVRleHQ+W1YxNi05XTwvRGlzcGxheVRleHQ+PHJlY29yZD48cmVjLW51bWJlcj45PC9yZWMtbnVtYmVyPjxmb3JlaWduLWtleXM+PGtleSBhcHA9IkVOIiBkYi1pZD0iZDk3ZmE1YTMtZGJlMy01ODgzLWE1NjgtNTJlZWUyN2IzN2JkIiB0aW1lc3RhbXA9IjE3OTMyODM2ODQiPjk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0PC9SZWNOdW0+PERpc3BsYXlUZXh0PltWMTYtMjRdPC9EaXNwbGF5VGV4dD48cmVjb3JkPjxyZWMtbnVtYmVyPjI0PC9yZWMtbnVtYmVyPjxmb3JlaWduLWtleXM+PGtleSBhcHA9IkVOIiBkYi1pZD0iZDk3ZmE1YTMtZGJlMy01ODgzLWE1NjgtNTJlZWUyN2IzN2JkIiB0aW1lc3RhbXA9IjE3OTMyODM2ODQiPjI0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[V16-24]</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r>
              <w:t xml:space="preserve">Selection: Methods specify persistent unresectability, multidisciplinary review and at least six months of stability/regression after ICI. Patients actually received heterogeneous ICI, chemotherapy, targeted agents and locoregional therapy; case histories include progression and salvage. The series does not establish a reproducible selection algorithm.</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U8L1JlY051bT48RGlzcGxheVRleHQ+W1YxNi0yNV08L0Rpc3BsYXlUZXh0PjxyZWNvcmQ+PHJlYy1udW1iZXI+MjU8L3JlYy1udW1iZXI+PGZvcmVpZ24ta2V5cz48a2V5IGFwcD0iRU4iIGRiLWlkPSJkOTdmYTVhMy1kYmUzLTU4ODMtYTU2OC01MmVlZTI3YjM3YmQiIHRpbWVzdGFtcD0iMTc5MzI4MzY4NCI+MjU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Y8L1JlY051bT48RGlzcGxheVRleHQ+W1YxNi0yNl08L0Rpc3BsYXlUZXh0PjxyZWNvcmQ+PHJlYy1udW1iZXI+MjY8L3JlYy1udW1iZXI+PGZvcmVpZ24ta2V5cz48a2V5IGFwcD0iRU4iIGRiLWlkPSJkOTdmYTVhMy1kYmUzLTU4ODMtYTU2OC01MmVlZTI3YjM3YmQiIHRpbWVzdGFtcD0iMTc5MzI4MzY4NCI+MjY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[V16-26]</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I3PC9SZWNOdW0+PERpc3BsYXlUZXh0PltWMTYtMjddPC9EaXNwbGF5VGV4dD48cmVjb3JkPjxyZWMtbnVtYmVyPjI3PC9yZWMtbnVtYmVyPjxmb3JlaWduLWtleXM+PGtleSBhcHA9IkVOIiBkYi1pZD0iZDk3ZmE1YTMtZGJlMy01ODgzLWE1NjgtNTJlZWUyN2IzN2JkIiB0aW1lc3RhbXA9IjE3OTMyODM2ODQiPjI3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Ito 2025 · LDLT</w:t>
            </w:r>
            <w:r>
              <w:t xml:space="preserve"> </w:t>
            </w:r>
            <w:r>
              <w:t xml:space="preserve"> </w:t>
            </w:r>
            <w:r>
              <w:t xml:space="preserve"> </w:t>
            </w:r>
            <w:r>
              <w:fldChar w:fldCharType="begin"/>
            </w:r>
            <w:r>
              <w:instrText xml:space="preserve"> ADDIN EN.CITE </w:instrText>
            </w:r>
            <w:r>
              <w:fldChar w:fldCharType="begin">
                <w:fldData>PEVuZE5vdGU+PENpdGU+PEF1dGhvcj5JdG88L0F1dGhvcj48WWVhcj4yMDI1PC9ZZWFyPjxSZWNOdW0+Mjg8L1JlY051bT48RGlzcGxheVRleHQ+W1YxNi0yOF08L0Rpc3BsYXlUZXh0PjxyZWNvcmQ+PHJlYy1udW1iZXI+Mjg8L3JlYy1udW1iZXI+PGZvcmVpZ24ta2V5cz48a2V5IGFwcD0iRU4iIGRiLWlkPSJkOTdmYTVhMy1kYmUzLTU4ODMtYTU2OC01MmVlZTI3YjM3YmQiIHRpbWVzdGFtcD0iMTc5MzI4MzY4NCI+Mjg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[V16-28]</w:t>
            </w:r>
            <w:r>
              <w:fldChar w:fldCharType="end"/>
            </w:r>
          </w:p>
          <w:p>
            <w:pPr>
              <w:pStyle w:val="Normal"/>
              <w:widowControl/>
              <w:spacing w:before="60" w:after="20"/>
            </w:pPr>
            <w:r>
              <w:t xml:space="preserve">Prospective Kyoto pilot, ten enrolled 2018–2024; five LDLT and five dropout. Unresectability involved FLR, nonreconstructible vascular/ductal disease or PSC. Nodes/metastases excluded; ERCP diagnosis without transperitoneal primary biopsy. The methods do not state a numeric mass-size cap.</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Complete 11-page PDF, Methods, flow, Tables 1–3, survival and arterial-complication discussion; J Hepatobiliary Pancreat Sci 2025; 32:276–286.</w:t>
            </w:r>
          </w:p>
          <w:p>
            <w:pPr>
              <w:pStyle w:val="Normal"/>
              <w:widowControl/>
              <w:spacing w:before="60" w:after="20"/>
            </w:pPr>
            <w:r>
              <w:t xml:space="preserve">Review depth: Complete original J Hepatobiliary Pancreat Sci 2025; 32:276–286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Ten entered: five LDLT and five dropouts. One-year post-LT OS was 100%, with median recipient follow-up 23.7 months; one bone recurrence occurred at 10 months and death at 23.7 months. All five had complications, including two HAT events. Five-year ITT OS of 27.4% is from pathological diagnosis, not LT. Dropouts included conversion to resection, financial withdrawal, ERCP pancreatitis, progression and a positive node.</w:t>
            </w:r>
          </w:p>
          <w:p>
            <w:pPr>
              <w:pStyle w:val="Normal"/>
              <w:widowControl/>
              <w:spacing w:before="60" w:after="20"/>
            </w:pPr>
            <w:r>
              <w:rPr>
                <w:b/>
              </w:rPr>
              <w:t xml:space="preserve">Do not infer: </w:t>
            </w:r>
            <w:r>
              <w:t xml:space="preserve">Five recipients with immature long-term estimates and substantial arterial harm; no regimen noninferiority, no ICI data and no tested prior-biopsy/cleared-node expansion. Outside-field arterial reconstruction is a technical hypothesis from a tiny sequence, not a universally validated operation.</w:t>
            </w:r>
          </w:p>
        </w:tc>
      </w:tr>
      <w:tr>
        <w:trPr/>
        <w:tc>
          <w:tcPr>
            <w:tcW w:w="3400" w:type="dxa"/>
            <w:tcMar>
              <w:top w:w="90" w:type="dxa"/>
              <w:left w:w="90" w:type="dxa"/>
              <w:bottom w:w="90" w:type="dxa"/>
              <w:right w:w="90" w:type="dxa"/>
            </w:tcMar>
          </w:tcPr>
          <w:p>
            <w:pPr>
              <w:pStyle w:val="Normal"/>
              <w:widowControl/>
              <w:spacing w:before="60" w:after="20"/>
            </w:pPr>
            <w:r>
              <w:rPr>
                <w:b/>
              </w:rPr>
              <w:t xml:space="preserve">Aveson 2022</w:t>
            </w:r>
            <w:r>
              <w:t xml:space="preserve"> </w:t>
            </w:r>
            <w:r>
              <w:t xml:space="preserve"> </w:t>
            </w:r>
            <w:r>
              <w:t xml:space="preserve"> </w:t>
            </w:r>
            <w:r>
              <w:fldChar w:fldCharType="begin"/>
            </w:r>
            <w:r>
              <w:instrText xml:space="preserve"> ADDIN EN.CITE </w:instrText>
            </w:r>
            <w:r>
              <w:fldChar w:fldCharType="begin">
                <w:fldData>PEVuZE5vdGU+PENpdGU+PEF1dGhvcj5BdmVzb248L0F1dGhvcj48WWVhcj4yMDIyPC9ZZWFyPjxSZWNOdW0+ODwvUmVjTnVtPjxEaXNwbGF5VGV4dD5bVjE2LThdPC9EaXNwbGF5VGV4dD48cmVjb3JkPjxyZWMtbnVtYmVyPjg8L3JlYy1udW1iZXI+PGZvcmVpZ24ta2V5cz48a2V5IGFwcD0iRU4iIGRiLWlkPSJkOTdmYTVhMy1kYmUzLTU4ODMtYTU2OC01MmVlZTI3YjM3YmQiIHRpbWVzdGFtcD0iMTc5MzI4MzY4NCI+OD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MSK retrospective planned-resection/exploration cohort, 1991–2014: 262 patients, 37 TP primary biopsies and 225 intraluminal/no biopsies; 155 R0/R1 resections, not 262 completed resections.</w:t>
            </w:r>
          </w:p>
          <w:p>
            <w:pPr>
              <w:pStyle w:val="Normal"/>
              <w:widowControl/>
              <w:spacing w:before="60" w:after="20"/>
            </w:pPr>
            <w:r>
              <w:t xml:space="preserve">Selection: MSK retrospective planned-resection/exploration cohort 1991–2014: 262 evaluable patients; 37 primary-tumor transperitoneal biopsies versus 225 intraluminal/no biopsies (134/91). Only 155 underwent R0/R1 resection; 107 were unresectable, R2 or bypass. This is not 262 completed resections and not an LT cohort.</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Complete eight-page HPB 2022; 24:942–949 PDF; Methods, patient flow, Tables 1–3 and competing-risk results.</w:t>
            </w:r>
          </w:p>
          <w:p>
            <w:pPr>
              <w:pStyle w:val="Normal"/>
              <w:widowControl/>
              <w:spacing w:before="60" w:after="20"/>
            </w:pPr>
            <w:r>
              <w:t xml:space="preserve">Review depth: Complete original HPB 2022; 24:942–949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Index PM: 2/37 (5.4%) versus 17/225 (7.6%), p&gt;0.9.; 243 were initially PM-negative (35 exposed/208 unexposed); 72 subsequently developed PM.; Two-year cumulative PM 20.3% (95% CI 8.7–35.2) versus 20.1% (14.9–25.9), p=0.7.; Only 98 had R0 resections (14 TP/84 non-TP), with six PM-first recurrences; subgroup precision is limited.</w:t>
            </w:r>
          </w:p>
          <w:p>
            <w:pPr>
              <w:pStyle w:val="Normal"/>
              <w:widowControl/>
              <w:spacing w:before="60" w:after="20"/>
            </w:pPr>
            <w:r>
              <w:rPr>
                <w:b/>
              </w:rPr>
              <w:t xml:space="preserve">Do not infer: </w:t>
            </w:r>
            <w:r>
              <w:t xml:space="preserve">The absence of increased PM is genuine counterevidence to inevitable-seeding claims, but only 37 exposed patients, short 32-/38-day biopsy-to-operation intervals and no LT waiting/immunosuppression setting prevent a transplant-safety inference. Current policy is not overridden.</w:t>
            </w:r>
          </w:p>
        </w:tc>
      </w:tr>
      <w:tr>
        <w:trPr/>
        <w:tc>
          <w:tcPr>
            <w:tcW w:w="3400" w:type="dxa"/>
            <w:tcMar>
              <w:top w:w="90" w:type="dxa"/>
              <w:left w:w="90" w:type="dxa"/>
              <w:bottom w:w="90" w:type="dxa"/>
              <w:right w:w="90" w:type="dxa"/>
            </w:tcMar>
          </w:tcPr>
          <w:p>
            <w:pPr>
              <w:pStyle w:val="Normal"/>
              <w:widowControl/>
              <w:spacing w:before="60" w:after="20"/>
            </w:pPr>
            <w:r>
              <w:rPr>
                <w:b/>
              </w:rPr>
              <w:t xml:space="preserve">Ethun 2018</w:t>
            </w:r>
            <w:r>
              <w:t xml:space="preserve"> </w:t>
            </w:r>
            <w:r>
              <w:t xml:space="preserve"> </w:t>
            </w:r>
            <w:r>
              <w:t xml:space="preserve"> </w:t>
            </w:r>
            <w:r>
              <w:fldChar w:fldCharType="begin"/>
            </w:r>
            <w:r>
              <w:instrText xml:space="preserve"> ADDIN EN.CITE </w:instrText>
            </w:r>
            <w:r>
              <w:fldChar w:fldCharType="begin">
                <w:fldData>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Multicenter resection (2000–2015) and LT (2005–2016) experience: 234 attempted/191 R0–R1 resections; 70 LT-protocol entrants, 46 completed LT, 41 confirmed-cancer recipients; 66 in ITT after four missing entry dates.</w:t>
            </w:r>
          </w:p>
          <w:p>
            <w:pPr>
              <w:pStyle w:val="Normal"/>
              <w:widowControl/>
              <w:spacing w:before="60" w:after="20"/>
            </w:pPr>
            <w:r>
              <w:t xml:space="preserve">Selection: Strong selection differences. Table 1 median ages: 54 LT/67 resection; abstract ages differ. Recipient comparisons start at surgery; ITT uses LT-protocol initiation versus resection surgery. Restricted analysis was unadjusted, not multivariable-adjusted.</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Complete PDF pp 2–7, Methods, Table 1, flow and survival/ITT figures; Ann Surg 2018; 267:797–805.</w:t>
            </w:r>
          </w:p>
          <w:p>
            <w:pPr>
              <w:pStyle w:val="Normal"/>
              <w:widowControl/>
              <w:spacing w:before="60" w:after="20"/>
            </w:pPr>
            <w:r>
              <w:t xml:space="preserve">Review depth: Complete original Ann Surg 2018; 267:797–805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Recipient three-/five-year OS: 72%/64% LT versus 33%/18% resection. Non-PSC, &lt;3-cm, N0 recipient comparison: five-year OS 54% versus 29%, p=.03. Restricted ITT, 35 LT-protocol versus 57 attempted resections: one-/three-/five-year OS 82%/46%/41% versus 72%/45%/27%, p=.049. Overall ITT, 66 versus 234: five-year OS 53% versus 17%.</w:t>
            </w:r>
          </w:p>
          <w:p>
            <w:pPr>
              <w:pStyle w:val="Normal"/>
              <w:widowControl/>
              <w:spacing w:before="60" w:after="20"/>
            </w:pPr>
            <w:r>
              <w:rPr>
                <w:b/>
              </w:rPr>
              <w:t xml:space="preserve">Do not infer: </w:t>
            </w:r>
            <w:r>
              <w:t xml:space="preserve">No multivariable adjustment; postoperative resection subgroups, clinical LT selection, unmatched entry clocks, era and treatment confounding. This is LT-favorable observational evidence, not proof of superiority over optimized R0 resection; compare explicitly with Dong.</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Q8L1JlY051bT48RGlzcGxheVRleHQ+W1YxNi00XTwvRGlzcGxheVRleHQ+PHJlY29yZD48cmVjLW51bWJlcj40PC9yZWMtbnVtYmVyPjxmb3JlaWduLWtleXM+PGtleSBhcHA9IkVOIiBkYi1pZD0iZDk3ZmE1YTMtZGJlMy01ODgzLWE1NjgtNTJlZWUyN2IzN2JkIiB0aW1lc3RhbXA9IjE3OTMyODM2ODQiPjQ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Mayo retrospective 1993–2010: 199 protocol entrants, 62 dropouts, 131 local LT recipients and six LT elsewhere. Clear radial masses &gt;3 cm were excluded. The recorded mass measurement could be maximal radial OR longitudinal diameter, and the authors explain that observed &gt;3-cm measurements were generally longitudinal extension.</w:t>
            </w:r>
          </w:p>
          <w:p>
            <w:pPr>
              <w:pStyle w:val="Normal"/>
              <w:widowControl/>
              <w:spacing w:before="60" w:after="20"/>
            </w:pPr>
            <w:r>
              <w:t xml:space="preserve">Selection: Clear radial masses &gt;3 cm were excluded. The measured mass variable could be maximal radial or longitudinal diameter; the authors state that observed &gt;3-cm measurements generally reflected longitudinal extension.</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Complete Hepatology 2012 PDF, Transplantation and Recurrence sections.</w:t>
            </w:r>
          </w:p>
          <w:p>
            <w:pPr>
              <w:pStyle w:val="Normal"/>
              <w:widowControl/>
              <w:spacing w:before="60" w:after="20"/>
            </w:pPr>
            <w:r>
              <w:t xml:space="preserve">Review depth: Complete original article, Hepatology 2012; 56:972–981. Complete main paper reviewed; separate supplements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11/131 local recipients required retransplantation: six HAT, three primary nonfunction, one ischemic cholangiopathy and one recurrent PSC. Five-year post-LT OS was 71% and RFS 68%.</w:t>
            </w:r>
          </w:p>
          <w:p>
            <w:pPr>
              <w:pStyle w:val="Normal"/>
              <w:widowControl/>
              <w:spacing w:before="60" w:after="20"/>
            </w:pPr>
            <w:r>
              <w:rPr>
                <w:b/>
              </w:rPr>
              <w:t xml:space="preserve">Do not infer: </w:t>
            </w:r>
            <w:r>
              <w:t xml:space="preserve">Overlapping Mayo experience, not an independent additive safety denominator. Recurrence benefit must be discussed beside graft loss and retransplant use.</w:t>
            </w:r>
          </w:p>
        </w:tc>
      </w:tr>
      <w:tr>
        <w:trPr/>
        <w:tc>
          <w:tcPr>
            <w:tcW w:w="3400" w:type="dxa"/>
            <w:tcMar>
              <w:top w:w="90" w:type="dxa"/>
              <w:left w:w="90" w:type="dxa"/>
              <w:bottom w:w="90" w:type="dxa"/>
              <w:right w:w="90" w:type="dxa"/>
            </w:tcMar>
          </w:tcPr>
          <w:p>
            <w:pPr>
              <w:pStyle w:val="Normal"/>
              <w:widowControl/>
              <w:spacing w:before="60" w:after="20"/>
            </w:pPr>
            <w:r>
              <w:rPr>
                <w:b/>
              </w:rPr>
              <w:t xml:space="preserve">Olthof 2020</w:t>
            </w:r>
            <w:r>
              <w:t xml:space="preserve"> </w:t>
            </w:r>
            <w:r>
              <w:t xml:space="preserve"> </w:t>
            </w:r>
            <w:r>
              <w:t xml:space="preserve"> </w:t>
            </w:r>
            <w:r>
              <w:fldChar w:fldCharType="begin"/>
            </w:r>
            <w:r>
              <w:instrText xml:space="preserve"> ADDIN EN.CITE </w:instrText>
            </w:r>
            <w:r>
              <w:fldChar w:fldCharType="begin">
                <w:fldData>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20-center retrospective dataset: 1667 records, 1484 combined hepatic/biliary resections after exclusion of 37 unresectable cases, 140 bile-duct-only resections and six LT. 298 PVE/1186 no PVE; complete volumetry in 510 (151/359), with propensity matching of 98 PVE and 98 controls.</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Complete PDF, matched cohort/Table 3 and Discussion; Ann Surg Oncol 2020; 27:2311–2318.</w:t>
            </w:r>
          </w:p>
          <w:p>
            <w:pPr>
              <w:pStyle w:val="Normal"/>
              <w:widowControl/>
              <w:spacing w:before="60" w:after="20"/>
            </w:pPr>
            <w:r>
              <w:t xml:space="preserve">Review depth: Complete original Ann Surg Oncol 2020; 27:2311–2318 article; byte-identical to the V7 PDF and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Among 98 matched pairs, PVE versus no PVE: ISGLS B/C liver failure 8/98 versus 35/98, 90-day mortality 7/98 versus 18/98, and bile leak 10/98 versus 34/98. Median relative FLR-volume growth was 42% after 22 days, distinct from approximately seven-percentage-point FLR-share growth. Major morbidity, 51% versus 54%, did not differ.</w:t>
            </w:r>
          </w:p>
          <w:p>
            <w:pPr>
              <w:pStyle w:val="Normal"/>
              <w:widowControl/>
              <w:spacing w:before="60" w:after="20"/>
            </w:pPr>
            <w:r>
              <w:rPr>
                <w:b/>
              </w:rPr>
              <w:t xml:space="preserve">Do not infer: </w:t>
            </w:r>
            <w:r>
              <w:t xml:space="preserve">Only operated patients and complete-data matching; the denominator failing to reach resection after PVE is unavailable. No validated universal FLR cutoff or mandatory day-22 clearance; assess function, cholestasis and infection.</w:t>
            </w:r>
          </w:p>
        </w:tc>
      </w:tr>
      <w:tr>
        <w:trPr/>
        <w:tc>
          <w:tcPr>
            <w:tcW w:w="3400" w:type="dxa"/>
            <w:tcMar>
              <w:top w:w="90" w:type="dxa"/>
              <w:left w:w="90" w:type="dxa"/>
              <w:bottom w:w="90" w:type="dxa"/>
              <w:right w:w="90" w:type="dxa"/>
            </w:tcMar>
          </w:tcPr>
          <w:p>
            <w:pPr>
              <w:pStyle w:val="Normal"/>
              <w:widowControl/>
              <w:spacing w:before="60" w:after="20"/>
            </w:pPr>
            <w:r>
              <w:rPr>
                <w:b/>
              </w:rPr>
              <w:t xml:space="preserve">Vugts 2021</w:t>
            </w:r>
            <w:r>
              <w:t xml:space="preserve"> </w:t>
            </w:r>
            <w:r>
              <w:t xml:space="preserve"> </w:t>
            </w:r>
            <w:r>
              <w:t xml:space="preserve"> </w:t>
            </w:r>
            <w:r>
              <w:fldChar w:fldCharType="begin"/>
            </w:r>
            <w:r>
              <w:instrText xml:space="preserve"> ADDIN EN.CITE </w:instrText>
            </w:r>
            <w:r>
              <w:fldChar w:fldCharType="begin">
                <w:fldData>PEVuZE5vdGU+PENpdGU+PEF1dGhvcj5WdWd0czwvQXV0aG9yPjxZZWFyPjIwMjE8L1llYXI+PFJlY051bT4yOTwvUmVjTnVtPjxEaXNwbGF5VGV4dD5bVjE2LTI5XTwvRGlzcGxheVRleHQ+PHJlY29yZD48cmVjLW51bWJlcj4yOTwvcmVjLW51bWJlcj48Zm9yZWlnbi1rZXlzPjxrZXkgYXBwPSJFTiIgZGItaWQ9ImQ5N2ZhNWEzLWRiZTMtNTg4My1hNTY4LTUyZWVlMjdiMzdiZCIgdGltZXN0YW1wPSIxNzkzMjgzNjg0Ij4yOT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[V16-29]</w:t>
            </w:r>
            <w:r>
              <w:fldChar w:fldCharType="end"/>
            </w:r>
          </w:p>
          <w:p>
            <w:pPr>
              <w:pStyle w:val="Normal"/>
              <w:widowControl/>
              <w:spacing w:before="60" w:after="20"/>
            </w:pPr>
            <w:r>
              <w:t xml:space="preserve">732 consecutive Dutch pCCA presentations, 2002–2014; 154 underwent resection. Retrospective Mayo screening identified 34 potentially eligible (5%); 335 excluded for suspected/confirmed nodal or distant disease and 50 solely for age &gt;70. Two of the 34 actually received LT.</w:t>
            </w:r>
          </w:p>
          <w:p>
            <w:pPr>
              <w:pStyle w:val="Normal"/>
              <w:widowControl/>
              <w:spacing w:before="60" w:after="20"/>
            </w:pPr>
            <w:r>
              <w:t xml:space="preserve">Selection: 34/732 potentially Mayo-eligible after retrospective screening; two of these 34 actually received LT. This is predominantly historical non-LT care, not an entirely untreated/non-LT cohort.</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Full-text PDF</w:t>
              </w:r>
            </w:hyperlink>
          </w:p>
          <w:p>
            <w:pPr>
              <w:pStyle w:val="Normal"/>
              <w:widowControl/>
              <w:spacing w:before="60" w:after="20"/>
            </w:pPr>
            <w:r>
              <w:t xml:space="preserve">Locator: Complete PDF, Methods/statistical analysis, Results and survival; Ann Surg Oncol 2021; 28:1483–1492.</w:t>
            </w:r>
          </w:p>
          <w:p>
            <w:pPr>
              <w:pStyle w:val="Normal"/>
              <w:widowControl/>
              <w:spacing w:before="60" w:after="20"/>
            </w:pPr>
            <w:r>
              <w:t xml:space="preserve">Review depth: Complete original Ann Surg Oncol 2021; 28:1483–1492 article, with correction information in the source record. Byte-identical to the already verified V7 PDF;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Potentially eligible cohort median OS 13 months (95% CI 3–23) from first presentation at the tertiary center; one-/three-/five-year OS 56%/18%/11%.</w:t>
            </w:r>
          </w:p>
          <w:p>
            <w:pPr>
              <w:pStyle w:val="Normal"/>
              <w:widowControl/>
              <w:spacing w:before="60" w:after="20"/>
            </w:pPr>
            <w:r>
              <w:rPr>
                <w:b/>
              </w:rPr>
              <w:t xml:space="preserve">Do not infer: </w:t>
            </w:r>
            <w:r>
              <w:t xml:space="preserve">No matched modern comparator, incompletely reconstructible infection/staging criteria and no prospective NAT-tolerance assessment. Shows unmet need, not LT efficacy or superiority over R0 resection.</w:t>
            </w:r>
          </w:p>
        </w:tc>
      </w:tr>
      <w:tr>
        <w:trPr/>
        <w:tc>
          <w:tcPr>
            <w:tcW w:w="3400" w:type="dxa"/>
            <w:tcMar>
              <w:top w:w="90" w:type="dxa"/>
              <w:left w:w="90" w:type="dxa"/>
              <w:bottom w:w="90" w:type="dxa"/>
              <w:right w:w="90" w:type="dxa"/>
            </w:tcMar>
          </w:tcPr>
          <w:p>
            <w:pPr>
              <w:pStyle w:val="Normal"/>
              <w:widowControl/>
              <w:spacing w:before="60" w:after="20"/>
            </w:pPr>
            <w:r>
              <w:rPr>
                <w:b/>
              </w:rPr>
              <w:t xml:space="preserve">Gorji 2024</w:t>
            </w:r>
            <w:r>
              <w:t xml:space="preserve"> </w:t>
            </w:r>
            <w:r>
              <w:t xml:space="preserve"> </w:t>
            </w:r>
            <w:r>
              <w:t xml:space="preserve"> </w:t>
            </w:r>
            <w:r>
              <w:fldChar w:fldCharType="begin"/>
            </w:r>
            <w:r>
              <w:instrText xml:space="preserve"> ADDIN EN.CITE </w:instrText>
            </w:r>
            <w:r>
              <w:fldChar w:fldCharType="begin">
                <w:fldData>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</w:fldData>
              </w:fldChar>
            </w:r>
            <w:r>
              <w:instrText xml:space="preserve"> ADDIN EN.CITE.DATA </w:instrText>
            </w:r>
            <w:r>
              <w:fldChar w:fldCharType="end"/>
            </w:r>
            <w:r>
              <w:fldChar w:fldCharType="separate"/>
            </w:r>
            <w:r>
              <w:t xml:space="preserve">[V16-14]</w:t>
            </w:r>
            <w:r>
              <w:fldChar w:fldCharType="end"/>
            </w:r>
          </w:p>
          <w:p>
            <w:pPr>
              <w:pStyle w:val="Normal"/>
              <w:widowControl/>
              <w:spacing w:before="60" w:after="20"/>
            </w:pPr>
            <w:r>
              <w:t xml:space="preserve">Narrative review; no new patient cohort or meta-analysis.</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pp 213–216 Tables 2–3, Figure 2, CRLM/NET and allocation sections; references pp 217–218.</w:t>
            </w:r>
          </w:p>
          <w:p>
            <w:pPr>
              <w:pStyle w:val="Normal"/>
              <w:widowControl/>
              <w:spacing w:before="60" w:after="20"/>
            </w:pPr>
            <w:r>
              <w:t xml:space="preserve">Review depth: Complete eight-page narrative review read, including tables, figures/captions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Useful historical synthesis, not a substitute for current allocation guidance or primary trial denominators.; Table 2 p 213 distinguishes Milan NET age &lt;60 (relative), &lt;50% burden and &gt;6-month stability from other guidance; Figure 2 p 215 imports older risk flags (Ki-67 &gt;10%, observation &lt;12 months), which are not proven universal gates.; CRLM p 214 uses IHPBA BRAF V600E and historical CEA/PET language; these are not interchangeable with current NLRB all-BRAF and CEA rules.</w:t>
            </w:r>
          </w:p>
          <w:p>
            <w:pPr>
              <w:pStyle w:val="Normal"/>
              <w:widowControl/>
              <w:spacing w:before="60" w:after="20"/>
            </w:pPr>
            <w:r>
              <w:rPr>
                <w:b/>
              </w:rPr>
              <w:t xml:space="preserve">Do not infer: </w:t>
            </w:r>
            <w:r>
              <w:t xml:space="preserve">The paper says no iCCA/CRLM MELD exceptions and uses older allocation sources: outdated for 2026.; NET ELTR sentence p 216 reverses pre-/post-2000 five-year OS (46% versus 59%); primary ELTR shows better post-2000 outcome.; SECA-II DFS labels p 215 use 1/3/5 years although the primary paper reports 1/2/3 years for 53/44/35%.; Do not count review citations as independent outcome data or adopt Figure 2 Ki-67/observation cutoffs over current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Wu 2023</w:t>
            </w:r>
            <w:r>
              <w:t xml:space="preserve"> </w:t>
            </w:r>
            <w:r>
              <w:t xml:space="preserve"> </w:t>
            </w:r>
            <w:r>
              <w:t xml:space="preserve"> </w:t>
            </w:r>
            <w:r>
              <w:fldChar w:fldCharType="begin"/>
            </w:r>
            <w:r>
              <w:instrText xml:space="preserve"> ADDIN EN.CITE </w:instrText>
            </w:r>
            <w:r>
              <w:fldChar w:fldCharType="begin">
                <w:fldData>PEVuZE5vdGU+PENpdGU+PEF1dGhvcj5XdTwvQXV0aG9yPjxZZWFyPjIwMjM8L1llYXI+PFJlY051bT4xMTwvUmVjTnVtPjxEaXNwbGF5VGV4dD5bVjE2LTExXTwvRGlzcGxheVRleHQ+PHJlY29yZD48cmVjLW51bWJlcj4xMTwvcmVjLW51bWJlcj48Zm9yZWlnbi1rZXlzPjxrZXkgYXBwPSJFTiIgZGItaWQ9ImQ5N2ZhNWEzLWRiZTMtNTg4My1hNTY4LTUyZWVlMjdiMzdiZCIgdGltZXN0YW1wPSIxNzkzMjgzNjg0Ij4x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Fifteen studies and 315 transplanted patients; 14 retrospective studies and one prospective study. Searches through 9 September 2022. Four Mayo-protocol studies contributed 208 recipients, two SBRT studies 11, and nine other-protocol studies 96. Four studies included iCCA.</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PDF pp 2–4 methods, included studies and pooled pCR; study table and forest plots; pp 7–8 discussion and limitations.</w:t>
            </w:r>
          </w:p>
          <w:p>
            <w:pPr>
              <w:pStyle w:val="Normal"/>
              <w:widowControl/>
              <w:spacing w:before="60" w:after="20"/>
            </w:pPr>
            <w:r>
              <w:t xml:space="preserve">Review depth: Complete ten-page systematic review and meta-analysis read, including study table,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Pooled pCR was 32% (95% CI 19–49), with substantial heterogeneity (I² 56%). Mayo subgroup pCR was 46% (31–61), SBRT 9% (1–44), and other regimens 33% (13–63).; Subgroup comparison was reported at p=.05; chemotherapy-duration association p=.13. Neither establishes regimen equivalence or noninferiority.; Study-level pCR was not associated with OS in meta-regression. This is not evidence that an individual's residual viable tumor lacks prognostic importance.; The table labels McMillan survival as post-LT although the primary article reports the relevant survival from listing. It also lists Loveday dropout as 10/18, whereas the primary full text has 11/18. Use the primary papers for these values.; Different studies contribute to pooled one-, three- and five-year RFS; nonmonotone pooled figures must not be shown as one longitudinal survival curve.</w:t>
            </w:r>
          </w:p>
          <w:p>
            <w:pPr>
              <w:pStyle w:val="Normal"/>
              <w:widowControl/>
              <w:spacing w:before="60" w:after="20"/>
            </w:pPr>
            <w:r>
              <w:rPr>
                <w:b/>
              </w:rPr>
              <w:t xml:space="preserve">Do not infer: </w:t>
            </w:r>
            <w:r>
              <w:t xml:space="preserve">Transplanted-only selection; mixed pCCA/iCCA populations; small and nonrandomized regimen subgroups; center overlap addressed imperfectly; ecological meta-regression; some secondary extraction errors. The meta-analysis is not a radiation prescription source or a regimen-equivalence trial. Time origin: pCR is an explant outcome among recipients, excluding pathway dropouts. Pooled survival time origins are not uniform enough to treat the table as a common post-LT survival curve.</w:t>
            </w:r>
          </w:p>
        </w:tc>
      </w:tr>
      <w:tr>
        <w:trPr/>
        <w:tc>
          <w:tcPr>
            <w:tcW w:w="3400" w:type="dxa"/>
            <w:tcMar>
              <w:top w:w="90" w:type="dxa"/>
              <w:left w:w="90" w:type="dxa"/>
              <w:bottom w:w="90" w:type="dxa"/>
              <w:right w:w="90" w:type="dxa"/>
            </w:tcMar>
          </w:tcPr>
          <w:p>
            <w:pPr>
              <w:pStyle w:val="Normal"/>
              <w:widowControl/>
              <w:spacing w:before="60" w:after="20"/>
            </w:pPr>
            <w:r>
              <w:rPr>
                <w:b/>
              </w:rPr>
              <w:t xml:space="preserve">Semaan 2025</w:t>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Tg8L1JlY051bT48RGlzcGxheVRleHQ+W1YxNi0xOF08L0Rpc3BsYXlUZXh0PjxyZWNvcmQ+PHJlYy1udW1iZXI+MTg8L3JlYy1udW1iZXI+PGZvcmVpZ24ta2V5cz48a2V5IGFwcD0iRU4iIGRiLWlkPSJkOTdmYTVhMy1kYmUzLTU4ODMtYTU2OC01MmVlZTI3YjM3YmQiIHRpbWVzdGFtcD0iMTc5MzI4MzY4NCI+MT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Retrospective Houston Methodist cohort, 2008–2023: 53 LT recipients, 27 pCCA and 26 iCCA; 49 received neoadjuvant treatment. Results overlap earlier Houston iCCA series and must not be counted as independent replication.</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PDF pp 1–2 methods; p 4/Table 2 exposure and timing; pp 5–7/Table 4 time-dependent models and Table 5 survival; pp 7–8 discussion.</w:t>
            </w:r>
          </w:p>
          <w:p>
            <w:pPr>
              <w:pStyle w:val="Normal"/>
              <w:widowControl/>
              <w:spacing w:before="60" w:after="20"/>
            </w:pPr>
            <w:r>
              <w:t xml:space="preserve">Review depth: Complete nine-page main article read. Tables and time-dependent analysis verified.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Thirty-nine of 53 patients received an mTOR inhibitor (73.6%); the abstract's 71.7% is inconsistent with 39/53 and matches the everolimus count of 38. Five received sirolimus and four received both sequentially.; Median initiation was 38 days after LT (IQR 27–79.5), not a tested mandatory day 30–38 conversion interval.; Three-year OS was 69.2% (95% CI 56.9–84.2) and RFS 57.4% (43.7–75.4); 21 patients developed recurrence.; The optimized conventional Cox association between mTOR use and OS was HR 0.16 (0.06–0.45; p=.001). It was not confirmed when mTOR exposure was treated as time-dependent: OS HR 0.52 (0.19–1.43; p=.2); RFS HR 0.82 (0.32–2.08; p=.7).; Pathology included multifocal iCCA, occult nodal disease and other adverse features; presumed pre-LT N 0 status does not establish the safety of knowingly transplanting node-positive patients.</w:t>
            </w:r>
          </w:p>
          <w:p>
            <w:pPr>
              <w:pStyle w:val="Normal"/>
              <w:widowControl/>
              <w:spacing w:before="60" w:after="20"/>
            </w:pPr>
            <w:r>
              <w:rPr>
                <w:b/>
              </w:rPr>
              <w:t xml:space="preserve">Do not infer: </w:t>
            </w:r>
            <w:r>
              <w:t xml:space="preserve">Small, heterogeneous, nonrandomized cohort; stepwise model selection; post-LT exposure timing; overlapping Houston patients. The source's current/prior/never-use categories are not readily reconciled with 39 ever-exposed patients. Do not infer a causal survival benefit, an optimal trough target, or a mandatory conversion date. Time origin: OS and RFS begin at LT; median post-LT follow-up 910 days. mTOR exposure starts after LT, creating an important timing/immortal-time problem in simple ever-treated comparisons.</w:t>
            </w:r>
          </w:p>
        </w:tc>
      </w:tr>
      <w:tr>
        <w:trPr/>
        <w:tc>
          <w:tcPr>
            <w:tcW w:w="3400" w:type="dxa"/>
            <w:tcMar>
              <w:top w:w="90" w:type="dxa"/>
              <w:left w:w="90" w:type="dxa"/>
              <w:bottom w:w="90" w:type="dxa"/>
              <w:right w:w="90" w:type="dxa"/>
            </w:tcMar>
          </w:tcPr>
          <w:p>
            <w:pPr>
              <w:pStyle w:val="Normal"/>
              <w:widowControl/>
              <w:spacing w:before="60" w:after="20"/>
            </w:pPr>
            <w:r>
              <w:rPr>
                <w:b/>
              </w:rPr>
              <w:t xml:space="preserve">Ramanan 2017</w:t>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E3PC9SZWNOdW0+PERpc3BsYXlUZXh0PltWMTYtMTddPC9EaXNwbGF5VGV4dD48cmVjb3JkPjxyZWMtbnVtYmVyPjE3PC9yZWMtbnVtYmVyPjxmb3JlaWduLWtleXM+PGtleSBhcHA9IkVOIiBkYi1pZD0iZDk3ZmE1YTMtZGJlMy01ODgzLWE1NjgtNTJlZWUyN2IzN2JkIiB0aW1lc3RhbXA9IjE3OTMyODM2ODQiPjE3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spacing w:before="60" w:after="20"/>
            </w:pPr>
            <w:r>
              <w:t xml:space="preserve">Retrospective Mayo cohort of 124 pCCA recipients after neoadjuvant treatment and LT, 2004–2013; two incidental/no-neoadjuvant cases excluded from 126. Forty-five received LDLT; all had Roux-en-Y reconstruction. This is an infection cohort, not a randomized immunosuppression trial.</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PDF p 2 §§2.4–2.5 (immunosuppression/prophylaxis); pp 3–4 infection denominators and timing; pp 5–7 outcome models and limitations.</w:t>
            </w:r>
          </w:p>
          <w:p>
            <w:pPr>
              <w:pStyle w:val="Normal"/>
              <w:widowControl/>
              <w:spacing w:before="60" w:after="20"/>
            </w:pPr>
            <w:r>
              <w:t xml:space="preserve">Review depth: Complete seven-page main article read, including methods, results, tables, discussion and references.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There were 255 infections in 105/124 patients (84.7%); 53/124 had intra-abdominal infection, with 88 episodes. Forty-three had bloodstream infection, with 67 episodes.; The described regimen used tacrolimus, MMF and prednisone; prednisone was withdrawn on postoperative day 121 and MMF at 2–4 months when feasible, aiming for tacrolimus monotherapy. It does not support universal MMF cessation at 30 days or steroid withdrawal at 30 days.; The center used basiliximab with delayed tacrolimus in renal insufficiency (creatinine clearance &lt;40 mL/min or dialysis). This is a reported institutional strategy, not a proven pCCA-specific numeric threshold.; Associations with time to first infection of any type (Table3), not specifically abdominal infection, included LDLT HR 6.63 (95% CI 2.74–16.0), hepatic artery thrombosis HR 2.62 (1.34–5.12), biliary stricture HR 3.76 (1.60–8.82), and abdominal fluid collections HR 4.20 (2.14–8.23). These are nonrandomized associations, not proof that LDLT causes infection.; There were 36 deaths, 26 from recurrent CCA. Abdominal infection was associated with mortality after adjustment for recurrent CCA; the paper does not establish the effect of changing the immunosuppression schedule.</w:t>
            </w:r>
          </w:p>
          <w:p>
            <w:pPr>
              <w:pStyle w:val="Normal"/>
              <w:widowControl/>
              <w:spacing w:before="60" w:after="20"/>
            </w:pPr>
            <w:r>
              <w:rPr>
                <w:b/>
              </w:rPr>
              <w:t xml:space="preserve">Do not infer: </w:t>
            </w:r>
            <w:r>
              <w:t xml:space="preserve">Single center, historical practice, confounding by technical complexity and complications. Do not transfer old antimicrobial prophylaxis or immunosuppression details into a current mandatory order set. Time origin: Infection and survival outcomes begin at LT; median follow-up 4.2 years. Kaplan–Meier median time to first infection was 105.8 days. The 37-day median among infected patients is a different statistic.</w:t>
            </w:r>
          </w:p>
        </w:tc>
      </w:tr>
      <w:tr>
        <w:trPr/>
        <w:tc>
          <w:tcPr>
            <w:tcW w:w="3400" w:type="dxa"/>
            <w:tcMar>
              <w:top w:w="90" w:type="dxa"/>
              <w:left w:w="90" w:type="dxa"/>
              <w:bottom w:w="90" w:type="dxa"/>
              <w:right w:w="90" w:type="dxa"/>
            </w:tcMar>
          </w:tcPr>
          <w:p>
            <w:pPr>
              <w:pStyle w:val="Normal"/>
              <w:widowControl/>
              <w:spacing w:before="60" w:after="20"/>
            </w:pPr>
            <w:r>
              <w:rPr>
                <w:b/>
              </w:rPr>
              <w:t xml:space="preserve">Heinrich 2026</w:t>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yMDwvUmVjTnVtPjxEaXNwbGF5VGV4dD5bVjE2LTIwXTwvRGlzcGxheVRleHQ+PHJlY29yZD48cmVjLW51bWJlcj4yMDwvcmVjLW51bWJlcj48Zm9yZWlnbi1rZXlzPjxrZXkgYXBwPSJFTiIgZGItaWQ9ImQ5N2ZhNWEzLWRiZTMtNTg4My1hNTY4LTUyZWVlMjdiMzdiZCIgdGltZXN0YW1wPSIxNzkzMjgzNjg0Ij4yMD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Retrospective three-center German study, 2002–2021: 19 incidental biliary tract cancers found on explant versus 140 HCC recipients within Milan criteria. All incidental cases were T 1/T 2; the cohort includes more than just iCCA/pCCA. Twelve of 19 had PSC or autoimmune liver disease.</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PDF p 2 methods and surveillance; p 3 overall outcomes; pp 5–7 subgroup analyses and limitations; p 8 supporting-information descriptions.</w:t>
            </w:r>
          </w:p>
          <w:p>
            <w:pPr>
              <w:pStyle w:val="Normal"/>
              <w:widowControl/>
              <w:spacing w:before="60" w:after="20"/>
            </w:pPr>
            <w:r>
              <w:t xml:space="preserve">Review depth: Complete eight-page main article read. Supporting-information captions were read but separate supporting tables were not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was 65% in incidental BTC versus 73% in HCC (p=.31); DFS 54% versus 69% (p approximately .25). Failure to reject a difference is not proof of equivalence.; Six of 19 developed recurrence. Seventeen received no adjuvant treatment; two treated cases do not establish adjuvant benefit.; The observed surveillance schedule was CT/MRI every six months for three years, then annually through year five. It does not support attributing an every-three-month years 1–2/every-six-month years 3–5 schedule to this study.; CA 19-9 was available in only 13 patients; the four with &gt;100 U/mL all recurred. This tiny incomplete-data association is not a new absolute exclusion threshold.; Subgroup denominators in the body are internally inconsistent with total n=19; do not reproduce separate iCCA/pCCA/distal/GBC recurrence denominators without supporting-table clarification.</w:t>
            </w:r>
          </w:p>
          <w:p>
            <w:pPr>
              <w:pStyle w:val="Normal"/>
              <w:widowControl/>
              <w:spacing w:before="60" w:after="20"/>
            </w:pPr>
            <w:r>
              <w:rPr>
                <w:b/>
              </w:rPr>
              <w:t xml:space="preserve">Do not infer: </w:t>
            </w:r>
            <w:r>
              <w:t xml:space="preserve">Incidental tumors without pre-LT suspicion, mixed anatomic sites, tiny sample, selection/era confounding and underpowered survival comparisons. Not evidence for intentional transplantation of known advanced iCCA or pCCA. Surveillance was observed practice, not randomized optimization. Time origin: OS and DFS begin at LT; death without recurrence counts as a DFS event. Mean follow-up 61 months, range 4–254 months.</w:t>
            </w:r>
          </w:p>
        </w:tc>
      </w:tr>
      <w:tr>
        <w:trPr/>
        <w:tc>
          <w:tcPr>
            <w:tcW w:w="3400" w:type="dxa"/>
            <w:tcMar>
              <w:top w:w="90" w:type="dxa"/>
              <w:left w:w="90" w:type="dxa"/>
              <w:bottom w:w="90" w:type="dxa"/>
              <w:right w:w="90" w:type="dxa"/>
            </w:tcMar>
          </w:tcPr>
          <w:p>
            <w:pPr>
              <w:pStyle w:val="Normal"/>
              <w:widowControl/>
              <w:spacing w:before="60" w:after="20"/>
            </w:pPr>
            <w:r>
              <w:rPr>
                <w:b/>
              </w:rPr>
              <w:t xml:space="preserve">NCCN Biliary Tract Cancers v1.2026</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ZDk3ZmE1YTMtZGJlMy01ODgzLWE1NjgtNTJlZWUyN2IzN2Jk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PDF 23 EXTRA-1 footnote h; PDF 65 MS-18 transplantation discussion; PDF 16 INTRA-1 footnotes l and s; PDF 61 MS-14; PDF 23 EXTRA-1 footnote h; PDF 58–59 MS-11–12; PDF 16 INTRA-1 and PDF 21 INTRA-C; PDF 18 INTRA-A; PDF 25 EXTRA-A; PDF 59 MS-12; PDF 16 INTRA-1 footnotes; PDF 61 MS-14; PDF 36 BIL-C 1; PDF 37 BIL-C 2; PDF 41 BIL-D; PDF 65 MS-18; PDF 23 EXTRA-1; PDF 37 BIL-C 2; PDF 65 MS-18; PDF 17 INTRA-2; PDF 24 EXTRA-2; PDF 61 MS-14 and PDF 65 MS-18</w:t>
            </w:r>
          </w:p>
          <w:p>
            <w:pPr>
              <w:pStyle w:val="Normal"/>
              <w:widowControl/>
              <w:spacing w:before="60" w:after="20"/>
            </w:pPr>
            <w:r>
              <w:t xml:space="preserve">Review depth: Targeted complete relevant guideline sections reviewed; exact pages and limits in nccn_biliary_final_check.json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NCCN uses radial size ≤3 cm for highly selected pCCA LT consideration, with no nodal, intrahepatic or extrahepatic metastatic disease. This differs from current OPTN Policy 9.5.A's single mass &lt;3 cm requirement. The transplant-referral option links to footnote l for small single tumors &lt;3 cm. Footnotes also describe biopsy-proven iCCA/mixed HCC-iCCA, cirrhosis, unresectability, prior locoregional/systemic therapy and six months from diagnosis or last treatment without new lesions/extrahepatic disease. Current NLRB guidance uses ≤3 cm, so the exactly 3.0 cm boundary is not identical. Determine pCCA resection/transplant status before primary biopsy; potential LT candidates should be referred before transperitoneal or surgical primary-tumor biopsy. For unresectable iCCA, obtain tissue confirmation and biomarkers. A preoperative biopsy is not always necessary when proceeding directly to potentially curative resection. These are different clinical settings. Resection remains the standard potentially curative route when feasible. For pCCA, assess functional/volumetric FLR, arterial and portal inflow, biliary drainage, and whether remnant-directed drainage/PVE or expert vascular reconstruction can permit R 0 surgery. The guideline does not define a universal numeric FLR cutoff in these sections. The original diagnosis-or-last-treatment wording is genuinely present in this version of NCCN, not a fabricated phrase. NCCN's summary does not resolve the two formulations in the controlling NLRB guidance. The systemic-therapy page's named neoadjuvant subsection is for gallbladder cancer only. Unresectable/metastatic BTC regimens include GemCis plus durvalumab/pembrolizumab as preferred options, and chemotherapy-only alternatives. This does not establish a transplant-specific NAT regimen or pre-LT ICI safety. The pCCA LT discussion cites selected neoadjuvant chemoradiation experience without prescribing a universal radiation schedule. NCCN supports tissue/genomic assessment for unresectable disease to guide systemic treatment. It does not establish a blanket permanent LT exclusion for every prior targeted or other systemic therapy. The postoperative-resection algorithms suggest abdominal/pelvic cross-sectional imaging plus chest CT every 3–6 months for 2 years, then every 6–12 months through year 5. Both explicitly acknowledge lack of data for an optimal schedule and cite the BILCAP schedule. NCCN summarizes highly selected observational and small prospective LT experience and notes selection differences in pCCA LT/resection comparisons. This does not overturn the main-paper evidence audit or validate expanded advanced/node-positive disease.</w:t>
            </w:r>
          </w:p>
          <w:p>
            <w:pPr>
              <w:pStyle w:val="Normal"/>
              <w:widowControl/>
              <w:spacing w:before="60" w:after="20"/>
            </w:pPr>
            <w:r>
              <w:rPr>
                <w:b/>
              </w:rPr>
              <w:t xml:space="preserve">Do not infer: </w:t>
            </w:r>
            <w:r>
              <w:t xml:space="preserve">Targeted relevant-section review, not a whole-guideline audit. Source-specific wording does not override OPTN policy or establish an experimentally expanded eligibility rule.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mQ5N2ZhNWEzLWRiZTMtNTg4My1hNTY4LTUyZWVlMjdiMzdiZCIgdGltZXN0YW1wPSIxNzkzMjgzNjg0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Bowlus 2022</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zwvUmVjTnVtPjxEaXNwbGF5VGV4dD5bVjE2LTddPC9EaXNwbGF5VGV4dD48cmVjb3JkPjxyZWMtbnVtYmVyPjc8L3JlYy1udW1iZXI+PGZvcmVpZ24ta2V5cz48a2V5IGFwcD0iRU4iIGRiLWlkPSJkOTdmYTVhMy1kYmUzLTU4ODMtYTU2OC01MmVlZTI3YjM3YmQiIHRpbWVzdGFtcD0iMTc5MzI4MzY4NCI+Nz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AASLD practice guidance, published online 2022 and in the 2023 issue; no new trial denominator. Recommendations and their underlying studies must be distinguished.</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PDF p 24 guidance statement 33 and diagnostic workup; p 25 statements 39–40 and iCCA discussion; pp 26–28 pCCA biopsy, resection, NAT/LT and statement 48.</w:t>
            </w:r>
          </w:p>
          <w:p>
            <w:pPr>
              <w:pStyle w:val="Normal"/>
              <w:widowControl/>
              <w:spacing w:before="60" w:after="20"/>
            </w:pPr>
            <w:r>
              <w:t xml:space="preserve">Review depth: Targeted full-text review of all biliary cancer clinical sections in PDF pp 21–28, including diagnostic, resection and LT guidance and Figure 9. The unrelated remainder of the 44-page PSC guideline was not reread in full during this supplement.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iCCA diagnosis requires core biopsy and molecular characterization as appropriate; primary-tumor transperitoneal/EUS avoidance belongs to potential pCCA-LT candidates. EUS sampling of suspicious regional nodes is a different procedure.; R 0 resection with sufficient functional remnant remains the curative first route when feasible. The guidance's general remnant discussion is not a universal 40% numeric rule for every patient.; Guidance statement 48 uses pCCA radial size ≤3 cm, whereas current OPTN Policy 9.5.A requires a single mass, if present, &lt;3 cm. Exactly 3.0 cm is an explicit guideline/policy discrepancy, not an automatic standardized-exception case.; The guidance describes selected very-early iCCA evidence and keeps advanced iCCA in research; it does not turn incidental-cohort outcomes into a routine advanced-disease indication.; The guidance narrative mislabels the multicenter Murad 78% RFS as five-year; the primary article gives 78% at two years and 65% at five years. Its De Martin burden description also should not replace the primary largest-nodule measurement.</w:t>
            </w:r>
          </w:p>
          <w:p>
            <w:pPr>
              <w:pStyle w:val="Normal"/>
              <w:widowControl/>
              <w:spacing w:before="60" w:after="20"/>
            </w:pPr>
            <w:r>
              <w:rPr>
                <w:b/>
              </w:rPr>
              <w:t xml:space="preserve">Do not infer: </w:t>
            </w:r>
            <w:r>
              <w:t xml:space="preserve">Professional guidance is not allocation policy. Several secondary numerical summaries are inaccurate; use verified primary-study results. The systemic-treatment section predates newer trial updates and is not the sole source for 2026 non-LT therapy. Time origin: Not applicable to the guidance itself; use primary studies for outcome origins.</w:t>
            </w:r>
          </w:p>
        </w:tc>
      </w:tr>
      <w:tr>
        <w:trPr/>
        <w:tc>
          <w:tcPr>
            <w:tcW w:w="3400" w:type="dxa"/>
            <w:tcMar>
              <w:top w:w="90" w:type="dxa"/>
              <w:left w:w="90" w:type="dxa"/>
              <w:bottom w:w="90" w:type="dxa"/>
              <w:right w:w="90" w:type="dxa"/>
            </w:tcMar>
          </w:tcPr>
          <w:p>
            <w:pPr>
              <w:pStyle w:val="Normal"/>
              <w:widowControl/>
              <w:spacing w:before="60" w:after="20"/>
            </w:pPr>
            <w:r>
              <w:rPr>
                <w:b/>
              </w:rPr>
              <w:t xml:space="preserve">Tan 2020</w:t>
            </w:r>
            <w:r>
              <w:t xml:space="preserve"> </w:t>
            </w:r>
            <w:r>
              <w:t xml:space="preserve"> </w:t>
            </w:r>
            <w:r>
              <w:t xml:space="preserve"> </w:t>
            </w:r>
            <w:r>
              <w:fldChar w:fldCharType="begin"/>
            </w:r>
            <w:r>
              <w:instrText xml:space="preserve"> ADDIN EN.CITE </w:instrText>
            </w:r>
            <w:r>
              <w:fldChar w:fldCharType="begin">
                <w:fldData>PEVuZE5vdGU+PENpdGU+PEF1dGhvcj5UYW48L0F1dGhvcj48WWVhcj4yMDIwPC9ZZWFyPjxSZWNOdW0+MTA8L1JlY051bT48RGlzcGxheVRleHQ+W1YxNi0xMF08L0Rpc3BsYXlUZXh0PjxyZWNvcmQ+PHJlYy1udW1iZXI+MTA8L3JlYy1udW1iZXI+PGZvcmVpZ24ta2V5cz48a2V5IGFwcD0iRU4iIGRiLWlkPSJkOTdmYTVhMy1kYmUzLTU4ODMtYTU2OC01MmVlZTI3YjM3YmQiIHRpbWVzdGFtcD0iMTc5MzI4MzY4NCI+MTA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Narrative Mayo expert review with an updated 349-entry/211-LT program experience from 1993–2018; extensive overlap with prior Mayo reports, not an independent validation cohort.</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PDF pp 1–2 historical/updated outcomes; pp 2–3 eligibility and NAT; pp 3–5 operative staging, transplant and complications; pp 5–6 resection comparison.</w:t>
            </w:r>
          </w:p>
          <w:p>
            <w:pPr>
              <w:pStyle w:val="Normal"/>
              <w:widowControl/>
              <w:spacing w:before="60" w:after="20"/>
            </w:pPr>
            <w:r>
              <w:t xml:space="preserve">Review depth: Complete eight-page PDF read: seven-page main review plus copyright page. No separate supplementary material claimed.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Reported ITT one-/five-/ten-year survival was 80%/51%/46%; corresponding recipient survival was 91%/69%/62%. PSC and de novo outcomes differ substantially and should not be pooled without context.; Selection requires a malignant-appearing stricture plus a specified diagnostic feature; the radial mass limit is &lt;3 cm. Longitudinal duct extent and vascular encasement are not equivalent to metastatic disease or tumor thrombus.; The review describes 45-Gy EBRT followed by a 9.3–16-Gy intraluminal brachytherapy boost, with alternatives where brachytherapy cannot be delivered. These technical prescriptions are not interchangeable with a generic 20–30-Gy range without radiation-oncology plan review.; Operative staging includes regional nodes and abdominal exploration; it may occur near DDLT or the day before LDLT. Recipient staging and donor-operation sequencing need a written safety workflow.; Reported late arterial and portal-venous complication risks justify transplant vascular planning and surveillance. Aortic conduits, indefinite aspirin and anticoagulation described by one center are not automatically universal orders.; The review explicitly notes that observational LT/resection comparisons do not resolve the best treatment for resectable de novo pCCA.</w:t>
            </w:r>
          </w:p>
          <w:p>
            <w:pPr>
              <w:pStyle w:val="Normal"/>
              <w:widowControl/>
              <w:spacing w:before="60" w:after="20"/>
            </w:pPr>
            <w:r>
              <w:rPr>
                <w:b/>
              </w:rPr>
              <w:t xml:space="preserve">Do not infer: </w:t>
            </w:r>
            <w:r>
              <w:t xml:space="preserve">Expert narrative, overlapping center data, treatment-era and selection effects, no randomized comparison of NAT, vascular reconstruction, anticoagulation or surveillance schedules. Time origin: ITT survival begins at program entry; recipient survival begins at LT. These are reported separately.</w:t>
            </w:r>
          </w:p>
        </w:tc>
      </w:tr>
      <w:tr>
        <w:trPr/>
        <w:tc>
          <w:tcPr>
            <w:tcW w:w="3400" w:type="dxa"/>
            <w:tcMar>
              <w:top w:w="90" w:type="dxa"/>
              <w:left w:w="90" w:type="dxa"/>
              <w:bottom w:w="90" w:type="dxa"/>
              <w:right w:w="90" w:type="dxa"/>
            </w:tcMar>
          </w:tcPr>
          <w:p>
            <w:pPr>
              <w:pStyle w:val="Normal"/>
              <w:widowControl/>
              <w:spacing w:before="60" w:after="20"/>
            </w:pPr>
            <w:r>
              <w:rPr>
                <w:b/>
              </w:rPr>
              <w:t xml:space="preserve">Loveday 2018</w:t>
            </w:r>
            <w:r>
              <w:t xml:space="preserve"> </w:t>
            </w:r>
            <w:r>
              <w:t xml:space="preserve"> </w:t>
            </w:r>
            <w:r>
              <w:t xml:space="preserve"> </w:t>
            </w:r>
            <w:r>
              <w:fldChar w:fldCharType="begin"/>
            </w:r>
            <w:r>
              <w:instrText xml:space="preserve"> ADDIN EN.CITE </w:instrText>
            </w:r>
            <w:r>
              <w:fldChar w:fldCharType="begin">
                <w:fldData>PEVuZE5vdGU+PENpdGU+PEF1dGhvcj5Mb3ZlZGF5PC9BdXRob3I+PFllYXI+MjAxODwvWWVhcj48UmVjTnVtPjIyPC9SZWNOdW0+PERpc3BsYXlUZXh0PltWMTYtMjJdPC9EaXNwbGF5VGV4dD48cmVjb3JkPjxyZWMtbnVtYmVyPjIyPC9yZWMtbnVtYmVyPjxmb3JlaWduLWtleXM+PGtleSBhcHA9IkVOIiBkYi1pZD0iZDk3ZmE1YTMtZGJlMy01ODgzLWE1NjgtNTJlZWUyN2IzN2JkIiB0aW1lc3RhbXA9IjE3OTMyODM2ODQiPjIy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Prospective Toronto program, 2009–2015: 43 referred, 24 assessed in detail, 18 treated with neoadjuvant chemoradiation, six transplanted and one still awaiting LT. Initial radial limit &lt;3 cm was briefly increased to 3.5 cm, then returned to &lt;3 cm.</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PDF pp 2–3 eligibility and regimen; pp 3–5/Table 2 and patient-flow diagram; pp 5–6 transplant outcomes and discussion.</w:t>
            </w:r>
          </w:p>
          <w:p>
            <w:pPr>
              <w:pStyle w:val="Normal"/>
              <w:widowControl/>
              <w:spacing w:before="60" w:after="20"/>
            </w:pPr>
            <w:r>
              <w:t xml:space="preserve">Review depth: Complete seven-page main article read, including selection changes, patient flow and operative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Eleven of 18 treated patients dropped out (61.1%); six received LT (three LDLT and three DDLT), with one waiting at analysis.; The full text describes one comorbidity-related dropout, so do not repeat the abstract's implication that all 11 were metastatic progression. Six of 16 patients who reached operative staging had metastatic disease, and three later progressed during maintenance.; Both treated tumors exceeding 3 cm during the expansion period were found to have metastatic disease at staging and did not receive LT. This is a tiny cautionary experience, not a validated cutoff comparison.; ITT median OS was 16.4 months, with one-/two-year OS 70.6%/35.3%. Post-LT one-/two-year OS was 83.3%/55.6%. One recipient died of pulmonary embolism on postoperative day 6; another recurred at 14.1 months and died at 16.4 months.; Only one of six explants had pCR. Five of six received an aortic arterial jump graft; no arterial-graft complication was reported. Treatment-associated cholangitis and readmissions were common.</w:t>
            </w:r>
          </w:p>
          <w:p>
            <w:pPr>
              <w:pStyle w:val="Normal"/>
              <w:widowControl/>
              <w:spacing w:before="60" w:after="20"/>
            </w:pPr>
            <w:r>
              <w:rPr>
                <w:b/>
              </w:rPr>
              <w:t xml:space="preserve">Do not infer: </w:t>
            </w:r>
            <w:r>
              <w:t xml:space="preserve">Very small single-center series, substantial all-pathway attrition, short recipient follow-up, selection and waiting-time differences from Mayo. Cholangitis count differs between body text and Table 2; avoid an unqualified exact rate. Radiation-unit typographical errors must not be copied into prescriptions. Time origin: ITT OS starts at initiation of neoadjuvant treatment. Recipient OS starts at LT. Median time from NAT initiation to LT was 37 weeks; median recipient follow-up was only 12.6 months.</w:t>
            </w:r>
          </w:p>
        </w:tc>
      </w:tr>
    </w:tbl>
    <w:p>
      <w:pPr>
        <w:pStyle w:val="Normal"/>
        <w:widowControl/>
      </w:pPr>
      <w:hyperlink r:id="rId70">
        <w:r>
          <w:rPr>
            <w:color w:val="77230C"/>
            <w:sz w:val="20"/>
            <w:u w:val="single"/>
          </w:rPr>
          <w:t>Separate evidence/alignment meeting record — OPEN boundary decisions</w:t>
        </w:r>
      </w:hyperlink>
    </w:p>
    <w:p>
      <w:pPr>
        <w:pStyle w:val="Normal"/>
        <w:widowControl/>
      </w:pPr>
      <w:r>
        <w:t xml:space="preserve">Evidence review record: </w:t>
      </w:r>
      <w:hyperlink r:id="rId71">
        <w:r>
          <w:rPr>
            <w:color w:val="77230C"/>
            <w:sz w:val="20"/>
            <w:u w:val="single"/>
          </w:rPr>
          <w:t>Five analyst comments and reconciliation</w:t>
        </w:r>
      </w:hyperlink>
      <w:r>
        <w:t xml:space="preserve">  |  </w:t>
      </w:r>
      <w:hyperlink r:id="rId72">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pCCA_B1"/>
      <w:r>
        <w:t xml:space="preserve">pCCA-B1 — Previously malignant nodes, peritoneal or distant disease</w:t>
      </w:r>
      <w:bookmarkEnd w:id="16010"/>
    </w:p>
    <w:p>
      <w:pPr>
        <w:pStyle w:val="Normal"/>
        <w:widowControl/>
        <w:spacing w:after="120"/>
      </w:pPr>
      <w:r>
        <w:t xml:space="preserve">Status: Closed (part of pCCA-B1). OPEN proposal for multidisciplinary review; not activated.</w:t>
      </w:r>
    </w:p>
    <w:p>
      <w:pPr>
        <w:pStyle w:val="Normal"/>
        <w:widowControl/>
        <w:spacing w:after="120"/>
      </w:pPr>
      <w:r>
        <w:t xml:space="preserve">Question: Should regional nodal disease that has responded, or any treated peritoneal or distant disease, ever allow transplantation for perihilar cholangiocarcinoma?</w:t>
      </w:r>
    </w:p>
    <w:p>
      <w:pPr>
        <w:pStyle w:val="Normal"/>
        <w:widowControl/>
        <w:spacing w:after="120"/>
      </w:pPr>
      <w:r>
        <w:t xml:space="preserve">Proposed position (OPEN): Keep closed. Nodal, peritoneal or distant disease found at any time, including at operative staging and after response to chemoradiation or chemotherapy, ends the transplant route; there is no re-entry after nodal response. The data on transplantation after nodal disease are absent rather than negative, and that is recorded.</w:t>
      </w:r>
    </w:p>
    <w:p>
      <w:pPr>
        <w:pStyle w:val="Heading3"/>
        <w:widowControl/>
        <w:keepNext/>
      </w:pPr>
      <w:r>
        <w:t xml:space="preserve">Proposed rules</w:t>
      </w:r>
    </w:p>
    <w:p>
      <w:pPr>
        <w:pStyle w:val="Normal"/>
        <w:widowControl/>
        <w:spacing w:after="120"/>
        <w:numPr>
          <w:ilvl w:val="0"/>
          <w:numId w:val="5"/>
        </w:numPr>
      </w:pPr>
      <w:r>
        <w:t xml:space="preserve">Before neoadjuvant chemoradiation: EUS-FNA of any suspicious regional node (not through the primary). A positive node ends the route.</w:t>
      </w:r>
    </w:p>
    <w:p>
      <w:pPr>
        <w:pStyle w:val="Normal"/>
        <w:widowControl/>
        <w:spacing w:after="120"/>
        <w:numPr>
          <w:ilvl w:val="0"/>
          <w:numId w:val="5"/>
        </w:numPr>
      </w:pPr>
      <w:r>
        <w:t xml:space="preserve">Operative staging before transplantation with biopsy of hepatic artery and pericholedochal nodes and of any suspicious lesion.</w:t>
      </w:r>
    </w:p>
    <w:p>
      <w:pPr>
        <w:pStyle w:val="Normal"/>
        <w:widowControl/>
        <w:spacing w:after="120"/>
        <w:numPr>
          <w:ilvl w:val="0"/>
          <w:numId w:val="5"/>
        </w:numPr>
      </w:pPr>
      <w:r>
        <w:t xml:space="preserve">Previously proven malignant nodes stay excluded even after radiographic or pathological clearance; distant or peritoneal disease at any time ends the route.</w:t>
      </w:r>
    </w:p>
    <w:p>
      <w:pPr>
        <w:pStyle w:val="Normal"/>
        <w:widowControl/>
        <w:spacing w:after="120"/>
      </w:pPr>
      <w:r>
        <w:t xml:space="preserve">Why: Nodal disease is the commonest finding that removes patients at staging, and survival after removal is short. One US centre accepted regional N1 disease and four patients were transplanted with metastases, without separable outcomes, so there are no usable data either way.</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Sio 2016 · Mayo protocol fall-out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Mayo protocol, 215 started; 63 fell out. Staging findings overlap: positive nodes 19, peritoneal 14, local extension 11.</w:t>
            </w:r>
          </w:p>
        </w:tc>
        <w:tc>
          <w:tcPr>
            <w:tcW w:w="3743" w:type="dxa"/>
            <w:vAlign w:val="top"/>
            <w:shd w:fill="F1F5F8"/>
          </w:tcPr>
          <w:p>
            <w:pPr>
              <w:pStyle w:val="Normal"/>
              <w:widowControl/>
              <w:spacing w:after="55" w:line="240" w:lineRule="auto"/>
              <w:keepNext w:val="0"/>
              <w:keepLines/>
            </w:pPr>
            <w:r>
              <w:rPr>
                <w:sz w:val="21"/>
                <w:szCs w:val="21"/>
              </w:rPr>
              <w:t xml:space="preserve">Results: Median survival after the staging operation 6.0 months; EUS-FNA before chemoradiation lowered the positive-staging rate to 15%; two node-positive patients (one also with omental metastases) lived 3.7 and 8.7 years without transplant.</w:t>
            </w:r>
          </w:p>
          <w:p>
            <w:pPr>
              <w:pStyle w:val="Normal"/>
              <w:widowControl/>
              <w:spacing w:after="55" w:line="240" w:lineRule="auto"/>
              <w:keepNext w:val="0"/>
              <w:keepLines/>
            </w:pPr>
            <w:r>
              <w:rPr>
                <w:sz w:val="21"/>
                <w:szCs w:val="21"/>
              </w:rPr>
              <w:t xml:space="preserve">Limits: Survival not reported by finding.</w:t>
            </w:r>
          </w:p>
          <w:p>
            <w:pPr>
              <w:pStyle w:val="Normal"/>
              <w:widowControl/>
              <w:spacing w:after="55" w:line="240" w:lineRule="auto"/>
              <w:keepNext w:val="0"/>
              <w:keepLines/>
            </w:pPr>
            <w:r>
              <w:rPr>
                <w:sz w:val="21"/>
                <w:szCs w:val="21"/>
              </w:rPr>
              <w:t xml:space="preserve">Am J Clin Oncol 2016;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5Ny9DT0MuMDAwMDAwMDAwMDAwMDA1NjwvdXJsPjwvcmVsYXRlZC11cmxzPjwvdXJscz48L3JlY29yZD48L0NpdGU+PC9FbmROb3RlPg==</w:fldData>
              </w:fldChar>
            </w:r>
            <w:r>
              <w:instrText xml:space="preserve"> ADDIN EN.CITE.DATA </w:instrText>
            </w:r>
            <w:r>
              <w:fldChar w:fldCharType="end"/>
            </w:r>
            <w:r>
              <w:fldChar w:fldCharType="separate"/>
            </w:r>
            <w:r>
              <w:t xml:space="preserve">[V16-30]</w:t>
            </w:r>
            <w:r>
              <w:fldChar w:fldCharType="end"/>
            </w:r>
            <w:r>
              <w:br/>
            </w:r>
            <w:hyperlink r:id="rId190">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Darwish Murad 2012 · 12-centre pCCA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12-centre US cohort, 287 patients. Positive staging biopsies excluded patients in most centres; one centre accepted N0–N1 within the hepatoduodenal ligament.</w:t>
            </w:r>
          </w:p>
        </w:tc>
        <w:tc>
          <w:tcPr>
            <w:tcW w:w="3743" w:type="dxa"/>
            <w:vAlign w:val="top"/>
            <w:shd w:fill="FFFFFF"/>
          </w:tcPr>
          <w:p>
            <w:pPr>
              <w:pStyle w:val="Normal"/>
              <w:widowControl/>
              <w:spacing w:after="55" w:line="240" w:lineRule="auto"/>
              <w:keepNext w:val="0"/>
              <w:keepLines/>
            </w:pPr>
            <w:r>
              <w:rPr>
                <w:sz w:val="21"/>
                <w:szCs w:val="21"/>
              </w:rPr>
              <w:t xml:space="preserve">Results: Staging found metastases in 17%; 4 transplanted with metastatic disease, pooled in a 48-patient outside-criteria group (recurrence HR 2.98); explant nodal invasion 14% with recurrence vs 4% without.</w:t>
            </w:r>
          </w:p>
          <w:p>
            <w:pPr>
              <w:pStyle w:val="Normal"/>
              <w:widowControl/>
              <w:spacing w:after="55" w:line="240" w:lineRule="auto"/>
              <w:keepNext w:val="0"/>
              <w:keepLines/>
            </w:pPr>
            <w:r>
              <w:rPr>
                <w:sz w:val="21"/>
                <w:szCs w:val="21"/>
              </w:rPr>
              <w:t xml:space="preserve">Limits: Centre-dependent handling; no separate estimate for nodal disease.</w:t>
            </w:r>
          </w:p>
          <w:p>
            <w:pPr>
              <w:pStyle w:val="Normal"/>
              <w:widowControl/>
              <w:spacing w:after="55" w:line="240" w:lineRule="auto"/>
              <w:keepNext w:val="0"/>
              <w:keepLines/>
            </w:pPr>
            <w:r>
              <w:rPr>
                <w:sz w:val="21"/>
                <w:szCs w:val="21"/>
              </w:rPr>
              <w:t xml:space="preserve">Gastroenterology 2012; Supplementary Table 1,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[V16-21]</w:t>
            </w:r>
            <w:r>
              <w:fldChar w:fldCharType="end"/>
            </w:r>
            <w:r>
              <w:br/>
            </w:r>
            <w:hyperlink r:id="rId191">
              <w:r>
                <w:rPr>
                  <w:color w:val="0563C1"/>
                  <w:u w:val="single"/>
                </w:rPr>
                <w:t>Source</w:t>
              </w:r>
            </w:hyperlink>
            <w:r>
              <w:t xml:space="preserve"> · </w:t>
            </w:r>
            <w:hyperlink r:id="rId192">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Vugts 2020 · eligibility for pCCA 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Two-centre cohort, 732 pCCA. Imaging suspicion pooled with tissue proof.</w:t>
            </w:r>
          </w:p>
        </w:tc>
        <w:tc>
          <w:tcPr>
            <w:tcW w:w="3743" w:type="dxa"/>
            <w:vAlign w:val="top"/>
            <w:shd w:fill="F1F5F8"/>
          </w:tcPr>
          <w:p>
            <w:pPr>
              <w:pStyle w:val="Normal"/>
              <w:widowControl/>
              <w:spacing w:after="55" w:line="240" w:lineRule="auto"/>
              <w:keepNext w:val="0"/>
              <w:keepLines/>
            </w:pPr>
            <w:r>
              <w:rPr>
                <w:sz w:val="21"/>
                <w:szCs w:val="21"/>
              </w:rPr>
              <w:t xml:space="preserve">Results: Of 498 fit unresected patients, 156 had nodal and 179 distant metastases; only 34 (5%) potentially eligible.</w:t>
            </w:r>
          </w:p>
          <w:p>
            <w:pPr>
              <w:pStyle w:val="Normal"/>
              <w:widowControl/>
              <w:spacing w:after="55" w:line="240" w:lineRule="auto"/>
              <w:keepNext w:val="0"/>
              <w:keepLines/>
            </w:pPr>
            <w:r>
              <w:rPr>
                <w:sz w:val="21"/>
                <w:szCs w:val="21"/>
              </w:rPr>
              <w:t xml:space="preserve">Limits: No survival by nodal status.</w:t>
            </w:r>
          </w:p>
          <w:p>
            <w:pPr>
              <w:pStyle w:val="Normal"/>
              <w:widowControl/>
              <w:spacing w:after="55" w:line="240" w:lineRule="auto"/>
              <w:keepNext w:val="0"/>
              <w:keepLines/>
            </w:pPr>
            <w:r>
              <w:rPr>
                <w:sz w:val="21"/>
                <w:szCs w:val="21"/>
              </w:rPr>
              <w:t xml:space="preserve">Ann Surg Oncol 2020; Results, Fig. 1, Table 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dWd0czwvQXV0aG9yPjxZZWFyPjIwMjE8L1llYXI+PFJlY051bT4yOTwvUmVjTnVtPjxEaXNwbGF5VGV4dD5bVjE2LTI5XTwvRGlzcGxheVRleHQ+PHJlY29yZD48cmVjLW51bWJlcj4yOTwvcmVjLW51bWJlcj48Zm9yZWlnbi1rZXlzPjxrZXkgYXBwPSJFTiIgZGItaWQ9ImQ5N2ZhNWEzLWRiZTMtNTg4My1hNTY4LTUyZWVlMjdiMzdiZCIgdGltZXN0YW1wPSIxNzkzMjgzNjg0Ij4yOT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Z1bGwgdGV4dCByZWFkIGZvciB0aGUgVjE2IGV4dHJhaGVwYXRpYy1kaXNlYXNlIHJldmlldyAoY29tcGxldGUgbWFpbiB0ZXh0OyByZWxldmFudCBjb21wbGV0ZSBzZWN0aW9ucyBmb3IgbG9uZyBndWlkZWxpbmVzKS4gVjggZXh0cmFjdGlvbiBhbmQgbGltaXRhdGlvbnM6IHNvdXJjZS9iaWxpYXJ5X2Z1bGx0ZXh0X3Jldmlldy5qc29uPC9ub3Rlcz48dXJscz48cmVsYXRlZC11cmxzPjx1cmw+aHR0cHM6Ly9saW5rLnNwcmluZ2VyLmNvbS9hcnRpY2xlLzEwLjEyNDUvczEwNDM0LTAyMC0wOTAwMS04PC91cmw+PC9yZWxhdGVkLXVybHM+PHBkZi11cmxzLz48L3VybHM+PC9yZWNvcmQ+PC9DaXRlPjwvRW5kTm90ZT4=</w:fldData>
              </w:fldChar>
            </w:r>
            <w:r>
              <w:instrText xml:space="preserve"> ADDIN EN.CITE.DATA </w:instrText>
            </w:r>
            <w:r>
              <w:fldChar w:fldCharType="end"/>
            </w:r>
            <w:r>
              <w:fldChar w:fldCharType="separate"/>
            </w:r>
            <w:r>
              <w:t xml:space="preserve">[V16-29]</w:t>
            </w:r>
            <w:r>
              <w:fldChar w:fldCharType="end"/>
            </w:r>
            <w:r>
              <w:br/>
            </w:r>
            <w:hyperlink r:id="rId193">
              <w:r>
                <w:rPr>
                  <w:color w:val="0563C1"/>
                  <w:u w:val="single"/>
                </w:rPr>
                <w:t>Source</w:t>
              </w:r>
            </w:hyperlink>
            <w:r>
              <w:t xml:space="preserve"> · </w:t>
            </w:r>
            <w:hyperlink r:id="rId194">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AHPBA 2015 hilar CCA consensus</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AHPBA 2015 expert consensus. EUS or laparoscopic FNA of suspicious regional nodes; patients with metastases excluded; operative biopsy of hepatic artery and pericholedochal nodes.</w:t>
            </w:r>
          </w:p>
        </w:tc>
        <w:tc>
          <w:tcPr>
            <w:tcW w:w="3743" w:type="dxa"/>
            <w:vAlign w:val="top"/>
            <w:shd w:fill="FFFFFF"/>
          </w:tcPr>
          <w:p>
            <w:pPr>
              <w:pStyle w:val="Normal"/>
              <w:widowControl/>
              <w:spacing w:after="55" w:line="240" w:lineRule="auto"/>
              <w:keepNext w:val="0"/>
              <w:keepLines/>
            </w:pPr>
            <w:r>
              <w:rPr>
                <w:sz w:val="21"/>
                <w:szCs w:val="21"/>
              </w:rPr>
              <w:t xml:space="preserve">Results: No outcome data.</w:t>
            </w:r>
          </w:p>
          <w:p>
            <w:pPr>
              <w:pStyle w:val="Normal"/>
              <w:widowControl/>
              <w:spacing w:after="55" w:line="240" w:lineRule="auto"/>
              <w:keepNext w:val="0"/>
              <w:keepLines/>
            </w:pPr>
            <w:r>
              <w:rPr>
                <w:sz w:val="21"/>
                <w:szCs w:val="21"/>
              </w:rPr>
              <w:t xml:space="preserve">Limits: 2014 consensus.</w:t>
            </w:r>
          </w:p>
          <w:p>
            <w:pPr>
              <w:pStyle w:val="Normal"/>
              <w:widowControl/>
              <w:spacing w:after="55" w:line="240" w:lineRule="auto"/>
              <w:keepNext w:val="0"/>
              <w:keepLines/>
            </w:pPr>
            <w:r>
              <w:rPr>
                <w:sz w:val="21"/>
                <w:szCs w:val="21"/>
              </w:rPr>
              <w:t xml:space="preserve">HPB 2015; staging and transplantation sections.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xNTwveWVhcj48L2RhdGVzPjx2b2x1bWU+MTc8L3ZvbHVtZT48bnVtYmVyPjg8L251bWJlcj48cGFnZXM+NjkxLTk8L3BhZ2VzPjxlbGVjdHJvbmljLXJlc291cmNlLW51bT4xMC4xMTExL2hwYi4xMjQ1MD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aHBiLjEyNDUw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r>
              <w:br/>
            </w:r>
            <w:hyperlink r:id="rId195">
              <w:r>
                <w:rPr>
                  <w:color w:val="0563C1"/>
                  <w:u w:val="single"/>
                </w:rPr>
                <w:t>Source</w:t>
              </w:r>
            </w:hyperlink>
            <w:r>
              <w:t xml:space="preserve"> · </w:t>
            </w:r>
            <w:hyperlink r:id="rId196">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Campbell 2026 · biliary cancer LT, single centre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Single-centre biliary transplant series. Explant nodes.</w:t>
            </w:r>
          </w:p>
        </w:tc>
        <w:tc>
          <w:tcPr>
            <w:tcW w:w="3743" w:type="dxa"/>
            <w:vAlign w:val="top"/>
            <w:shd w:fill="F1F5F8"/>
          </w:tcPr>
          <w:p>
            <w:pPr>
              <w:pStyle w:val="Normal"/>
              <w:widowControl/>
              <w:spacing w:after="55" w:line="240" w:lineRule="auto"/>
              <w:keepNext w:val="0"/>
              <w:keepLines/>
            </w:pPr>
            <w:r>
              <w:rPr>
                <w:sz w:val="21"/>
                <w:szCs w:val="21"/>
              </w:rPr>
              <w:t xml:space="preserve">Results: Node positivity predicted recurrence (HR 3.27), not survival; not significant in the intentional pCCA/iCCA subset (HR 2.48).</w:t>
            </w:r>
          </w:p>
          <w:p>
            <w:pPr>
              <w:pStyle w:val="Normal"/>
              <w:widowControl/>
              <w:spacing w:after="55" w:line="240" w:lineRule="auto"/>
              <w:keepNext w:val="0"/>
              <w:keepLines/>
            </w:pPr>
            <w:r>
              <w:rPr>
                <w:sz w:val="21"/>
                <w:szCs w:val="21"/>
              </w:rPr>
              <w:t xml:space="preserve">Limits: Mixed subtypes.</w:t>
            </w:r>
          </w:p>
          <w:p>
            <w:pPr>
              <w:pStyle w:val="Normal"/>
              <w:widowControl/>
              <w:spacing w:after="55" w:line="240" w:lineRule="auto"/>
              <w:keepNext w:val="0"/>
              <w:keepLines/>
            </w:pPr>
            <w:r>
              <w:rPr>
                <w:sz w:val="21"/>
                <w:szCs w:val="21"/>
              </w:rPr>
              <w:t xml:space="preserve">Ann Surg Oncol 2026.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I2LTE5OTc1LTY8L3VybD48L3JlbGF0ZWQtdXJscz48L3VybHM+PC9yZWNvcmQ+PC9DaXRlPjwvRW5kTm90ZT4=</w:fldData>
              </w:fldChar>
            </w:r>
            <w:r>
              <w:instrText xml:space="preserve"> ADDIN EN.CITE.DATA </w:instrText>
            </w:r>
            <w:r>
              <w:fldChar w:fldCharType="end"/>
            </w:r>
            <w:r>
              <w:fldChar w:fldCharType="separate"/>
            </w:r>
            <w:r>
              <w:t xml:space="preserve">[V16-32]</w:t>
            </w:r>
            <w:r>
              <w:fldChar w:fldCharType="end"/>
            </w:r>
            <w:r>
              <w:br/>
            </w:r>
            <w:hyperlink r:id="rId197">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de Jong 2023 · EUS nodal sampling before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FFFFF"/>
          </w:tcPr>
          <w:p>
            <w:pPr>
              <w:pStyle w:val="Normal"/>
              <w:widowControl/>
              <w:spacing w:after="55" w:line="240" w:lineRule="auto"/>
              <w:keepNext w:val="0"/>
              <w:keepLines/>
            </w:pPr>
            <w:r>
              <w:rPr>
                <w:sz w:val="21"/>
                <w:szCs w:val="21"/>
              </w:rPr>
              <w:t xml:space="preserve">Dutch nationwide screening cohort, 75 patients. Any malignant node precludes further screening.</w:t>
            </w:r>
          </w:p>
        </w:tc>
        <w:tc>
          <w:tcPr>
            <w:tcW w:w="3743" w:type="dxa"/>
            <w:vAlign w:val="top"/>
            <w:shd w:fill="FFFFFF"/>
          </w:tcPr>
          <w:p>
            <w:pPr>
              <w:pStyle w:val="Normal"/>
              <w:widowControl/>
              <w:spacing w:after="55" w:line="240" w:lineRule="auto"/>
              <w:keepNext w:val="0"/>
              <w:keepLines/>
            </w:pPr>
            <w:r>
              <w:rPr>
                <w:sz w:val="21"/>
                <w:szCs w:val="21"/>
              </w:rPr>
              <w:t xml:space="preserve">Results: EUS sampling found malignant nodes in 3 of 75; surgical staging found non-regional malignant nodes in 6 of 43.</w:t>
            </w:r>
          </w:p>
          <w:p>
            <w:pPr>
              <w:pStyle w:val="Normal"/>
              <w:widowControl/>
              <w:spacing w:after="55" w:line="240" w:lineRule="auto"/>
              <w:keepNext w:val="0"/>
              <w:keepLines/>
            </w:pPr>
            <w:r>
              <w:rPr>
                <w:sz w:val="21"/>
                <w:szCs w:val="21"/>
              </w:rPr>
              <w:t xml:space="preserve">Limits: Small.</w:t>
            </w:r>
          </w:p>
          <w:p>
            <w:pPr>
              <w:pStyle w:val="Normal"/>
              <w:widowControl/>
              <w:spacing w:after="55" w:line="240" w:lineRule="auto"/>
              <w:keepNext w:val="0"/>
              <w:keepLines/>
            </w:pPr>
            <w:r>
              <w:rPr>
                <w:sz w:val="21"/>
                <w:szCs w:val="21"/>
              </w:rPr>
              <w:t xml:space="preserve">Gastrointest Endosc 2023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</w:fldData>
              </w:fldChar>
            </w:r>
            <w:r>
              <w:instrText xml:space="preserve"> ADDIN EN.CITE.DATA </w:instrText>
            </w:r>
            <w:r>
              <w:fldChar w:fldCharType="end"/>
            </w:r>
            <w:r>
              <w:fldChar w:fldCharType="separate"/>
            </w:r>
            <w:r>
              <w:t xml:space="preserve">[V16-33]</w:t>
            </w:r>
            <w:r>
              <w:fldChar w:fldCharType="end"/>
            </w:r>
            <w:r>
              <w:br/>
            </w:r>
            <w:hyperlink r:id="rId198">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Wong 2019 · downstaging pilot</w:t>
            </w:r>
          </w:p>
          <w:p>
            <w:pPr>
              <w:pStyle w:val="Normal"/>
              <w:widowControl/>
              <w:spacing w:after="55" w:line="240" w:lineRule="auto"/>
              <w:keepNext w:val="0"/>
              <w:keepLines/>
            </w:pPr>
            <w:r>
              <w:rPr>
                <w:sz w:val="21"/>
                <w:szCs w:val="21"/>
              </w:rPr>
              <w:t xml:space="preserve"/>
            </w:r>
          </w:p>
        </w:tc>
        <w:tc>
          <w:tcPr>
            <w:tcW w:w="3582" w:type="dxa"/>
            <w:vAlign w:val="top"/>
            <w:shd w:fill="F1F5F8"/>
          </w:tcPr>
          <w:p>
            <w:pPr>
              <w:pStyle w:val="Normal"/>
              <w:widowControl/>
              <w:spacing w:after="55" w:line="240" w:lineRule="auto"/>
              <w:keepNext w:val="0"/>
              <w:keepLines/>
            </w:pPr>
            <w:r>
              <w:rPr>
                <w:sz w:val="21"/>
                <w:szCs w:val="21"/>
              </w:rPr>
              <w:t xml:space="preserve">Prospective pilot, 18 hilar and intrahepatic tumors. Admitted regional lymphadenopathy without distant metastasis; nodal pathology not reported in the abstract.</w:t>
            </w:r>
          </w:p>
        </w:tc>
        <w:tc>
          <w:tcPr>
            <w:tcW w:w="3743" w:type="dxa"/>
            <w:vAlign w:val="top"/>
            <w:shd w:fill="F1F5F8"/>
          </w:tcPr>
          <w:p>
            <w:pPr>
              <w:pStyle w:val="Normal"/>
              <w:widowControl/>
              <w:spacing w:after="55" w:line="240" w:lineRule="auto"/>
              <w:keepNext w:val="0"/>
              <w:keepLines/>
            </w:pPr>
            <w:r>
              <w:rPr>
                <w:sz w:val="21"/>
                <w:szCs w:val="21"/>
              </w:rPr>
              <w:t xml:space="preserve">Results: 5 transplanted; one isolated portacaval nodal recurrence at 12 months.</w:t>
            </w:r>
          </w:p>
          <w:p>
            <w:pPr>
              <w:pStyle w:val="Normal"/>
              <w:widowControl/>
              <w:spacing w:after="55" w:line="240" w:lineRule="auto"/>
              <w:keepNext w:val="0"/>
              <w:keepLines/>
            </w:pPr>
            <w:r>
              <w:rPr>
                <w:sz w:val="21"/>
                <w:szCs w:val="21"/>
              </w:rPr>
              <w:t xml:space="preserve">Limits: Cannot establish a cleared-node stratum.</w:t>
            </w:r>
          </w:p>
          <w:p>
            <w:pPr>
              <w:pStyle w:val="Normal"/>
              <w:widowControl/>
              <w:spacing w:after="55" w:line="240" w:lineRule="auto"/>
              <w:keepNext w:val="0"/>
              <w:keepLines/>
            </w:pPr>
            <w:r>
              <w:rPr>
                <w:sz w:val="21"/>
                <w:szCs w:val="21"/>
              </w:rPr>
              <w:t xml:space="preserve">J Surg Res 2019.</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</w:fldData>
              </w:fldChar>
            </w:r>
            <w:r>
              <w:instrText xml:space="preserve"> ADDIN EN.CITE.DATA </w:instrText>
            </w:r>
            <w:r>
              <w:fldChar w:fldCharType="end"/>
            </w:r>
            <w:r>
              <w:fldChar w:fldCharType="separate"/>
            </w:r>
            <w:r>
              <w:t xml:space="preserve">[V16-34]</w:t>
            </w:r>
            <w:r>
              <w:fldChar w:fldCharType="end"/>
            </w:r>
            <w:r>
              <w:br/>
            </w:r>
            <w:hyperlink r:id="rId199">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Absence of usable data is not proof of futility; a small regional-node subset may do well.</w:t>
      </w:r>
    </w:p>
    <w:p>
      <w:pPr>
        <w:pStyle w:val="Normal"/>
        <w:widowControl/>
        <w:spacing w:after="120"/>
      </w:pPr>
      <w:r>
        <w:t xml:space="preserve">Certainty: Moderate that conventional selection gives better outcomes; very low or none for a cleared-node pathway.</w:t>
      </w:r>
    </w:p>
    <w:p>
      <w:pPr>
        <w:pStyle w:val="Normal"/>
        <w:widowControl/>
        <w:spacing w:after="120"/>
      </w:pPr>
      <w:r>
        <w:t xml:space="preserve">What would change the answer: A prospective series transplanting tissue-proven regional N1 disease after response, with intention-to-treat survival.</w:t>
      </w:r>
    </w:p>
    <w:p>
      <w:pPr>
        <w:pStyle w:val="Normal"/>
        <w:widowControl/>
        <w:spacing w:after="120"/>
      </w:pPr>
      <w:r>
        <w:t xml:space="preserve">Meeting question pCCA-B1,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Size, biopsy and regimen comparisons were liable to be interpreted as evidence for broader eligibility. </w:t>
      </w:r>
      <w:r>
        <w:rPr>
          <w:b/>
        </w:rPr>
        <w:t xml:space="preserve">Correction and reason: </w:t>
      </w:r>
      <w:r>
        <w:t xml:space="preserve">Clarified radial-size versus recorded mass dimensions, node versus primary biopsy, unadjusted resection comparisons and separately governed regimen alternatives.</w:t>
      </w:r>
    </w:p>
    <w:p>
      <w:pPr>
        <w:pStyle w:val="Normal"/>
        <w:keepNext/>
        <w:widowControl/>
        <w:keepLines/>
      </w:pPr>
      <w:r>
        <w:rPr>
          <w:b/>
        </w:rPr>
        <w:t xml:space="preserve">Problem: </w:t>
      </w:r>
      <w:r>
        <w:t xml:space="preserve">Size definitions, resectability and primary-versus-node biopsy were insufficiently separated. </w:t>
      </w:r>
      <w:r>
        <w:rPr>
          <w:b/>
        </w:rPr>
        <w:t xml:space="preserve">Correction and reason: </w:t>
      </w:r>
      <w:r>
        <w:t xml:space="preserve">Clarified radial diameter, functional-remnant/R0 review, diagnostic pathways and the strict policy allocation boundary.</w:t>
      </w:r>
    </w:p>
    <w:p>
      <w:pPr>
        <w:pStyle w:val="Normal"/>
        <w:keepNext/>
        <w:widowControl/>
        <w:keepLines/>
      </w:pPr>
      <w:r>
        <w:rPr>
          <w:b/>
        </w:rPr>
        <w:t xml:space="preserve">Problem: </w:t>
      </w:r>
      <w:r>
        <w:t xml:space="preserve">Dropout and pCR summaries mixed denominators, clocks and treatment comparisons. </w:t>
      </w:r>
      <w:r>
        <w:rPr>
          <w:b/>
        </w:rPr>
        <w:t xml:space="preserve">Correction and reason: </w:t>
      </w:r>
      <w:r>
        <w:t xml:space="preserve">Added primary-cohort attrition, uncertainty and the absence of proven regimen equivalence; require a complete signed NAT order set.</w:t>
      </w:r>
    </w:p>
    <w:p>
      <w:pPr>
        <w:pStyle w:val="Normal"/>
        <w:keepNext/>
        <w:widowControl/>
        <w:keepLines/>
      </w:pPr>
      <w:r>
        <w:rPr>
          <w:b/>
        </w:rPr>
        <w:t xml:space="preserve">Problem: </w:t>
      </w:r>
      <w:r>
        <w:t xml:space="preserve">Fixed immunosuppression and surveillance schedules had weak or misassigned support. </w:t>
      </w:r>
      <w:r>
        <w:rPr>
          <w:b/>
        </w:rPr>
        <w:t xml:space="preserve">Correction and reason: </w:t>
      </w:r>
      <w:r>
        <w:t xml:space="preserve">Replaced mandatory drug timing with individualized oversight and the everolimus label floor; labeled surveillance as a proposed local schedule.</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pCCA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200">
        <w:r>
          <w:rPr>
            <w:color w:val="0563C1"/>
            <w:u w:val="single"/>
          </w:rPr>
          <w:t>Source</w:t>
        </w:r>
      </w:hyperlink>
      <w:r>
        <w:t xml:space="preserve"> | </w:t>
      </w:r>
      <w:hyperlink r:id="rId201">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202">
        <w:r>
          <w:rPr>
            <w:color w:val="0563C1"/>
            <w:u w:val="single"/>
          </w:rPr>
          <w:t>Source</w:t>
        </w:r>
      </w:hyperlink>
      <w:r>
        <w:t xml:space="preserve"> | </w:t>
      </w:r>
      <w:hyperlink r:id="rId203">
        <w:r>
          <w:rPr>
            <w:color w:val="0563C1"/>
            <w:u w:val="single"/>
          </w:rPr>
          <w:t>Full-text access</w:t>
        </w:r>
      </w:hyperlink>
    </w:p>
    <w:p>
      <w:pPr>
        <w:pStyle w:val="Normal"/>
        <w:widowControl/>
        <w:spacing w:after="120"/>
      </w:pPr>
      <w:r>
        <w:t xml:space="preserve"/>
      </w:r>
      <w:r>
        <w:t xml:space="preserve">[V16-3] National Comprehensive Cancer Network. NCCN Clinical Practice Guidelines in Oncology: Biliary Tract Cancers, Version 1.2026 (10 March 2026). . 2026. </w:t>
      </w:r>
      <w:hyperlink r:id="rId204">
        <w:r>
          <w:rPr>
            <w:color w:val="0563C1"/>
            <w:u w:val="single"/>
          </w:rPr>
          <w:t>Source</w:t>
        </w:r>
      </w:hyperlink>
      <w:r>
        <w:t xml:space="preserve"> | </w:t>
      </w:r>
      <w:hyperlink r:id="rId205">
        <w:r>
          <w:rPr>
            <w:color w:val="0563C1"/>
            <w:u w:val="single"/>
          </w:rPr>
          <w:t>Full-text access</w:t>
        </w:r>
      </w:hyperlink>
    </w:p>
    <w:p>
      <w:pPr>
        <w:pStyle w:val="Normal"/>
        <w:widowControl/>
        <w:spacing w:after="120"/>
      </w:pPr>
      <w:r>
        <w:t xml:space="preserve"/>
      </w:r>
      <w:r>
        <w:t xml:space="preserve">[V16-4] Darwish Murad, Sarwa. Predictors of pretransplant dropout and posttransplant recurrence in patients with perihilar cholangiocarcinoma. Hepatology. 2012. </w:t>
      </w:r>
      <w:hyperlink r:id="rId206">
        <w:r>
          <w:rPr>
            <w:color w:val="0563C1"/>
            <w:u w:val="single"/>
          </w:rPr>
          <w:t>Source</w:t>
        </w:r>
      </w:hyperlink>
      <w:r>
        <w:t xml:space="preserve"> | </w:t>
      </w:r>
      <w:hyperlink r:id="rId207">
        <w:r>
          <w:rPr>
            <w:color w:val="0563C1"/>
            <w:u w:val="single"/>
          </w:rPr>
          <w:t>Full-text access</w:t>
        </w:r>
      </w:hyperlink>
    </w:p>
    <w:p>
      <w:pPr>
        <w:pStyle w:val="Normal"/>
        <w:widowControl/>
        <w:spacing w:after="120"/>
      </w:pPr>
      <w:r>
        <w:t xml:space="preserve"/>
      </w:r>
      <w:r>
        <w:t xml:space="preserve">[V16-5] Ethun, Cecilia G; Lopez-Aguiar, Alexandra G; Anderson, Douglas J; et al. Transplantation Versus Resection for Hilar Cholangiocarcinoma: An Argument for Shifting Treatment Paradigms for Resectable Disease. Annals of Surgery. 2018. </w:t>
      </w:r>
      <w:hyperlink r:id="rId208">
        <w:r>
          <w:rPr>
            <w:color w:val="0563C1"/>
            <w:u w:val="single"/>
          </w:rPr>
          <w:t>Source</w:t>
        </w:r>
      </w:hyperlink>
      <w:r>
        <w:t xml:space="preserve"> | </w:t>
      </w:r>
      <w:hyperlink r:id="rId209">
        <w:r>
          <w:rPr>
            <w:color w:val="0563C1"/>
            <w:u w:val="single"/>
          </w:rPr>
          <w:t>Full-text access</w:t>
        </w:r>
      </w:hyperlink>
    </w:p>
    <w:p>
      <w:pPr>
        <w:pStyle w:val="Normal"/>
        <w:widowControl/>
        <w:spacing w:after="120"/>
      </w:pPr>
      <w:r>
        <w:t xml:space="preserve"/>
      </w:r>
      <w:r>
        <w:t xml:space="preserve">[V16-6] Olthof, Pim B; Aldrighetti, Luca; Alikhanov, Ruslan; et al. Portal Vein Embolization is Associated with Reduced Liver Failure and Mortality in High-Risk Resections for Perihilar Cholangiocarcinoma. Annals of Surgical Oncology. 2020. </w:t>
      </w:r>
      <w:hyperlink r:id="rId210">
        <w:r>
          <w:rPr>
            <w:color w:val="0563C1"/>
            <w:u w:val="single"/>
          </w:rPr>
          <w:t>Source</w:t>
        </w:r>
      </w:hyperlink>
      <w:r>
        <w:t xml:space="preserve"> | </w:t>
      </w:r>
      <w:hyperlink r:id="rId211">
        <w:r>
          <w:rPr>
            <w:color w:val="0563C1"/>
            <w:u w:val="single"/>
          </w:rPr>
          <w:t>Full-text access</w:t>
        </w:r>
      </w:hyperlink>
    </w:p>
    <w:p>
      <w:pPr>
        <w:pStyle w:val="Normal"/>
        <w:widowControl/>
        <w:spacing w:after="120"/>
      </w:pPr>
      <w:r>
        <w:t xml:space="preserve"/>
      </w:r>
      <w:r>
        <w:t xml:space="preserve">[V16-7] Bowlus, Christopher L.; Arrivé, Lionel; Bergquist, Annika; et al. AASLD practice guidance on primary sclerosing cholangitis and cholangiocarcinoma. Hepatology. 2022; 77(2):659-702. </w:t>
      </w:r>
      <w:hyperlink r:id="rId212">
        <w:r>
          <w:rPr>
            <w:color w:val="0563C1"/>
            <w:u w:val="single"/>
          </w:rPr>
          <w:t>Source</w:t>
        </w:r>
      </w:hyperlink>
      <w:r>
        <w:t xml:space="preserve"> | </w:t>
      </w:r>
      <w:hyperlink r:id="rId213">
        <w:r>
          <w:rPr>
            <w:color w:val="0563C1"/>
            <w:u w:val="single"/>
          </w:rPr>
          <w:t>Full-text access</w:t>
        </w:r>
      </w:hyperlink>
    </w:p>
    <w:p>
      <w:pPr>
        <w:pStyle w:val="Normal"/>
        <w:widowControl/>
        <w:spacing w:after="120"/>
      </w:pPr>
      <w:r>
        <w:t xml:space="preserve"/>
      </w:r>
      <w:r>
        <w:t xml:space="preserve">[V16-8] Aveson, Victoria G; Ilagan, Crisanta H; Chou, Joanne F; et al. Association between biopsy method and development of peritoneal metastases in perihilar cholangiocarcinoma. HPB (Oxford). 2022. </w:t>
      </w:r>
      <w:hyperlink r:id="rId214">
        <w:r>
          <w:rPr>
            <w:color w:val="0563C1"/>
            <w:u w:val="single"/>
          </w:rPr>
          <w:t>Source</w:t>
        </w:r>
      </w:hyperlink>
      <w:r>
        <w:t xml:space="preserve"> | </w:t>
      </w:r>
      <w:hyperlink r:id="rId215">
        <w:r>
          <w:rPr>
            <w:color w:val="0563C1"/>
            <w:u w:val="single"/>
          </w:rPr>
          <w:t>Full-text access</w:t>
        </w:r>
      </w:hyperlink>
    </w:p>
    <w:p>
      <w:pPr>
        <w:pStyle w:val="Normal"/>
        <w:widowControl/>
        <w:spacing w:after="120"/>
      </w:pPr>
      <w:r>
        <w:t xml:space="preserve"/>
      </w:r>
      <w:r>
        <w:t xml:space="preserve">[V16-9] Dove, Lorna; Chadha, Ryan M.; Lai, Jennifer C.; et al. AASLD AST Practice Guideline on adult liver transplantation: Candidate evaluation. Hepatology. 2026; 83(6):1609-1645. </w:t>
      </w:r>
      <w:hyperlink r:id="rId216">
        <w:r>
          <w:rPr>
            <w:color w:val="0563C1"/>
            <w:u w:val="single"/>
          </w:rPr>
          <w:t>Source</w:t>
        </w:r>
      </w:hyperlink>
      <w:r>
        <w:t xml:space="preserve"> | </w:t>
      </w:r>
      <w:hyperlink r:id="rId217">
        <w:r>
          <w:rPr>
            <w:color w:val="0563C1"/>
            <w:u w:val="single"/>
          </w:rPr>
          <w:t>Full-text access</w:t>
        </w:r>
      </w:hyperlink>
    </w:p>
    <w:p>
      <w:pPr>
        <w:pStyle w:val="Normal"/>
        <w:widowControl/>
        <w:spacing w:after="120"/>
      </w:pPr>
      <w:r>
        <w:t xml:space="preserve"/>
      </w:r>
      <w:r>
        <w:t xml:space="preserve">[V16-10] Tan, Ek Khoon; Taner, Timucin; Heimbach, Julie K.; et al. Liver Transplantation for Peri-hilar Cholangiocarcinoma. Journal of Gastrointestinal Surgery. 2020; 24(11):2679-2685. </w:t>
      </w:r>
      <w:hyperlink r:id="rId218">
        <w:r>
          <w:rPr>
            <w:color w:val="0563C1"/>
            <w:u w:val="single"/>
          </w:rPr>
          <w:t>Source</w:t>
        </w:r>
      </w:hyperlink>
      <w:r>
        <w:t xml:space="preserve"> | </w:t>
      </w:r>
      <w:hyperlink r:id="rId219">
        <w:r>
          <w:rPr>
            <w:color w:val="0563C1"/>
            <w:u w:val="single"/>
          </w:rPr>
          <w:t>Full-text access</w:t>
        </w:r>
      </w:hyperlink>
    </w:p>
    <w:p>
      <w:pPr>
        <w:pStyle w:val="Normal"/>
        <w:widowControl/>
        <w:spacing w:after="120"/>
      </w:pPr>
      <w:r>
        <w:t xml:space="preserve"/>
      </w:r>
      <w:r>
        <w:t xml:space="preserve">[V16-11] Wu, Trudy C.; Smith, Clayton P.; Li, Joshua S.; et al. A systematic review and meta‐analysis of pathologic complete response rates for patients with cholangiocarcinoma treated on liver transplant protocols. Journal of Surgical Oncology. 2023; 129(3):574-583. </w:t>
      </w:r>
      <w:hyperlink r:id="rId220">
        <w:r>
          <w:rPr>
            <w:color w:val="0563C1"/>
            <w:u w:val="single"/>
          </w:rPr>
          <w:t>Source</w:t>
        </w:r>
      </w:hyperlink>
      <w:r>
        <w:t xml:space="preserve"> | </w:t>
      </w:r>
      <w:hyperlink r:id="rId221">
        <w:r>
          <w:rPr>
            <w:color w:val="0563C1"/>
            <w:u w:val="single"/>
          </w:rPr>
          <w:t>Full-text access</w:t>
        </w:r>
      </w:hyperlink>
    </w:p>
    <w:p>
      <w:pPr>
        <w:pStyle w:val="Normal"/>
        <w:widowControl/>
        <w:spacing w:after="120"/>
      </w:pPr>
      <w:r>
        <w:t xml:space="preserve"/>
      </w:r>
      <w:r>
        <w:t xml:space="preserve">[V16-12] Shroff RT; Kennedy EB; Alarcon Rozas AE; et al. Treatment of Advanced Biliary Tract Cancer: ASCO Living Guideline, Version 2026.1.0.. Journal of clinical oncology : official journal of the American Society of Clinical Oncology. 2026; :101200JCO2602462. </w:t>
      </w:r>
      <w:hyperlink r:id="rId222">
        <w:r>
          <w:rPr>
            <w:color w:val="0563C1"/>
            <w:u w:val="single"/>
          </w:rPr>
          <w:t>Source</w:t>
        </w:r>
      </w:hyperlink>
      <w:r>
        <w:t xml:space="preserve"> | </w:t>
      </w:r>
      <w:hyperlink r:id="rId223">
        <w:r>
          <w:rPr>
            <w:color w:val="0563C1"/>
            <w:u w:val="single"/>
          </w:rPr>
          <w:t>Full-text access</w:t>
        </w:r>
      </w:hyperlink>
    </w:p>
    <w:p>
      <w:pPr>
        <w:pStyle w:val="Normal"/>
        <w:widowControl/>
        <w:spacing w:after="120"/>
      </w:pPr>
      <w:r>
        <w:t xml:space="preserve"/>
      </w:r>
      <w:r>
        <w:t xml:space="preserve">[V16-13]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224">
        <w:r>
          <w:rPr>
            <w:color w:val="0563C1"/>
            <w:u w:val="single"/>
          </w:rPr>
          <w:t>Source</w:t>
        </w:r>
      </w:hyperlink>
      <w:r>
        <w:t xml:space="preserve"> | </w:t>
      </w:r>
      <w:hyperlink r:id="rId225">
        <w:r>
          <w:rPr>
            <w:color w:val="0563C1"/>
            <w:u w:val="single"/>
          </w:rPr>
          <w:t>Full-text access</w:t>
        </w:r>
      </w:hyperlink>
    </w:p>
    <w:p>
      <w:pPr>
        <w:pStyle w:val="Normal"/>
        <w:widowControl/>
        <w:spacing w:after="120"/>
      </w:pPr>
      <w:r>
        <w:t xml:space="preserve"/>
      </w:r>
      <w:r>
        <w:t xml:space="preserve">[V16-14] Gorji, Leva; Brown, Zachary J.; Limkemann, Ashley; et al. Liver Transplant as a Treatment of Primary and Secondary Liver Neoplasms. JAMA Surgery. 2024; 159(2):211. </w:t>
      </w:r>
      <w:hyperlink r:id="rId226">
        <w:r>
          <w:rPr>
            <w:color w:val="0563C1"/>
            <w:u w:val="single"/>
          </w:rPr>
          <w:t>Source</w:t>
        </w:r>
      </w:hyperlink>
      <w:r>
        <w:t xml:space="preserve"> | </w:t>
      </w:r>
      <w:hyperlink r:id="rId227">
        <w:r>
          <w:rPr>
            <w:color w:val="0563C1"/>
            <w:u w:val="single"/>
          </w:rPr>
          <w:t>Full-text access</w:t>
        </w:r>
      </w:hyperlink>
    </w:p>
    <w:p>
      <w:pPr>
        <w:pStyle w:val="Normal"/>
        <w:widowControl/>
        <w:spacing w:after="120"/>
      </w:pPr>
      <w:r>
        <w:t xml:space="preserve"/>
      </w:r>
      <w:r>
        <w:t xml:space="preserve">[V16-15] Dong, Yawen; Li, Zhihao; Podrascanin, Vanja; et al. Liver resection with and without vascular resection versus transplantation for de novo perihilar cholangiocarcinoma. Hepatology. 2026; 83(5):1128-1142. </w:t>
      </w:r>
      <w:hyperlink r:id="rId228">
        <w:r>
          <w:rPr>
            <w:color w:val="0563C1"/>
            <w:u w:val="single"/>
          </w:rPr>
          <w:t>Source</w:t>
        </w:r>
      </w:hyperlink>
      <w:r>
        <w:t xml:space="preserve"> | </w:t>
      </w:r>
      <w:hyperlink r:id="rId229">
        <w:r>
          <w:rPr>
            <w:color w:val="0563C1"/>
            <w:u w:val="single"/>
          </w:rPr>
          <w:t>Full-text access</w:t>
        </w:r>
      </w:hyperlink>
    </w:p>
    <w:p>
      <w:pPr>
        <w:pStyle w:val="Normal"/>
        <w:widowControl/>
        <w:spacing w:after="120"/>
      </w:pPr>
      <w:r>
        <w:t xml:space="preserve"/>
      </w:r>
      <w:r>
        <w:t xml:space="preserve">[V16-16] Lunsford, Keri E; Javle, Milind; Heyne, Kirk; et al. Liver transplantation for locally advanced intrahepatic cholangiocarcinoma treated with neoadjuvant therapy: a prospective case-series. The lancet. Gastroenterology &amp; hepatology. 2018; 3(5):337-348. </w:t>
      </w:r>
      <w:hyperlink r:id="rId230">
        <w:r>
          <w:rPr>
            <w:color w:val="0563C1"/>
            <w:u w:val="single"/>
          </w:rPr>
          <w:t>Source</w:t>
        </w:r>
      </w:hyperlink>
      <w:r>
        <w:t xml:space="preserve"> | </w:t>
      </w:r>
      <w:hyperlink r:id="rId231">
        <w:r>
          <w:rPr>
            <w:color w:val="0563C1"/>
            <w:u w:val="single"/>
          </w:rPr>
          <w:t>Full-text access</w:t>
        </w:r>
      </w:hyperlink>
    </w:p>
    <w:p>
      <w:pPr>
        <w:pStyle w:val="Normal"/>
        <w:widowControl/>
        <w:spacing w:after="120"/>
      </w:pPr>
      <w:r>
        <w:t xml:space="preserve"/>
      </w:r>
      <w:r>
        <w:t xml:space="preserve">[V16-17] Ramanan, Poornima; Cummins, Nathan W.; Wilhelm, Mark P.; et al. Epidemiology, risk factors, and outcomes of infections in patients undergoing liver transplantation for hilar cholangiocarcinoma. Clinical Transplantation. 2017; 31(8). </w:t>
      </w:r>
      <w:hyperlink r:id="rId232">
        <w:r>
          <w:rPr>
            <w:color w:val="0563C1"/>
            <w:u w:val="single"/>
          </w:rPr>
          <w:t>Source</w:t>
        </w:r>
      </w:hyperlink>
      <w:r>
        <w:t xml:space="preserve"> | </w:t>
      </w:r>
      <w:hyperlink r:id="rId233">
        <w:r>
          <w:rPr>
            <w:color w:val="0563C1"/>
            <w:u w:val="single"/>
          </w:rPr>
          <w:t>Full-text access</w:t>
        </w:r>
      </w:hyperlink>
    </w:p>
    <w:p>
      <w:pPr>
        <w:pStyle w:val="Normal"/>
        <w:widowControl/>
        <w:spacing w:after="120"/>
      </w:pPr>
      <w:r>
        <w:t xml:space="preserve"/>
      </w:r>
      <w:r>
        <w:t xml:space="preserve">[V16-18] Semaan, Samar; Connor, Ashton A.; Saharia, Ashish; et al. Transplantation for Peri-Hilar and Intrahepatic Cholangiocarcinoma With mTOR Immunosuppression. Transplantation Proceedings. 2025; 57(2):255-263. </w:t>
      </w:r>
      <w:hyperlink r:id="rId234">
        <w:r>
          <w:rPr>
            <w:color w:val="0563C1"/>
            <w:u w:val="single"/>
          </w:rPr>
          <w:t>Source</w:t>
        </w:r>
      </w:hyperlink>
      <w:r>
        <w:t xml:space="preserve"> | </w:t>
      </w:r>
      <w:hyperlink r:id="rId235">
        <w:r>
          <w:rPr>
            <w:color w:val="0563C1"/>
            <w:u w:val="single"/>
          </w:rPr>
          <w:t>Full-text access</w:t>
        </w:r>
      </w:hyperlink>
    </w:p>
    <w:p>
      <w:pPr>
        <w:pStyle w:val="Normal"/>
        <w:widowControl/>
        <w:spacing w:after="120"/>
      </w:pPr>
      <w:r>
        <w:t xml:space="preserve"/>
      </w:r>
      <w:r>
        <w:t xml:space="preserve">[V16-19] Novartis Pharmaceuticals Corporation. Zortress (everolimus) US prescribing information, updated 16 September 2026. DailyMed. 2026. </w:t>
      </w:r>
      <w:hyperlink r:id="rId236">
        <w:r>
          <w:rPr>
            <w:color w:val="0563C1"/>
            <w:u w:val="single"/>
          </w:rPr>
          <w:t>Source</w:t>
        </w:r>
      </w:hyperlink>
      <w:r>
        <w:t xml:space="preserve"> | </w:t>
      </w:r>
      <w:hyperlink r:id="rId237">
        <w:r>
          <w:rPr>
            <w:color w:val="0563C1"/>
            <w:u w:val="single"/>
          </w:rPr>
          <w:t>Full-text access</w:t>
        </w:r>
      </w:hyperlink>
    </w:p>
    <w:p>
      <w:pPr>
        <w:pStyle w:val="Normal"/>
        <w:widowControl/>
        <w:spacing w:after="120"/>
      </w:pPr>
      <w:r>
        <w:t xml:space="preserve"/>
      </w:r>
      <w:r>
        <w:t xml:space="preserve">[V16-20] Heinrich, Sophia; Campos‐Murguia, Alejandro; Mensah, Angelina; et al. A Retrospective Multicenter Study Identifies a Similar Overall Survival of Patients After Liver Transplantation With Incidental Cholangiocarcinoma Compared to Hepatocellular Carcinoma. Clinical Transplantation. 2026; 40(5). </w:t>
      </w:r>
      <w:hyperlink r:id="rId238">
        <w:r>
          <w:rPr>
            <w:color w:val="0563C1"/>
            <w:u w:val="single"/>
          </w:rPr>
          <w:t>Source</w:t>
        </w:r>
      </w:hyperlink>
      <w:r>
        <w:t xml:space="preserve"> | </w:t>
      </w:r>
      <w:hyperlink r:id="rId239">
        <w:r>
          <w:rPr>
            <w:color w:val="0563C1"/>
            <w:u w:val="single"/>
          </w:rPr>
          <w:t>Full-text access</w:t>
        </w:r>
      </w:hyperlink>
    </w:p>
    <w:p>
      <w:pPr>
        <w:pStyle w:val="Normal"/>
        <w:widowControl/>
        <w:spacing w:after="120"/>
      </w:pPr>
      <w:r>
        <w:t xml:space="preserve"/>
      </w:r>
      <w:r>
        <w:t xml:space="preserve">[V16-21] Darwish Murad, Sarwa; Kim, W. Ray; Harnois, Denise M.; et al. Efficacy of Neoadjuvant Chemoradiation, Followed by Liver Transplantation, for Perihilar Cholangiocarcinoma at 12 US Centers. Gastroenterology. 2012; 143(1):88-98.e3. </w:t>
      </w:r>
      <w:hyperlink r:id="rId240">
        <w:r>
          <w:rPr>
            <w:color w:val="0563C1"/>
            <w:u w:val="single"/>
          </w:rPr>
          <w:t>Source</w:t>
        </w:r>
      </w:hyperlink>
      <w:r>
        <w:t xml:space="preserve"> | </w:t>
      </w:r>
      <w:hyperlink r:id="rId241">
        <w:r>
          <w:rPr>
            <w:color w:val="0563C1"/>
            <w:u w:val="single"/>
          </w:rPr>
          <w:t>Full-text access</w:t>
        </w:r>
      </w:hyperlink>
    </w:p>
    <w:p>
      <w:pPr>
        <w:pStyle w:val="Normal"/>
        <w:widowControl/>
        <w:spacing w:after="120"/>
      </w:pPr>
      <w:r>
        <w:t xml:space="preserve"/>
      </w:r>
      <w:r>
        <w:t xml:space="preserve">[V16-22] Loveday, Benjamin P.T.; Knox, Jennifer J.; Dawson, Laura A.; et al. Neoadjuvant hyperfractionated chemoradiation and liver transplantation for unresectable perihilar cholangiocarcinoma in Canada. Journal of Surgical Oncology. 2018; 117(2):213-219. </w:t>
      </w:r>
      <w:hyperlink r:id="rId242">
        <w:r>
          <w:rPr>
            <w:color w:val="0563C1"/>
            <w:u w:val="single"/>
          </w:rPr>
          <w:t>Source</w:t>
        </w:r>
      </w:hyperlink>
      <w:r>
        <w:t xml:space="preserve"> | </w:t>
      </w:r>
      <w:hyperlink r:id="rId243">
        <w:r>
          <w:rPr>
            <w:color w:val="0563C1"/>
            <w:u w:val="single"/>
          </w:rPr>
          <w:t>Full-text access</w:t>
        </w:r>
      </w:hyperlink>
    </w:p>
    <w:p>
      <w:pPr>
        <w:pStyle w:val="Normal"/>
        <w:widowControl/>
        <w:spacing w:after="120"/>
      </w:pPr>
      <w:r>
        <w:t xml:space="preserve"/>
      </w:r>
      <w:r>
        <w:t xml:space="preserve">[V16-23] Te, Helen S.; Agopian, Vatche G.; Demetris, Anthony J.; et al. AASLD AST Practice Guideline on adult liver transplantation: Diagnosis and management of graft-related complications. Liver Transplantation. 2025; 32(3):444-490. </w:t>
      </w:r>
      <w:hyperlink r:id="rId244">
        <w:r>
          <w:rPr>
            <w:color w:val="0563C1"/>
            <w:u w:val="single"/>
          </w:rPr>
          <w:t>Source</w:t>
        </w:r>
      </w:hyperlink>
      <w:r>
        <w:t xml:space="preserve"> | </w:t>
      </w:r>
      <w:hyperlink r:id="rId245">
        <w:r>
          <w:rPr>
            <w:color w:val="0563C1"/>
            <w:u w:val="single"/>
          </w:rPr>
          <w:t>Full-text access</w:t>
        </w:r>
      </w:hyperlink>
    </w:p>
    <w:p>
      <w:pPr>
        <w:pStyle w:val="Normal"/>
        <w:widowControl/>
        <w:spacing w:after="120"/>
      </w:pPr>
      <w:r>
        <w:t xml:space="preserve"/>
      </w:r>
      <w:r>
        <w:t xml:space="preserve">[V16-24] Abdelrahim, Maen; Esmail, Abdullah; Connor, Ashton A; et al. Utilization of immunotherapy as a neoadjuvant treatment in liver transplant recipients with hepatobiliary carcinoma. Frontiers in oncology. 2026; 16:1866870. </w:t>
      </w:r>
      <w:hyperlink r:id="rId246">
        <w:r>
          <w:rPr>
            <w:color w:val="0563C1"/>
            <w:u w:val="single"/>
          </w:rPr>
          <w:t>Source</w:t>
        </w:r>
      </w:hyperlink>
      <w:r>
        <w:t xml:space="preserve"> | </w:t>
      </w:r>
      <w:hyperlink r:id="rId247">
        <w:r>
          <w:rPr>
            <w:color w:val="0563C1"/>
            <w:u w:val="single"/>
          </w:rPr>
          <w:t>Full-text access</w:t>
        </w:r>
      </w:hyperlink>
    </w:p>
    <w:p>
      <w:pPr>
        <w:pStyle w:val="Normal"/>
        <w:widowControl/>
        <w:spacing w:after="120"/>
      </w:pPr>
      <w:r>
        <w:t xml:space="preserve"/>
      </w:r>
      <w:r>
        <w:t xml:space="preserve">[V16-25] Abecassis, M.M.; Fisher, R.A.; Olthoff, K.M.; et al. Complications of Living Donor Hepatic Lobectomy—A Comprehensive Report. American Journal of Transplantation. 2012; 12(5):1208-1217. </w:t>
      </w:r>
      <w:hyperlink r:id="rId248">
        <w:r>
          <w:rPr>
            <w:color w:val="0563C1"/>
            <w:u w:val="single"/>
          </w:rPr>
          <w:t>Source</w:t>
        </w:r>
      </w:hyperlink>
      <w:r>
        <w:t xml:space="preserve"> | </w:t>
      </w:r>
      <w:hyperlink r:id="rId249">
        <w:r>
          <w:rPr>
            <w:color w:val="0563C1"/>
            <w:u w:val="single"/>
          </w:rPr>
          <w:t>Full-text access</w:t>
        </w:r>
      </w:hyperlink>
    </w:p>
    <w:p>
      <w:pPr>
        <w:pStyle w:val="Normal"/>
        <w:widowControl/>
        <w:spacing w:after="120"/>
      </w:pPr>
      <w:r>
        <w:t xml:space="preserve"/>
      </w:r>
      <w:r>
        <w:t xml:space="preserve">[V16-26] DiMartini, A.; Dew, M.A.; Liu, Q.; et al. Social and Financial Outcomes of Living Liver Donation: A Prospective Investigation Within the Adult-to-Adult Living Donor Liver Transplantation Cohort Study 2 (A2ALL-2). American Journal of Transplantation. 2017; 17(4):1081-1096. </w:t>
      </w:r>
      <w:hyperlink r:id="rId250">
        <w:r>
          <w:rPr>
            <w:color w:val="0563C1"/>
            <w:u w:val="single"/>
          </w:rPr>
          <w:t>Source</w:t>
        </w:r>
      </w:hyperlink>
      <w:r>
        <w:t xml:space="preserve"> | </w:t>
      </w:r>
      <w:hyperlink r:id="rId251">
        <w:r>
          <w:rPr>
            <w:color w:val="0563C1"/>
            <w:u w:val="single"/>
          </w:rPr>
          <w:t>Full-text access</w:t>
        </w:r>
      </w:hyperlink>
    </w:p>
    <w:p>
      <w:pPr>
        <w:pStyle w:val="Normal"/>
        <w:widowControl/>
        <w:spacing w:after="120"/>
      </w:pPr>
      <w:r>
        <w:t xml:space="preserve"/>
      </w:r>
      <w:r>
        <w:t xml:space="preserve">[V16-27] Xiao, Jieling; Zeng, Rebecca Wenling; Lim, Wen Hui; et al. The incidence of adverse outcome in donors after living donor liver transplantation: A meta-analysis of 60,829 donors. Liver Transplantation. 2024; 30(5):493-504. </w:t>
      </w:r>
      <w:hyperlink r:id="rId252">
        <w:r>
          <w:rPr>
            <w:color w:val="0563C1"/>
            <w:u w:val="single"/>
          </w:rPr>
          <w:t>Source</w:t>
        </w:r>
      </w:hyperlink>
      <w:r>
        <w:t xml:space="preserve"> | </w:t>
      </w:r>
      <w:hyperlink r:id="rId253">
        <w:r>
          <w:rPr>
            <w:color w:val="0563C1"/>
            <w:u w:val="single"/>
          </w:rPr>
          <w:t>Full-text access</w:t>
        </w:r>
      </w:hyperlink>
    </w:p>
    <w:p>
      <w:pPr>
        <w:pStyle w:val="Normal"/>
        <w:widowControl/>
        <w:spacing w:after="120"/>
      </w:pPr>
      <w:r>
        <w:t xml:space="preserve"/>
      </w:r>
      <w:r>
        <w:t xml:space="preserve">[V16-28] Ito, Takashi; Taura, Kojiro; Fukumitsu, Ken; et al. Safety and efficacy of living donor liver transplantation for unresectable perihilar cholangiocarcinoma: A single center prospective study. Journal of Hepato-Biliary-Pancreatic Sciences. 2025; 32(4):276-286. </w:t>
      </w:r>
      <w:hyperlink r:id="rId254">
        <w:r>
          <w:rPr>
            <w:color w:val="0563C1"/>
            <w:u w:val="single"/>
          </w:rPr>
          <w:t>Source</w:t>
        </w:r>
      </w:hyperlink>
      <w:r>
        <w:t xml:space="preserve"> | </w:t>
      </w:r>
      <w:hyperlink r:id="rId255">
        <w:r>
          <w:rPr>
            <w:color w:val="0563C1"/>
            <w:u w:val="single"/>
          </w:rPr>
          <w:t>Full-text access</w:t>
        </w:r>
      </w:hyperlink>
    </w:p>
    <w:p>
      <w:pPr>
        <w:pStyle w:val="Normal"/>
        <w:widowControl/>
        <w:spacing w:after="120"/>
      </w:pPr>
      <w:r>
        <w:t xml:space="preserve"/>
      </w:r>
      <w:r>
        <w:t xml:space="preserve">[V16-29] Vugts, Jaynee J A; Gaspersz, Marcia P; Roos, Eva; et al. Eligibility for Liver Transplantation in Patients with Perihilar Cholangiocarcinoma. Annals of Surgical Oncology. 2021. </w:t>
      </w:r>
      <w:hyperlink r:id="rId256">
        <w:r>
          <w:rPr>
            <w:color w:val="0563C1"/>
            <w:u w:val="single"/>
          </w:rPr>
          <w:t>Source</w:t>
        </w:r>
      </w:hyperlink>
      <w:r>
        <w:t xml:space="preserve"> | </w:t>
      </w:r>
      <w:hyperlink r:id="rId257">
        <w:r>
          <w:rPr>
            <w:color w:val="0563C1"/>
            <w:u w:val="single"/>
          </w:rPr>
          <w:t>Full-text access</w:t>
        </w:r>
      </w:hyperlink>
    </w:p>
    <w:p>
      <w:pPr>
        <w:pStyle w:val="Normal"/>
        <w:widowControl/>
        <w:spacing w:after="120"/>
      </w:pPr>
      <w:r>
        <w:t xml:space="preserve"/>
      </w:r>
      <w:r>
        <w:t xml:space="preserve">[V16-30] Sio, Terence T; Martenson, James A; Haddock, Michael G; et al. Outcome of Transplant-fallout Patients With Unresectable Cholangiocarcinoma. American journal of clinical oncology. 2016; 39(3):271-5. </w:t>
      </w:r>
      <w:hyperlink r:id="rId258">
        <w:r>
          <w:rPr>
            <w:color w:val="0563C1"/>
            <w:u w:val="single"/>
          </w:rPr>
          <w:t>Source</w:t>
        </w:r>
      </w:hyperlink>
      <w:r>
        <w:t xml:space="preserve"> | Local PDF not available in this update</w:t>
      </w:r>
    </w:p>
    <w:p>
      <w:pPr>
        <w:pStyle w:val="Normal"/>
        <w:widowControl/>
        <w:spacing w:after="120"/>
      </w:pPr>
      <w:r>
        <w:t xml:space="preserve"/>
      </w:r>
      <w:r>
        <w:t xml:space="preserve">[V16-31] Mansour, John C; Aloia, Thomas A; Crane, Christopher H; et al. Hilar cholangiocarcinoma: expert consensus statement. HPB : the official journal of the International Hepato Pancreato Biliary Association. 2015; 17(8):691-9. </w:t>
      </w:r>
      <w:hyperlink r:id="rId259">
        <w:r>
          <w:rPr>
            <w:color w:val="0563C1"/>
            <w:u w:val="single"/>
          </w:rPr>
          <w:t>Source</w:t>
        </w:r>
      </w:hyperlink>
      <w:r>
        <w:t xml:space="preserve"> | </w:t>
      </w:r>
      <w:hyperlink r:id="rId260">
        <w:r>
          <w:rPr>
            <w:color w:val="0563C1"/>
            <w:u w:val="single"/>
          </w:rPr>
          <w:t>Full-text access</w:t>
        </w:r>
      </w:hyperlink>
    </w:p>
    <w:p>
      <w:pPr>
        <w:pStyle w:val="Normal"/>
        <w:widowControl/>
        <w:spacing w:after="120"/>
      </w:pPr>
      <w:r>
        <w:t xml:space="preserve"/>
      </w:r>
      <w:r>
        <w:t xml:space="preserve">[V16-32] Campbell, Sally; Ahmed, Ola; Cullinan, Darren; et al. Liver Transplantation for Unresectable Biliary Tract Cancers: Largest Single-Center Analysis of Subtype-Specific Survival and Recurrence (2007-2025). Annals of surgical oncology. 2026; 33(9):7870-7880. </w:t>
      </w:r>
      <w:hyperlink r:id="rId261">
        <w:r>
          <w:rPr>
            <w:color w:val="0563C1"/>
            <w:u w:val="single"/>
          </w:rPr>
          <w:t>Source</w:t>
        </w:r>
      </w:hyperlink>
      <w:r>
        <w:t xml:space="preserve"> | Local PDF not available in this update</w:t>
      </w:r>
    </w:p>
    <w:p>
      <w:pPr>
        <w:pStyle w:val="Normal"/>
        <w:widowControl/>
        <w:spacing w:after="120"/>
      </w:pPr>
      <w:r>
        <w:t xml:space="preserve"/>
      </w:r>
      <w:r>
        <w:t xml:space="preserve">[V16-33] de Jong, David M; den Hoed, Caroline M; Willemssen, Francois E J A; et al. Impact of EUS in liver transplantation workup for patients with unresectable perihilar cholangiocarcinoma. Gastrointestinal endoscopy. 2023; 99(4):548-556. </w:t>
      </w:r>
      <w:hyperlink r:id="rId262">
        <w:r>
          <w:rPr>
            <w:color w:val="0563C1"/>
            <w:u w:val="single"/>
          </w:rPr>
          <w:t>Source</w:t>
        </w:r>
      </w:hyperlink>
      <w:r>
        <w:t xml:space="preserve"> | Local PDF not available in this update</w:t>
      </w:r>
    </w:p>
    <w:p>
      <w:pPr>
        <w:pStyle w:val="Normal"/>
        <w:widowControl/>
        <w:spacing w:after="120"/>
      </w:pPr>
      <w:r>
        <w:t xml:space="preserve"/>
      </w:r>
      <w:r>
        <w:t xml:space="preserve">[V16-34] Wong. Downstaging locally advanced cholangiocarcinoma pre-liver transplantation: a prospective pilot study. The Journal of surgical research. 2019. </w:t>
      </w:r>
      <w:hyperlink r:id="rId263">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pCCA-B1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5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1eqwtejbt6fad7bttkla" Type="http://schemas.openxmlformats.org/officeDocument/2006/relationships/hyperlink" Target="https://doi.org/10.1002/hep.32771" TargetMode="External"/><Relationship Id="rIdr8inpyax5gy96gts3eo5p" Type="http://schemas.openxmlformats.org/officeDocument/2006/relationships/hyperlink" Target="https://doi.org/10.1097/HEP.0000000000001644" TargetMode="External"/><Relationship Id="rIdqssj9czqemee1n3l7yvud" Type="http://schemas.openxmlformats.org/officeDocument/2006/relationships/hyperlink" Target="https://www.nccn.org/professionals/physician_gls/pdf/btc.pdf#page=23" TargetMode="External"/><Relationship Id="rIdjpvwiwjsfy9vrzfsy034h" Type="http://schemas.openxmlformats.org/officeDocument/2006/relationships/hyperlink" Target="https://pubmed.ncbi.nlm.nih.gov/32671802" TargetMode="External"/><Relationship Id="rIdgvhnqvuhaimk9pemvhnwk" Type="http://schemas.openxmlformats.org/officeDocument/2006/relationships/hyperlink" Target="https://onlinelibrary.wiley.com/doi/10.1002/jso.27511" TargetMode="External"/><Relationship Id="rIdnb8jto2kvuvp8pbgxpfdi" Type="http://schemas.openxmlformats.org/officeDocument/2006/relationships/hyperlink" Target="https://jamanetwork.com/journals/jamasurgery/fullarticle/10.1001/jamasurg.2023.6083?utm_source=openevidence&amp;utm_medium=referral" TargetMode="External"/><Relationship Id="rIdvt9i8kjhgrvclooarmsjc" Type="http://schemas.openxmlformats.org/officeDocument/2006/relationships/hyperlink" Target="https://doi.org/10.1002/hep.26972" TargetMode="External"/><Relationship Id="rIdgr56vommnphmzrszqbeig" Type="http://schemas.openxmlformats.org/officeDocument/2006/relationships/hyperlink" Target="https://pubmed.ncbi.nlm.nih.gov/29548617" TargetMode="External"/><Relationship Id="rIdsjixnukvi5iewpsl6tmf1" Type="http://schemas.openxmlformats.org/officeDocument/2006/relationships/hyperlink" Target="https://onlinelibrary.wiley.com/doi/10.1111/ctr.13023" TargetMode="External"/><Relationship Id="rIdwnmj0zfnc4gcwxzi4m5kw" Type="http://schemas.openxmlformats.org/officeDocument/2006/relationships/hyperlink" Target="https://pubmed.ncbi.nlm.nih.gov/39939239" TargetMode="External"/><Relationship Id="rIdrv8ezywjyfchxdaztc3v7" Type="http://schemas.openxmlformats.org/officeDocument/2006/relationships/hyperlink" Target="https://onlinelibrary.wiley.com/doi/10.1111/ctr.70547" TargetMode="External"/><Relationship Id="rIdyrgsm_-3ite8glop60jgl" Type="http://schemas.openxmlformats.org/officeDocument/2006/relationships/hyperlink" Target="https://pubmed.ncbi.nlm.nih.gov/31972704" TargetMode="External"/><Relationship Id="rIddevqlwro1v_pbh8imtxbo" Type="http://schemas.openxmlformats.org/officeDocument/2006/relationships/hyperlink" Target="https://pubmed.ncbi.nlm.nih.gov/40622853" TargetMode="External"/><Relationship Id="rIdah40xaiwshz2cm5s3ouz0" Type="http://schemas.openxmlformats.org/officeDocument/2006/relationships/hyperlink" Target="https://onlinelibrary.wiley.com/doi/10.1002/jso.24833" TargetMode="External"/><Relationship Id="rIdd0oxcj9dm-ekcgq4rcxz4" Type="http://schemas.openxmlformats.org/officeDocument/2006/relationships/hyperlink" Target="https://pubmed.ncbi.nlm.nih.gov/41899493" TargetMode="External"/><Relationship Id="rId1naamldjfpmbuqysogu3d" Type="http://schemas.openxmlformats.org/officeDocument/2006/relationships/hyperlink" Target="https://pubmed.ncbi.nlm.nih.gov/42073607" TargetMode="External"/><Relationship Id="rIdb2_lubzxx4n3lvvi8l1ai" Type="http://schemas.openxmlformats.org/officeDocument/2006/relationships/hyperlink" Target="https://www.ncbi.nlm.nih.gov/pmc/articles/PMC10663390/" TargetMode="External"/><Relationship Id="rIdgspakwp1qfentfjvyzty5" Type="http://schemas.openxmlformats.org/officeDocument/2006/relationships/hyperlink" Target="https://meetings.asco.org/abstracts-presentations/247656" TargetMode="External"/><Relationship Id="rIdul2eciutnbgv7ujwojggg" Type="http://schemas.openxmlformats.org/officeDocument/2006/relationships/hyperlink" Target="https://meetings.asco.org/abstracts-presentations/255564" TargetMode="External"/><Relationship Id="rIdy9jr0bzcoynngb0otf66m" Type="http://schemas.openxmlformats.org/officeDocument/2006/relationships/hyperlink" Target="https://pubmed.ncbi.nlm.nih.gov/37760542" TargetMode="External"/><Relationship Id="rIdk14r2uu5xunnsalzz-so1" Type="http://schemas.openxmlformats.org/officeDocument/2006/relationships/hyperlink" Target="https://pubmed.ncbi.nlm.nih.gov/41919430" TargetMode="External"/><Relationship Id="rId27" Type="http://schemas.openxmlformats.org/officeDocument/2006/relationships/fontTable" Target="fontTable.xml"/><Relationship Id="rId28" Type="http://schemas.openxmlformats.org/officeDocument/2006/relationships/hyperlink" Target="https://doi.org/10.1097/HEP.0000000000001644" TargetMode="External"/><Relationship Id="rId29" Type="http://schemas.openxmlformats.org/officeDocument/2006/relationships/hyperlink" Target="https://drliuhao.github.io/mh-liver-pathways/evidence-libraries/" TargetMode="External"/><Relationship Id="rId30" Type="http://schemas.openxmlformats.org/officeDocument/2006/relationships/hyperlink" Target="https://doi.org/10.3389/fonc.2026.1866870"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doi.org/10.1111/j.1600-6143.2011.03972.x"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doi.org/10.1111/ajt.14055"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97/LVT.0000000000000303"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oi.org/10.1002/jhbp.12121"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pmc.ncbi.nlm.nih.gov/articles/PMC9085963/"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pmc.ncbi.nlm.nih.gov/articles/PMC6002861/"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onlinelibrary.wiley.com/doi/full/10.1002/hep.25629"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link.springer.com/article/10.1245/s10434-020-08258-3"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link.springer.com/article/10.1245/s10434-020-09001-8"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jamanetwork.com/journals/jamasurgery/fullarticle/10.1001/jamasurg.2023.6083?utm_source=openevidence&amp;utm_medium=referral"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onlinelibrary.wiley.com/doi/10.1002/jso.27511"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pubmed.ncbi.nlm.nih.gov/39939239"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onlinelibrary.wiley.com/doi/10.1111/ctr.13023"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onlinelibrary.wiley.com/doi/10.1111/ctr.70547"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www.nccn.org/professionals/physician_gls/pdf/btc.pdf#page=23"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97/lvt.0000000000000715"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02/hep.32771"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pubmed.ncbi.nlm.nih.gov/32671802"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onlinelibrary.wiley.com/doi/10.1002/jso.24833"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www.hrsa.gov/sites/default/files/hrsa/optn/optn_policies.pdf"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www.hrsa.gov/sites/default/files/hrsa/optn/adult-meld-exception-transplant-oncology-review-guidance.pdf"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www.nccn.org/professionals/physician_gls/pdf/btc.pdf#page=23"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onlinelibrary.wiley.com/doi/full/10.1002/hep.25629"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pmc.ncbi.nlm.nih.gov/articles/PMC6002861/"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link.springer.com/article/10.1245/s10434-020-08258-3"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02/hep.32771"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pmc.ncbi.nlm.nih.gov/articles/PMC9085963/"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097/HEP.0000000000001644"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pubmed.ncbi.nlm.nih.gov/32671802"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onlinelibrary.wiley.com/doi/10.1002/jso.27511"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jamanetwork.com/journals/jamasurgery/fullarticle/10.1001/jamasurg.2023.6083?utm_source=openevidence&amp;utm_medium=referral"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097/HEP.0000000000001449"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oi.org/10.1016/S2468-1253(18)30045-1"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onlinelibrary.wiley.com/doi/10.1111/ctr.13023" TargetMode="External"/><Relationship Id="rId102" Type="http://schemas.openxmlformats.org/officeDocument/2006/relationships/hyperlink" Target="https://drliuhao.github.io/mh-liver-pathways/evidence-libraries/" TargetMode="External"/><Relationship Id="rId103" Type="http://schemas.openxmlformats.org/officeDocument/2006/relationships/hyperlink" Target="https://pubmed.ncbi.nlm.nih.gov/39939239"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dailymed.nlm.nih.gov/dailymed/drugInfo.cfm?setid=e082a024-7850-400b-a5c2-2a140612562a"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onlinelibrary.wiley.com/doi/10.1111/ctr.70547"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oi.org/10.1053/j.gastro.2012.04.008"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onlinelibrary.wiley.com/doi/10.1002/jso.24833"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doi.org/10.1097/lvt.0000000000000715"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doi.org/10.3389/fonc.2026.1866870"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doi.org/10.1111/j.1600-6143.2011.03972.x" TargetMode="External"/><Relationship Id="rId118" Type="http://schemas.openxmlformats.org/officeDocument/2006/relationships/hyperlink" Target="https://drliuhao.github.io/mh-liver-pathways/evidence-libraries/" TargetMode="External"/><Relationship Id="rId119" Type="http://schemas.openxmlformats.org/officeDocument/2006/relationships/hyperlink" Target="https://doi.org/10.1111/ajt.14055"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097/LVT.0000000000000303"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doi.org/10.1002/jhbp.12121"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link.springer.com/article/10.1245/s10434-020-09001-8"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doi.org/10.1200/JCO-26-02462"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oi.org/10.1016/S2468-1253(24)00119-5"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www.hrsa.gov/sites/default/files/hrsa/optn/optn_policies.pdf"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www.hrsa.gov/sites/default/files/hrsa/optn/adult-meld-exception-transplant-oncology-review-guidance.pdf"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www.nccn.org/professionals/physician_gls/pdf/btc.pdf#page=16"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onlinelibrary.wiley.com/doi/full/10.1002/hep.25629"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pmc.ncbi.nlm.nih.gov/articles/PMC6002861/"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link.springer.com/article/10.1245/s10434-020-08258-3"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1002/hep.32771"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pmc.ncbi.nlm.nih.gov/articles/PMC9085963/"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1097/HEP.0000000000001644"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pubmed.ncbi.nlm.nih.gov/32671802"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onlinelibrary.wiley.com/doi/10.1002/jso.27511" TargetMode="External"/><Relationship Id="rId153" Type="http://schemas.openxmlformats.org/officeDocument/2006/relationships/hyperlink" Target="https://drliuhao.github.io/mh-liver-pathways/evidence-libraries/" TargetMode="External"/><Relationship Id="rId154" Type="http://schemas.openxmlformats.org/officeDocument/2006/relationships/hyperlink" Target="https://jamanetwork.com/journals/jamasurgery/fullarticle/10.1001/jamasurg.2023.6083?utm_source=openevidence&amp;utm_medium=referral" TargetMode="External"/><Relationship Id="rId155" Type="http://schemas.openxmlformats.org/officeDocument/2006/relationships/hyperlink" Target="https://drliuhao.github.io/mh-liver-pathways/evidence-libraries/" TargetMode="External"/><Relationship Id="rId156" Type="http://schemas.openxmlformats.org/officeDocument/2006/relationships/hyperlink" Target="https://doi.org/10.1097/HEP.0000000000001449" TargetMode="External"/><Relationship Id="rId157" Type="http://schemas.openxmlformats.org/officeDocument/2006/relationships/hyperlink" Target="https://drliuhao.github.io/mh-liver-pathways/evidence-libraries/" TargetMode="External"/><Relationship Id="rId158" Type="http://schemas.openxmlformats.org/officeDocument/2006/relationships/hyperlink" Target="https://doi.org/10.1016/S2468-1253(18)30045-1" TargetMode="External"/><Relationship Id="rId159" Type="http://schemas.openxmlformats.org/officeDocument/2006/relationships/hyperlink" Target="https://drliuhao.github.io/mh-liver-pathways/evidence-libraries/" TargetMode="External"/><Relationship Id="rId160" Type="http://schemas.openxmlformats.org/officeDocument/2006/relationships/hyperlink" Target="https://onlinelibrary.wiley.com/doi/10.1111/ctr.13023" TargetMode="External"/><Relationship Id="rId161" Type="http://schemas.openxmlformats.org/officeDocument/2006/relationships/hyperlink" Target="https://drliuhao.github.io/mh-liver-pathways/evidence-libraries/" TargetMode="External"/><Relationship Id="rId162" Type="http://schemas.openxmlformats.org/officeDocument/2006/relationships/hyperlink" Target="https://pubmed.ncbi.nlm.nih.gov/39939239" TargetMode="External"/><Relationship Id="rId163" Type="http://schemas.openxmlformats.org/officeDocument/2006/relationships/hyperlink" Target="https://drliuhao.github.io/mh-liver-pathways/evidence-libraries/" TargetMode="External"/><Relationship Id="rId164" Type="http://schemas.openxmlformats.org/officeDocument/2006/relationships/hyperlink" Target="https://dailymed.nlm.nih.gov/dailymed/drugInfo.cfm?setid=e082a024-7850-400b-a5c2-2a140612562a" TargetMode="External"/><Relationship Id="rId165" Type="http://schemas.openxmlformats.org/officeDocument/2006/relationships/hyperlink" Target="https://drliuhao.github.io/mh-liver-pathways/evidence-libraries/" TargetMode="External"/><Relationship Id="rId166" Type="http://schemas.openxmlformats.org/officeDocument/2006/relationships/hyperlink" Target="https://onlinelibrary.wiley.com/doi/10.1111/ctr.70547" TargetMode="External"/><Relationship Id="rId167" Type="http://schemas.openxmlformats.org/officeDocument/2006/relationships/hyperlink" Target="https://drliuhao.github.io/mh-liver-pathways/evidence-libraries/" TargetMode="External"/><Relationship Id="rId168" Type="http://schemas.openxmlformats.org/officeDocument/2006/relationships/hyperlink" Target="https://doi.org/10.1053/j.gastro.2012.04.008" TargetMode="External"/><Relationship Id="rId169" Type="http://schemas.openxmlformats.org/officeDocument/2006/relationships/hyperlink" Target="https://drliuhao.github.io/mh-liver-pathways/evidence-libraries/" TargetMode="External"/><Relationship Id="rId170" Type="http://schemas.openxmlformats.org/officeDocument/2006/relationships/hyperlink" Target="https://onlinelibrary.wiley.com/doi/10.1002/jso.24833"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doi.org/10.1097/lvt.0000000000000715" TargetMode="External"/><Relationship Id="rId173" Type="http://schemas.openxmlformats.org/officeDocument/2006/relationships/hyperlink" Target="https://drliuhao.github.io/mh-liver-pathways/evidence-libraries/" TargetMode="External"/><Relationship Id="rId174" Type="http://schemas.openxmlformats.org/officeDocument/2006/relationships/hyperlink" Target="https://doi.org/10.3389/fonc.2026.1866870"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doi.org/10.1111/j.1600-6143.2011.03972.x" TargetMode="External"/><Relationship Id="rId177" Type="http://schemas.openxmlformats.org/officeDocument/2006/relationships/hyperlink" Target="https://drliuhao.github.io/mh-liver-pathways/evidence-libraries/" TargetMode="External"/><Relationship Id="rId178" Type="http://schemas.openxmlformats.org/officeDocument/2006/relationships/hyperlink" Target="https://doi.org/10.1111/ajt.14055" TargetMode="External"/><Relationship Id="rId179" Type="http://schemas.openxmlformats.org/officeDocument/2006/relationships/hyperlink" Target="https://drliuhao.github.io/mh-liver-pathways/evidence-libraries/" TargetMode="External"/><Relationship Id="rId180" Type="http://schemas.openxmlformats.org/officeDocument/2006/relationships/hyperlink" Target="https://doi.org/10.1097/LVT.0000000000000303" TargetMode="External"/><Relationship Id="rId181" Type="http://schemas.openxmlformats.org/officeDocument/2006/relationships/hyperlink" Target="https://drliuhao.github.io/mh-liver-pathways/evidence-libraries/" TargetMode="External"/><Relationship Id="rId182" Type="http://schemas.openxmlformats.org/officeDocument/2006/relationships/hyperlink" Target="https://doi.org/10.1002/jhbp.12121" TargetMode="External"/><Relationship Id="rId183" Type="http://schemas.openxmlformats.org/officeDocument/2006/relationships/hyperlink" Target="https://drliuhao.github.io/mh-liver-pathways/evidence-libraries/" TargetMode="External"/><Relationship Id="rId184" Type="http://schemas.openxmlformats.org/officeDocument/2006/relationships/hyperlink" Target="https://link.springer.com/article/10.1245/s10434-020-09001-8" TargetMode="External"/><Relationship Id="rId185" Type="http://schemas.openxmlformats.org/officeDocument/2006/relationships/hyperlink" Target="https://drliuhao.github.io/mh-liver-pathways/evidence-libraries/" TargetMode="External"/><Relationship Id="rId186" Type="http://schemas.openxmlformats.org/officeDocument/2006/relationships/hyperlink" Target="https://doi.org/10.1200/JCO-26-02462" TargetMode="External"/><Relationship Id="rId187" Type="http://schemas.openxmlformats.org/officeDocument/2006/relationships/hyperlink" Target="https://drliuhao.github.io/mh-liver-pathways/evidence-libraries/" TargetMode="External"/><Relationship Id="rId188" Type="http://schemas.openxmlformats.org/officeDocument/2006/relationships/hyperlink" Target="https://doi.org/10.1016/S2468-1253(24)00119-5" TargetMode="External"/><Relationship Id="rId189" Type="http://schemas.openxmlformats.org/officeDocument/2006/relationships/hyperlink" Target="https://drliuhao.github.io/mh-liver-pathways/evidence-libraries/" TargetMode="External"/><Relationship Id="rId190" Type="http://schemas.openxmlformats.org/officeDocument/2006/relationships/hyperlink" Target="https://doi.org/10.1097/COC.0000000000000056" TargetMode="External"/><Relationship Id="rId191" Type="http://schemas.openxmlformats.org/officeDocument/2006/relationships/hyperlink" Target="https://doi.org/10.1053/j.gastro.2012.04.008"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link.springer.com/article/10.1245/s10434-020-09001-8" TargetMode="External"/><Relationship Id="rId194" Type="http://schemas.openxmlformats.org/officeDocument/2006/relationships/hyperlink" Target="https://drliuhao.github.io/mh-liver-pathways/evidence-libraries/" TargetMode="External"/><Relationship Id="rId195" Type="http://schemas.openxmlformats.org/officeDocument/2006/relationships/hyperlink" Target="https://doi.org/10.1111/hpb.12450" TargetMode="External"/><Relationship Id="rId196" Type="http://schemas.openxmlformats.org/officeDocument/2006/relationships/hyperlink" Target="https://drliuhao.github.io/mh-liver-pathways/evidence-libraries/" TargetMode="External"/><Relationship Id="rId197" Type="http://schemas.openxmlformats.org/officeDocument/2006/relationships/hyperlink" Target="https://doi.org/10.1245/s10434-026-19975-6" TargetMode="External"/><Relationship Id="rId198" Type="http://schemas.openxmlformats.org/officeDocument/2006/relationships/hyperlink" Target="https://doi.org/10.1016/j.gie.2023.10.047" TargetMode="External"/><Relationship Id="rId199" Type="http://schemas.openxmlformats.org/officeDocument/2006/relationships/hyperlink" Target="https://doi.org/10.1016/j.jss.2019.04.023" TargetMode="External"/><Relationship Id="rId200" Type="http://schemas.openxmlformats.org/officeDocument/2006/relationships/hyperlink" Target="https://www.hrsa.gov/sites/default/files/hrsa/optn/optn_policies.pdf"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www.hrsa.gov/sites/default/files/hrsa/optn/adult-meld-exception-transplant-oncology-review-guidance.pdf"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www.nccn.org/professionals/physician_gls/pdf/btc.pdf#page=16"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onlinelibrary.wiley.com/doi/full/10.1002/hep.25629"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pmc.ncbi.nlm.nih.gov/articles/PMC6002861/"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link.springer.com/article/10.1245/s10434-020-08258-3"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doi.org/10.1002/hep.32771" TargetMode="External"/><Relationship Id="rId213" Type="http://schemas.openxmlformats.org/officeDocument/2006/relationships/hyperlink" Target="https://drliuhao.github.io/mh-liver-pathways/evidence-libraries/" TargetMode="External"/><Relationship Id="rId214" Type="http://schemas.openxmlformats.org/officeDocument/2006/relationships/hyperlink" Target="https://pmc.ncbi.nlm.nih.gov/articles/PMC9085963/" TargetMode="External"/><Relationship Id="rId215" Type="http://schemas.openxmlformats.org/officeDocument/2006/relationships/hyperlink" Target="https://drliuhao.github.io/mh-liver-pathways/evidence-libraries/" TargetMode="External"/><Relationship Id="rId216" Type="http://schemas.openxmlformats.org/officeDocument/2006/relationships/hyperlink" Target="https://doi.org/10.1097/HEP.0000000000001644" TargetMode="External"/><Relationship Id="rId217" Type="http://schemas.openxmlformats.org/officeDocument/2006/relationships/hyperlink" Target="https://drliuhao.github.io/mh-liver-pathways/evidence-libraries/" TargetMode="External"/><Relationship Id="rId218" Type="http://schemas.openxmlformats.org/officeDocument/2006/relationships/hyperlink" Target="https://pubmed.ncbi.nlm.nih.gov/32671802" TargetMode="External"/><Relationship Id="rId219" Type="http://schemas.openxmlformats.org/officeDocument/2006/relationships/hyperlink" Target="https://drliuhao.github.io/mh-liver-pathways/evidence-libraries/" TargetMode="External"/><Relationship Id="rId220" Type="http://schemas.openxmlformats.org/officeDocument/2006/relationships/hyperlink" Target="https://onlinelibrary.wiley.com/doi/10.1002/jso.27511" TargetMode="External"/><Relationship Id="rId221" Type="http://schemas.openxmlformats.org/officeDocument/2006/relationships/hyperlink" Target="https://drliuhao.github.io/mh-liver-pathways/evidence-libraries/" TargetMode="External"/><Relationship Id="rId222" Type="http://schemas.openxmlformats.org/officeDocument/2006/relationships/hyperlink" Target="https://doi.org/10.1200/JCO-26-02462" TargetMode="External"/><Relationship Id="rId223" Type="http://schemas.openxmlformats.org/officeDocument/2006/relationships/hyperlink" Target="https://drliuhao.github.io/mh-liver-pathways/evidence-libraries/" TargetMode="External"/><Relationship Id="rId224" Type="http://schemas.openxmlformats.org/officeDocument/2006/relationships/hyperlink" Target="https://doi.org/10.1016/S2468-1253(24)00119-5" TargetMode="External"/><Relationship Id="rId225" Type="http://schemas.openxmlformats.org/officeDocument/2006/relationships/hyperlink" Target="https://drliuhao.github.io/mh-liver-pathways/evidence-libraries/" TargetMode="External"/><Relationship Id="rId226" Type="http://schemas.openxmlformats.org/officeDocument/2006/relationships/hyperlink" Target="https://jamanetwork.com/journals/jamasurgery/fullarticle/10.1001/jamasurg.2023.6083?utm_source=openevidence&amp;utm_medium=referral" TargetMode="External"/><Relationship Id="rId227" Type="http://schemas.openxmlformats.org/officeDocument/2006/relationships/hyperlink" Target="https://drliuhao.github.io/mh-liver-pathways/evidence-libraries/" TargetMode="External"/><Relationship Id="rId228" Type="http://schemas.openxmlformats.org/officeDocument/2006/relationships/hyperlink" Target="https://doi.org/10.1097/HEP.0000000000001449" TargetMode="External"/><Relationship Id="rId229" Type="http://schemas.openxmlformats.org/officeDocument/2006/relationships/hyperlink" Target="https://drliuhao.github.io/mh-liver-pathways/evidence-libraries/" TargetMode="External"/><Relationship Id="rId230" Type="http://schemas.openxmlformats.org/officeDocument/2006/relationships/hyperlink" Target="https://doi.org/10.1016/S2468-1253(18)30045-1" TargetMode="External"/><Relationship Id="rId231" Type="http://schemas.openxmlformats.org/officeDocument/2006/relationships/hyperlink" Target="https://drliuhao.github.io/mh-liver-pathways/evidence-libraries/" TargetMode="External"/><Relationship Id="rId232" Type="http://schemas.openxmlformats.org/officeDocument/2006/relationships/hyperlink" Target="https://onlinelibrary.wiley.com/doi/10.1111/ctr.13023" TargetMode="External"/><Relationship Id="rId233" Type="http://schemas.openxmlformats.org/officeDocument/2006/relationships/hyperlink" Target="https://drliuhao.github.io/mh-liver-pathways/evidence-libraries/" TargetMode="External"/><Relationship Id="rId234" Type="http://schemas.openxmlformats.org/officeDocument/2006/relationships/hyperlink" Target="https://pubmed.ncbi.nlm.nih.gov/39939239" TargetMode="External"/><Relationship Id="rId235" Type="http://schemas.openxmlformats.org/officeDocument/2006/relationships/hyperlink" Target="https://drliuhao.github.io/mh-liver-pathways/evidence-libraries/" TargetMode="External"/><Relationship Id="rId236" Type="http://schemas.openxmlformats.org/officeDocument/2006/relationships/hyperlink" Target="https://dailymed.nlm.nih.gov/dailymed/drugInfo.cfm?setid=e082a024-7850-400b-a5c2-2a140612562a" TargetMode="External"/><Relationship Id="rId237" Type="http://schemas.openxmlformats.org/officeDocument/2006/relationships/hyperlink" Target="https://drliuhao.github.io/mh-liver-pathways/evidence-libraries/" TargetMode="External"/><Relationship Id="rId238" Type="http://schemas.openxmlformats.org/officeDocument/2006/relationships/hyperlink" Target="https://onlinelibrary.wiley.com/doi/10.1111/ctr.70547" TargetMode="External"/><Relationship Id="rId239" Type="http://schemas.openxmlformats.org/officeDocument/2006/relationships/hyperlink" Target="https://drliuhao.github.io/mh-liver-pathways/evidence-libraries/" TargetMode="External"/><Relationship Id="rId240" Type="http://schemas.openxmlformats.org/officeDocument/2006/relationships/hyperlink" Target="https://doi.org/10.1053/j.gastro.2012.04.008" TargetMode="External"/><Relationship Id="rId241" Type="http://schemas.openxmlformats.org/officeDocument/2006/relationships/hyperlink" Target="https://drliuhao.github.io/mh-liver-pathways/evidence-libraries/" TargetMode="External"/><Relationship Id="rId242" Type="http://schemas.openxmlformats.org/officeDocument/2006/relationships/hyperlink" Target="https://onlinelibrary.wiley.com/doi/10.1002/jso.24833" TargetMode="External"/><Relationship Id="rId243" Type="http://schemas.openxmlformats.org/officeDocument/2006/relationships/hyperlink" Target="https://drliuhao.github.io/mh-liver-pathways/evidence-libraries/" TargetMode="External"/><Relationship Id="rId244" Type="http://schemas.openxmlformats.org/officeDocument/2006/relationships/hyperlink" Target="https://doi.org/10.1097/lvt.0000000000000715" TargetMode="External"/><Relationship Id="rId245" Type="http://schemas.openxmlformats.org/officeDocument/2006/relationships/hyperlink" Target="https://drliuhao.github.io/mh-liver-pathways/evidence-libraries/" TargetMode="External"/><Relationship Id="rId246" Type="http://schemas.openxmlformats.org/officeDocument/2006/relationships/hyperlink" Target="https://doi.org/10.3389/fonc.2026.1866870" TargetMode="External"/><Relationship Id="rId247" Type="http://schemas.openxmlformats.org/officeDocument/2006/relationships/hyperlink" Target="https://drliuhao.github.io/mh-liver-pathways/evidence-libraries/" TargetMode="External"/><Relationship Id="rId248" Type="http://schemas.openxmlformats.org/officeDocument/2006/relationships/hyperlink" Target="https://doi.org/10.1111/j.1600-6143.2011.03972.x" TargetMode="External"/><Relationship Id="rId249" Type="http://schemas.openxmlformats.org/officeDocument/2006/relationships/hyperlink" Target="https://drliuhao.github.io/mh-liver-pathways/evidence-libraries/" TargetMode="External"/><Relationship Id="rId250" Type="http://schemas.openxmlformats.org/officeDocument/2006/relationships/hyperlink" Target="https://doi.org/10.1111/ajt.14055" TargetMode="External"/><Relationship Id="rId251" Type="http://schemas.openxmlformats.org/officeDocument/2006/relationships/hyperlink" Target="https://drliuhao.github.io/mh-liver-pathways/evidence-libraries/" TargetMode="External"/><Relationship Id="rId252" Type="http://schemas.openxmlformats.org/officeDocument/2006/relationships/hyperlink" Target="https://doi.org/10.1097/LVT.0000000000000303" TargetMode="External"/><Relationship Id="rId253" Type="http://schemas.openxmlformats.org/officeDocument/2006/relationships/hyperlink" Target="https://drliuhao.github.io/mh-liver-pathways/evidence-libraries/" TargetMode="External"/><Relationship Id="rId254" Type="http://schemas.openxmlformats.org/officeDocument/2006/relationships/hyperlink" Target="https://doi.org/10.1002/jhbp.12121" TargetMode="External"/><Relationship Id="rId255" Type="http://schemas.openxmlformats.org/officeDocument/2006/relationships/hyperlink" Target="https://drliuhao.github.io/mh-liver-pathways/evidence-libraries/" TargetMode="External"/><Relationship Id="rId256" Type="http://schemas.openxmlformats.org/officeDocument/2006/relationships/hyperlink" Target="https://link.springer.com/article/10.1245/s10434-020-09001-8" TargetMode="External"/><Relationship Id="rId257" Type="http://schemas.openxmlformats.org/officeDocument/2006/relationships/hyperlink" Target="https://drliuhao.github.io/mh-liver-pathways/evidence-libraries/" TargetMode="External"/><Relationship Id="rId258" Type="http://schemas.openxmlformats.org/officeDocument/2006/relationships/hyperlink" Target="https://doi.org/10.1097/COC.0000000000000056" TargetMode="External"/><Relationship Id="rId259" Type="http://schemas.openxmlformats.org/officeDocument/2006/relationships/hyperlink" Target="https://doi.org/10.1111/hpb.12450" TargetMode="External"/><Relationship Id="rId260" Type="http://schemas.openxmlformats.org/officeDocument/2006/relationships/hyperlink" Target="https://drliuhao.github.io/mh-liver-pathways/evidence-libraries/" TargetMode="External"/><Relationship Id="rId261" Type="http://schemas.openxmlformats.org/officeDocument/2006/relationships/hyperlink" Target="https://doi.org/10.1245/s10434-026-19975-6" TargetMode="External"/><Relationship Id="rId262" Type="http://schemas.openxmlformats.org/officeDocument/2006/relationships/hyperlink" Target="https://doi.org/10.1016/j.gie.2023.10.047" TargetMode="External"/><Relationship Id="rId263" Type="http://schemas.openxmlformats.org/officeDocument/2006/relationships/hyperlink" Target="https://doi.org/10.1016/j.jss.2019.04.023"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2026-07-15T23:24:36.929Z</dcterms:created>
  <dcterms:modified xsi:type="dcterms:W3CDTF">2026-10-29T14:21:24Z</dcterms:modified>
  <dc:title>UTHealth Houston / Memorial Hermann — Perihilar cholangiocarcinoma Standard / Guidance-Aligned Transplant Protocol V8</dc:title>
  <dc:subject>OPTN Policy 9.5.A standardized exception pathway</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