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Perihilar Cholangiocarcinoma</w:t>
      </w:r>
    </w:p>
    <w:p>
      <w:pPr>
        <w:pStyle w:val="Normal"/>
        <w:widowControl/>
      </w:pPr>
      <w:r>
        <w:t xml:space="preserve">Preserve the established neoadjuvant and transplant pathway while separately evaluating larger radial tumors, previous primary-tumor biopsy, previously positive nodes and regimen changes. A high-risk feature within standard eligibility is not the same as an eligibility expansion.</w:t>
      </w:r>
    </w:p>
    <w:p>
      <w:pPr>
        <w:spacing w:after="120"/>
      </w:pPr>
      <w:r>
        <w:rPr>
          <w:i/>
          <w:sz w:val="18"/>
        </w:rPr>
        <w:t xml:space="preserve">Standardized document set, 29 October 2026: this is the full-content document for the high-risk transplant protocol. Questions for consensus: pCCA_6_High_Risk_Transplant_Questions.docx. Decision discussion for all settings: pCCA_7_Decision_Discussion.docx. Web page: https://drliuhao.github.io/mh-liver-pathways/transplant/pcca/#high-risk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xMTRkZjZmNi1iOTg0LTU4NDgtOWM2Mi02YjBkZDg3ZTViZmE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patient selection</w:t>
      </w:r>
    </w:p>
    <w:p>
      <w:pPr>
        <w:pStyle w:val="Heading3"/>
        <w:keepNext/>
        <w:widowControl/>
      </w:pPr>
      <w:r>
        <w:t xml:space="preserve">1.1 Identify the standard pathway before considering expansion</w:t>
      </w:r>
    </w:p>
    <w:p>
      <w:pPr>
        <w:pStyle w:val="Normal"/>
        <w:widowControl/>
        <w:numPr>
          <w:ilvl w:val="0"/>
          <w:numId w:val="3"/>
        </w:numPr>
      </w:pPr>
      <w:r>
        <w:t xml:space="preserve">Confirm the lesion is perihilar, not a distal bile-duct cancer or an intrahepatic primary. Document a malignant-appearing stricture on cholangiography plus the applicable diagnostic evidence: malignant cytology/biopsy, CA19-9 above 100 U/mL without cholangitis, aneuploidy, or the qualifying hilar mass. A negative brushing does not by itself exclude malignancy.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If a mass is present, standardized exception policy requires a single mass strictly less than 3 cm in radial diameter, measured perpendicular to the duct. Do not substitute longitudinal ductal extent or a less-than-or-equal-to threshold. A mass exactly 3.0 cm is outside that standardized criterion.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Obtain independent HPB review of technical resectability, vascular reconstruction, future liver remnant and underlying liver disease. Policy requires unresectability from technical considerations or liver disease; a resectable de novo tumor does not acquire a conventional transplant indication merely because an LT series reports favorable survival.</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1.2 Define each high risk feature separately</w:t>
      </w:r>
    </w:p>
    <w:p>
      <w:pPr>
        <w:pStyle w:val="Normal"/>
        <w:widowControl/>
        <w:numPr>
          <w:ilvl w:val="0"/>
          <w:numId w:val="3"/>
        </w:numPr>
      </w:pPr>
      <w:r>
        <w:t xml:space="preserve">Record radial size, de novo versus PSC-associated disease, CA19-9 after drainage and infection control, prior treatment, node station and pathology, primary biopsy route, and all evidence of metastasis. A CA19-9 above 500 U/mL is a risk finding to explain and discuss, not a threshold that qualifies the patient for transplantation.</w:t>
      </w:r>
    </w:p>
    <w:p>
      <w:pPr>
        <w:pStyle w:val="Normal"/>
        <w:widowControl/>
        <w:numPr>
          <w:ilvl w:val="0"/>
          <w:numId w:val="3"/>
        </w:numPr>
      </w:pPr>
      <w:r>
        <w:t xml:space="preserve">An indeterminate node requires resolution, not automatic exclusion or clearance. EUS sampling of a suspicious node is distinct from transperitoneal biopsy of the primary tumor. A negative nodal sample does not replace operative staging.</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pPr>
      <w:r>
        <w:t xml:space="preserve">The 12-center US experience included 287 pathway patients and 214 recipients. Five-year intention-to-treat survival was approximately 53%, while post-LT recurrence-free survival was approximately 65%; these are different endpoints and denominators. Larger masses were associated with worse outcomes. The old 3–5 cm entry band is not adopted as a validated extension.</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Heading3"/>
        <w:keepNext/>
        <w:widowControl/>
      </w:pPr>
      <w:bookmarkStart w:id="1" w:name="pCCA_B1"/>
      <w:r>
        <w:t xml:space="preserve">pCCA-B1 — Size, prior biopsy and prior nodes: one exclusion or separate research strata?</w:t>
      </w:r>
      <w:bookmarkEnd w:id="1"/>
    </w:p>
    <w:p>
      <w:pPr>
        <w:pStyle w:val="Heading3"/>
        <w:keepNext/>
        <w:widowControl/>
      </w:pPr>
      <w:r>
        <w:t xml:space="preserve">Question and comparison</w:t>
      </w:r>
    </w:p>
    <w:p>
      <w:pPr>
        <w:pStyle w:val="Normal"/>
        <w:widowControl/>
        <w:spacing w:before="60" w:after="20"/>
      </w:pPr>
      <w:r>
        <w:t xml:space="preserve">For potential pCCA transplant recipients, should a radial mass ≥ 3 cm, prior transperitoneal primary-tumor biopsy, or previously proven but apparently cleared malignant nodes be accepted as one expanded group or separate investigational strata?</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Retrospective 12-US-center NAT-to-LT cohort; 287 entered, 71 dropped out, 214 transplanted.</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Gastroenterology 2012; 143: 88–98.e 3; Results, patient flow and selection-criteria recurrence analyses; local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treatment-pathway entry, 2-/5-year OS was 68%/53%; post-LT 2-/5-year recurrence-free survival 78%/65%. Among 21 transplanted patients with masses &gt;3 cm, 5-year RFS was 32% versus 69% for smaller tumors. The combined outside-criteria group had recurrence hazard ratio 2.98.</w:t>
            </w:r>
          </w:p>
          <w:p>
            <w:pPr>
              <w:pStyle w:val="Normal"/>
              <w:widowControl/>
              <w:spacing w:before="60" w:after="20"/>
            </w:pPr>
            <w:r>
              <w:rPr>
                <w:b/>
              </w:rPr>
              <w:t xml:space="preserve">Do not infer: </w:t>
            </w:r>
            <w:r>
              <w:t xml:space="preserve">Larger tumors were not randomized. Composite outside-criteria effect cannot be assigned separately to size, biopsy or metastasis. Small &gt;3-cm recipient subset; selection and center effects.</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191 NAT-to-LT protocol entrants; 16 underwent primary-tumor TP-FNA.</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HPB 2011; 13: 356–360; Results and biopsy/staging table; local complete PDF.</w:t>
            </w:r>
          </w:p>
          <w:p>
            <w:pPr>
              <w:pStyle w:val="Normal"/>
              <w:widowControl/>
              <w:spacing w:before="60" w:after="20"/>
            </w:pPr>
            <w:r>
              <w:t xml:space="preserve">Review depth: PMC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Peritoneal metastases at staging: 5/6 with positive TP-FNA versus 14/175 without TP-FNA; 9 negative TP-FNA patients had none; one result was equivocal.</w:t>
            </w:r>
          </w:p>
          <w:p>
            <w:pPr>
              <w:pStyle w:val="Normal"/>
              <w:widowControl/>
              <w:spacing w:before="60" w:after="20"/>
            </w:pPr>
            <w:r>
              <w:rPr>
                <w:b/>
              </w:rPr>
              <w:t xml:space="preserve">Do not infer: </w:t>
            </w:r>
            <w:r>
              <w:t xml:space="preserve">Only six positive biopsies. Nonrandom sampling and more obvious tumor may confound association. Negative-biopsy subgroup is far too small to establish safety or equivalence.</w:t>
            </w:r>
          </w:p>
        </w:tc>
      </w:tr>
      <w:tr>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2LTddPC9EaXNwbGF5VGV4dD48cmVjb3JkPjxyZWMtbnVtYmVyPjc8L3JlYy1udW1iZXI+PGZvcmVpZ24ta2V5cz48a2V5IGFwcD0iRU4iIGRiLWlkPSIxMTRkZjZmNi1iOTg0LTU4NDgtOWM2Mi02YjBkZDg3ZTViZmEiIHRpbWVzdGFtcD0iMTc5MzI4MzY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MSK retrospective planned-resection/exploration cohort, 1991–2014: 262 patients, 37 TP primary biopsies and 225 intraluminal/no biopsies; 155 R0/R1 resections, not 262 completed resections.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Complete eight-page HPB 2022; 24:942–949 PDF; Methods, patient flow, Tables 1–3 and competing-risk results.</w:t>
            </w:r>
          </w:p>
          <w:p>
            <w:pPr>
              <w:pStyle w:val="Normal"/>
              <w:widowControl/>
              <w:spacing w:before="60" w:after="20"/>
            </w:pPr>
            <w:r>
              <w:t xml:space="preserve">Review depth: Complete original HPB 2022; 24:942–949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Index PM: 2/37 (5.4%) versus 17/225 (7.6%), p&gt;0.9.; 243 were initially PM-negative (35 exposed/208 unexposed); 72 subsequently developed PM.; Two-year cumulative PM 20.3% (95% CI 8.7–35.2) versus 20.1% (14.9–25.9), p=0.7.; Only 98 had R0 resections (14 TP/84 non-TP), with six PM-first recurrences; subgroup precision is limited.</w:t>
            </w:r>
          </w:p>
          <w:p>
            <w:pPr>
              <w:pStyle w:val="Normal"/>
              <w:widowControl/>
              <w:spacing w:before="60" w:after="20"/>
            </w:pPr>
            <w:r>
              <w:rPr>
                <w:b/>
              </w:rPr>
              <w:t xml:space="preserve">Do not infer: </w:t>
            </w:r>
            <w:r>
              <w:t xml:space="preserve">The absence of increased PM is genuine counterevidence to inevitable-seeding claims, but only 37 exposed patients, short 32-/38-day biopsy-to-operation intervals and no LT waiting/immunosuppression setting prevent a transplant-safety inference. Current policy is not overridden.</w:t>
            </w:r>
          </w:p>
        </w:tc>
      </w:tr>
      <w:tr>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Houston recipient-only NAT comparison; 27 LT, 26 analyzed after one treatment-intolerance exclusion.</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Transplant Direct 2025; 11: e 1760; Tables 2–4, Recipient Posttransplant Outcomes, Figure 2.</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Occult positive nodes in 6/26(23.1%); nodal disease associated with worse OS and RFS. Nine recurrences overall; main-text 1-/3-year OS 83.0%/52.3% from LT.</w:t>
            </w:r>
          </w:p>
          <w:p>
            <w:pPr>
              <w:pStyle w:val="Normal"/>
              <w:widowControl/>
              <w:spacing w:before="60" w:after="20"/>
            </w:pPr>
            <w:r>
              <w:rPr>
                <w:b/>
              </w:rPr>
              <w:t xml:space="preserve">Do not infer: </w:t>
            </w:r>
            <w:r>
              <w:t xml:space="preserve">Occult nodes discovered after LT are not evidence supporting knowingly positive nodes cleared by therapy. No all referred or all-treated denominator. Abstract/body OS rounding differs; use full Results values.</w:t>
            </w:r>
          </w:p>
        </w:tc>
      </w:tr>
      <w:tr>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Mayo de-novo pCCA 1993–2023; 127 analyzed LT-pathway entrants, 52 dropouts, 75 LT.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Hepatology 2026; institutional protocol, patient-flow Figure 1 and Results; local full PDF.</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Dropouts included 15 with regional nodal metastases and 34 with distant metastases; three medical deterioration.</w:t>
            </w:r>
          </w:p>
          <w:p>
            <w:pPr>
              <w:pStyle w:val="Normal"/>
              <w:widowControl/>
              <w:spacing w:before="60" w:after="20"/>
            </w:pPr>
            <w:r>
              <w:rPr>
                <w:b/>
              </w:rPr>
              <w:t xml:space="preserve">Do not infer: </w:t>
            </w:r>
            <w:r>
              <w:t xml:space="preserve">Provides the consequence of detecting nodes, not outcomes of clearing them and transplanting. Overlaps historical Mayo cohorts.</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2LTldPC9EaXNwbGF5VGV4dD48cmVjb3JkPjxyZWMtbnVtYmVyPjk8L3JlYy1udW1iZXI+PGZvcmVpZ24ta2V5cz48a2V5IGFwcD0iRU4iIGRiLWlkPSIxMTRkZjZmNi1iOTg0LTU4NDgtOWM2Mi02YjBkZDg3ZTViZmEiIHRpbWVzdGFtcD0iMTc5MzI4MzY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bl>
    <w:p>
      <w:pPr>
        <w:pStyle w:val="Heading3"/>
        <w:keepNext/>
        <w:widowControl/>
      </w:pPr>
      <w:r>
        <w:t xml:space="preserve">Synthesis and evidence that challenges the proposal</w:t>
      </w:r>
    </w:p>
    <w:p>
      <w:pPr>
        <w:pStyle w:val="Normal"/>
        <w:widowControl/>
        <w:spacing w:before="60" w:after="20"/>
      </w:pPr>
      <w:r>
        <w:t xml:space="preserve">Size, primary-transperitoneal-biopsy exposure and previously proven malignant nodes are different questions. The Mayo predictor HR for a recorded &gt;3-cm mass did not test a radial &gt;3-cm expansion; direct radial-size outcome claims must cite their separate cohort. Biopsy evidence is conflicting across surgical and LT settings, so avoid inevitable-seeding language without overriding the restrictive standard pathway. No reviewed full text validates a cleared-malignant-node rescue arm. At exactly 3.0 cm there is a source discrepancy: AASLD statement 48 uses ≤3 cm, whereas current OPTN standardized CCA policy uses &lt;3 cm for radial mass diameter. The allocation gate remains the policy wording; measurement/rounding uncertainty requires explicit review, not automatic expansion. NCCN BTC v1.2026 EXTRA-1 footnote h also uses ≤3 cm, unlike the strict &lt;3-cm standardized OPTN policy. The clinical guideline cannot itself enlarge the exception category.</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2LTddPC9EaXNwbGF5VGV4dD48cmVjb3JkPjxyZWMtbnVtYmVyPjc8L3JlYy1udW1iZXI+PGZvcmVpZ24ta2V5cz48a2V5IGFwcD0iRU4iIGRiLWlkPSIxMTRkZjZmNi1iOTg0LTU4NDgtOWM2Mi02YjBkZDg3ZTViZmEiIHRpbWVzdGFtcD0iMTc5MzI4MzY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2LTldPC9EaXNwbGF5VGV4dD48cmVjb3JkPjxyZWMtbnVtYmVyPjk8L3JlYy1udW1iZXI+PGZvcmVpZ24ta2V5cz48a2V5IGFwcD0iRU4iIGRiLWlkPSIxMTRkZjZmNi1iOTg0LTU4NDgtOWM2Mi02YjBkZDg3ZTViZmEiIHRpbWVzdGFtcD0iMTc5MzI4MzY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spacing w:before="60" w:after="20"/>
      </w:pPr>
      <w:r>
        <w:t xml:space="preserve">Aveson challenges a universal causal inference from Heimbach. Absence of PM in nine negative TP-FNA cases does not establish safety. Soliman's occult-node recipients do not validate deliberate nodal expansion. The exact 3.0-cm boundary is a current policy boundary, not a biological discontinuity proven by these studies.</w:t>
      </w:r>
    </w:p>
    <w:p>
      <w:pPr>
        <w:pStyle w:val="Normal"/>
        <w:widowControl/>
        <w:spacing w:before="60" w:after="20"/>
      </w:pPr>
      <w:r>
        <w:rPr>
          <w:b/>
        </w:rPr>
        <w:t xml:space="preserve">Certainty / applicability: </w:t>
      </w:r>
      <w:r>
        <w:t xml:space="preserve">Moderate confidence that conventional selection yields better observed outcomes; low certainty for causal effects of size and biopsy; very low/no direct evidence for a previously positive-node clearance pathway.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OPTN policy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“single and less than three cm in radial (perpendicular to the duct) diameter.”</w:t>
            </w:r>
          </w:p>
          <w:p>
            <w:pPr>
              <w:pStyle w:val="Normal"/>
              <w:widowControl/>
              <w:spacing w:before="60" w:after="20"/>
            </w:pPr>
            <w:r>
              <w:t xml:space="preserve">Policy 9.5.A, printed p191; effective 1 October 2026</w:t>
            </w:r>
          </w:p>
          <w:p>
            <w:pPr>
              <w:pStyle w:val="Normal"/>
              <w:widowControl/>
              <w:spacing w:before="60" w:after="20"/>
            </w:pPr>
            <w:hyperlink r:id="rId44">
              <w:r>
                <w:rPr>
                  <w:color w:val="77230C"/>
                  <w:sz w:val="20"/>
                  <w:u w:val="single"/>
                </w:rPr>
                <w:t>Source</w:t>
              </w:r>
            </w:hyperlink>
            <w:r>
              <w:t xml:space="preserve"> | </w:t>
            </w:r>
            <w:hyperlink r:id="rId4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Binding standardized-exception mass wording; historical ≤3 cm study definitions are not identical.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“5/6 (83%) had peritoneal metastases at operative staging.”</w:t>
            </w:r>
          </w:p>
          <w:p>
            <w:pPr>
              <w:pStyle w:val="Normal"/>
              <w:widowControl/>
              <w:spacing w:before="60" w:after="20"/>
            </w:pPr>
            <w:r>
              <w:t xml:space="preserve">Published PDF p1 / journal p356, abstract Results</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was the diagnostic-positive primary-FNA subgroup, not all biopsy-exposed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size expansion, primary transperitoneal-biopsy exposure and cleared malignant nodes as three separate closed transplant strata.</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2LTddPC9EaXNwbGF5VGV4dD48cmVjb3JkPjxyZWMtbnVtYmVyPjc8L3JlYy1udW1iZXI+PGZvcmVpZ24ta2V5cz48a2V5IGFwcD0iRU4iIGRiLWlkPSIxMTRkZjZmNi1iOTg0LTU4NDgtOWM2Mi02YjBkZDg3ZTViZmEiIHRpbWVzdGFtcD0iMTc5MzI4MzY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xPC9SZWNOdW0+PERpc3BsYXlUZXh0PltWMTYtMTFdPC9EaXNwbGF5VGV4dD48cmVjb3JkPjxyZWMtbnVtYmVyPjExPC9yZWMtbnVtYmVyPjxmb3JlaWduLWtleXM+PGtleSBhcHA9IkVOIiBkYi1pZD0iMTE0ZGY2ZjYtYjk4NC01ODQ4LTljNjItNmIwZGQ4N2U1YmZhIiB0aW1lc3RhbXA9IjE3OTMyODM2ODQiPjEx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2LTldPC9EaXNwbGF5VGV4dD48cmVjb3JkPjxyZWMtbnVtYmVyPjk8L3JlYy1udW1iZXI+PGZvcmVpZ24ta2V5cz48a2V5IGFwcD0iRU4iIGRiLWlkPSIxMTRkZjZmNi1iOTg0LTU4NDgtOWM2Mi02YjBkZDg3ZTViZmEiIHRpbWVzdGFtcD0iMTc5MzI4MzY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For the conventional standardized-exception mass criterion, retain a single mass &lt;3.0 cm in radial diameter.</w:t>
      </w:r>
    </w:p>
    <w:p>
      <w:pPr>
        <w:pStyle w:val="Normal"/>
        <w:widowControl/>
        <w:numPr>
          <w:ilvl w:val="1"/>
          <w:numId w:val="3"/>
        </w:numPr>
        <w:spacing w:before="60" w:after="20"/>
      </w:pPr>
      <w:r>
        <w:t xml:space="preserve">Exactly 3.0 cm is not rounded down; obtain central measurement review.</w:t>
      </w:r>
    </w:p>
    <w:p>
      <w:pPr>
        <w:pStyle w:val="Normal"/>
        <w:widowControl/>
        <w:numPr>
          <w:ilvl w:val="1"/>
          <w:numId w:val="3"/>
        </w:numPr>
        <w:spacing w:before="60" w:after="20"/>
      </w:pPr>
      <w:r>
        <w:t xml:space="preserve">Do not activate a 3–5 cm expansion.</w:t>
      </w:r>
    </w:p>
    <w:p>
      <w:pPr>
        <w:pStyle w:val="Normal"/>
        <w:widowControl/>
        <w:numPr>
          <w:ilvl w:val="0"/>
          <w:numId w:val="3"/>
        </w:numPr>
      </w:pPr>
      <w:r>
        <w:t xml:space="preserve">Exclude any prior transperitoneal primary-tumor biopsy exposure from the initial transplanting study.</w:t>
      </w:r>
    </w:p>
    <w:p>
      <w:pPr>
        <w:pStyle w:val="Normal"/>
        <w:widowControl/>
        <w:numPr>
          <w:ilvl w:val="1"/>
          <w:numId w:val="3"/>
        </w:numPr>
        <w:spacing w:before="60" w:after="20"/>
      </w:pPr>
      <w:r>
        <w:t xml:space="preserve">Record trajectory and whether pathology was positive, negative or nondiagnostic; this is a conservative selection rule, not proof of dissemination in every exposed patient.</w:t>
      </w:r>
    </w:p>
    <w:p>
      <w:pPr>
        <w:pStyle w:val="Normal"/>
        <w:widowControl/>
        <w:numPr>
          <w:ilvl w:val="0"/>
          <w:numId w:val="3"/>
        </w:numPr>
      </w:pPr>
      <w:r>
        <w:t xml:space="preserve">Exclude previously proven malignant nodes from the initial transplant cohort even after radiographic/pathologic clearance.</w:t>
      </w:r>
    </w:p>
    <w:p>
      <w:pPr>
        <w:pStyle w:val="Normal"/>
        <w:widowControl/>
        <w:numPr>
          <w:ilvl w:val="1"/>
          <w:numId w:val="3"/>
        </w:numPr>
        <w:spacing w:before="60" w:after="20"/>
      </w:pPr>
      <w:r>
        <w:t xml:space="preserve">Nodal EUS sampling that does not traverse the primary is distinct from primary-tumor biopsy.</w:t>
      </w:r>
    </w:p>
    <w:p>
      <w:pPr>
        <w:pStyle w:val="Normal"/>
        <w:widowControl/>
        <w:numPr>
          <w:ilvl w:val="1"/>
          <w:numId w:val="3"/>
        </w:numPr>
        <w:spacing w:before="60" w:after="20"/>
      </w:pPr>
      <w:r>
        <w:t xml:space="preserve">Do not stack these adverse strata.</w:t>
      </w:r>
    </w:p>
    <w:p>
      <w:pPr>
        <w:pStyle w:val="Normal"/>
        <w:widowControl/>
        <w:numPr>
          <w:ilvl w:val="0"/>
          <w:numId w:val="3"/>
        </w:numPr>
      </w:pPr>
      <w:r>
        <w:t xml:space="preserve">Keep radial size expansion, primary-biopsy exposure and cleared-node rescue as separately recorded closed strata in the initial proposed transplanting arm.</w:t>
      </w:r>
    </w:p>
    <w:p>
      <w:pPr>
        <w:pStyle w:val="Normal"/>
        <w:widowControl/>
        <w:numPr>
          <w:ilvl w:val="0"/>
          <w:numId w:val="3"/>
        </w:numPr>
      </w:pPr>
      <w:r>
        <w:t xml:space="preserve">Distinguish EUS regional-node sampling from primary-tumor TP biopsy and preserve exact current policy terminology.</w:t>
      </w:r>
    </w:p>
    <w:p>
      <w:pPr>
        <w:pStyle w:val="Normal"/>
        <w:widowControl/>
        <w:numPr>
          <w:ilvl w:val="0"/>
          <w:numId w:val="3"/>
        </w:numPr>
      </w:pPr>
      <w:r>
        <w:t xml:space="preserve">Record the exactly-3.0-cm AASLD-versus-OPTN wording discrepancy and measurement method.</w:t>
      </w:r>
    </w:p>
    <w:p>
      <w:pPr>
        <w:pStyle w:val="Normal"/>
        <w:widowControl/>
        <w:numPr>
          <w:ilvl w:val="1"/>
          <w:numId w:val="3"/>
        </w:numPr>
        <w:spacing w:before="60" w:after="20"/>
      </w:pPr>
      <w:r>
        <w:t xml:space="preserve">Preserve the &lt;3-cm policy gate for standardized exception; the meeting must not silently convert it to ≤3 cm.</w:t>
      </w:r>
    </w:p>
    <w:p>
      <w:pPr>
        <w:pStyle w:val="Normal"/>
        <w:widowControl/>
        <w:spacing w:before="60" w:after="20"/>
      </w:pPr>
      <w:r>
        <w:rPr>
          <w:b/>
        </w:rPr>
        <w:t xml:space="preserve">Why retain or change it: </w:t>
      </w:r>
      <w:r>
        <w:t xml:space="preserve">OPEN Analyst A proposal: initial study retains a single radial mass &lt; 3.0 cm and no nodal/extrahepatic disease. Do not open a 3–5 cm arm. Keep prior primary TP-biopsy exposure outside the initial arm, recorded as positive, negative or nondiagnostic rather than called inevitably disseminated. Keep previously proven malignant nodes outside the initial arm even when imaging clears. Permit EUS sampling of suspicious regional nodes when the needle does not traverse the primary tumor. An unexpected prior biopsy triggers specialist/policy review, not an assertion that every transplant is legally prohibited.</w:t>
      </w:r>
    </w:p>
    <w:p>
      <w:pPr>
        <w:pStyle w:val="Heading3"/>
        <w:keepNext/>
        <w:widowControl/>
      </w:pPr>
      <w:r>
        <w:t xml:space="preserve">Information required before the decision</w:t>
      </w:r>
    </w:p>
    <w:p>
      <w:pPr>
        <w:pStyle w:val="Normal"/>
        <w:widowControl/>
        <w:spacing w:before="60" w:after="20"/>
      </w:pPr>
      <w:r>
        <w:t xml:space="preserve">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w:t>
      </w:r>
    </w:p>
    <w:p>
      <w:pPr>
        <w:pStyle w:val="Normal"/>
        <w:widowControl/>
        <w:spacing w:before="60" w:after="20"/>
      </w:pPr>
      <w:r>
        <w:rPr>
          <w:b/>
        </w:rPr>
        <w:t xml:space="preserve">Clinical versus allocation: </w:t>
      </w:r>
      <w:r>
        <w:t xml:space="preserve">Clinical review, standardized exception eligibility and research expansion are separate. A favorable response or living donor does not erase the original size/biopsy/node history.</w:t>
      </w:r>
    </w:p>
    <w:p>
      <w:pPr>
        <w:pStyle w:val="Normal"/>
        <w:widowControl/>
        <w:spacing w:before="60" w:after="20"/>
      </w:pPr>
      <w:r>
        <w:rPr>
          <w:b/>
        </w:rPr>
        <w:t xml:space="preserve">Roadmap / protocol reconciliation: </w:t>
      </w:r>
      <w:r>
        <w:t xml:space="preserve">Preserve the pCCA roadmap’s early transplant consultation and primary-biopsy protection. Reconcile the roadmap’s stale summary that calls pCCA nonstandardized: Policy 9.5.A provides a standardized pathway for qualifying cases.</w:t>
      </w:r>
    </w:p>
    <w:p>
      <w:pPr>
        <w:pStyle w:val="Normal"/>
        <w:widowControl/>
        <w:spacing w:before="60" w:after="20"/>
      </w:pPr>
      <w:hyperlink r:id="rId48">
        <w:r>
          <w:rPr>
            <w:color w:val="77230C"/>
            <w:sz w:val="20"/>
            <w:u w:val="single"/>
          </w:rPr>
          <w:t>Meeting record: pCCA-B1</w:t>
        </w:r>
      </w:hyperlink>
      <w:r>
        <w:t xml:space="preserve">  |  </w:t>
      </w:r>
      <w:hyperlink r:id="rId4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2" w:name="pCCA_B2"/>
      <w:r>
        <w:t xml:space="preserve">pCCA-B2 — When is resection a genuine competing curative option?</w:t>
      </w:r>
      <w:bookmarkEnd w:id="2"/>
    </w:p>
    <w:p>
      <w:pPr>
        <w:pStyle w:val="Heading3"/>
        <w:keepNext/>
        <w:widowControl/>
      </w:pPr>
      <w:r>
        <w:t xml:space="preserve">Question and comparison</w:t>
      </w:r>
    </w:p>
    <w:p>
      <w:pPr>
        <w:pStyle w:val="Normal"/>
        <w:widowControl/>
        <w:spacing w:before="60" w:after="20"/>
      </w:pPr>
      <w:r>
        <w:t xml:space="preserve">For de-novo pCCA potentially amenable to R 0 resection, does LT improve net outcomes enough to replace optimized resection, and how should marginal FLR or reconstructible vascular involvement affect the route?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Single-center 1993–2023 de-novo pCCA; 288 intended resection (207 resected, 81 dropout) and 127 intended NAT/LT(75 LT, 52 dropout).</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Hepatology 2026; 1128–1140; Methods Statistics, Figure 1 and OS/ITT analyses; PDFpp 3–8.</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As-treated median OS: LT 78 months, resection without vascular resection 58.2, with vascular resection 25.8; 5-year 58.6%, 49.6%, 26.7%. ITT median OS 38.5 months LT versus 31.7 resection (p=.19).</w:t>
            </w:r>
          </w:p>
          <w:p>
            <w:pPr>
              <w:pStyle w:val="Normal"/>
              <w:widowControl/>
              <w:spacing w:before="60" w:after="20"/>
            </w:pPr>
            <w:r>
              <w:rPr>
                <w:b/>
              </w:rPr>
              <w:t xml:space="preserve">Do not infer: </w:t>
            </w:r>
            <w:r>
              <w:t xml:space="preserve">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tc>
      </w:tr>
      <w:tr>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2LTEyXTwvRGlzcGxheVRleHQ+PHJlY29yZD48cmVjLW51bWJlcj4xMjwvcmVjLW51bWJlcj48Zm9yZWlnbi1rZXlzPjxrZXkgYXBwPSJFTiIgZGItaWQ9IjExNGRmNmY2LWI5ODQtNTg0OC05YzYyLTZiMGRkODdlNWJmYSIgdGltZXN0YW1wPSIxNzkzMjgzNj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Multicenter resection (2000–2015) and LT (2005–2016) experience: 234 attempted/191 R0–R1 resections; 70 LT-protocol entrants, 46 completed LT, 41 confirmed-cancer recipients; 66 in ITT after four missing entry dates.</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Complete PDF pp 2–7, Methods, Table 1, flow and survival/ITT figures; Ann Surg 2018; 267:797–805.</w:t>
            </w:r>
          </w:p>
          <w:p>
            <w:pPr>
              <w:pStyle w:val="Normal"/>
              <w:widowControl/>
              <w:spacing w:before="60" w:after="20"/>
            </w:pPr>
            <w:r>
              <w:t xml:space="preserve">Review depth: Complete original Ann Surg 2018; 267:797–805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three-/five-year OS: 72%/64% LT versus 33%/18% resection. Non-PSC, &lt;3-cm, N0 recipient comparison: five-year OS 54% versus 29%, p=.03. Restricted ITT, 35 LT-protocol versus 57 attempted resections: one-/three-/five-year OS 82%/46%/41% versus 72%/45%/27%, p=.049. Overall ITT, 66 versus 234: five-year OS 53% versus 17%.</w:t>
            </w:r>
          </w:p>
          <w:p>
            <w:pPr>
              <w:pStyle w:val="Normal"/>
              <w:widowControl/>
              <w:spacing w:before="60" w:after="20"/>
            </w:pPr>
            <w:r>
              <w:rPr>
                <w:b/>
              </w:rPr>
              <w:t xml:space="preserve">Do not infer: </w:t>
            </w:r>
            <w:r>
              <w:t xml:space="preserve">No multivariable adjustment; postoperative resection subgroups, clinical LT selection, unmatched entry clocks, era and treatment confounding. This is LT-favorable observational evidence, not proof of superiority over optimized R0 resection; compare explicitly with Dong.</w:t>
            </w:r>
          </w:p>
        </w:tc>
      </w:tr>
      <w:tr>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732 consecutive Dutch pCCA presentations, 2002–2014; 154 underwent resection. Retrospective Mayo screening identified 34 potentially eligible (5%); 335 excluded for suspected/confirmed nodal or distant disease and 50 solely for age &gt;70. Two of the 34 actually received LT.</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Methods/statistical analysis, Results and survival; Ann Surg Oncol 2021; 28:1483–1492.</w:t>
            </w:r>
          </w:p>
          <w:p>
            <w:pPr>
              <w:pStyle w:val="Normal"/>
              <w:widowControl/>
              <w:spacing w:before="60" w:after="20"/>
            </w:pPr>
            <w:r>
              <w:t xml:space="preserve">Review depth: Complete original Ann Surg Oncol 2021; 28:1483–1492 article, with correction information in the source record. Byte-identical to the already verified V7 PDF;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Potentially eligible cohort median OS 13 months (95% CI 3–23) from first presentation at the tertiary center; one-/three-/five-year OS 56%/18%/11%.</w:t>
            </w:r>
          </w:p>
          <w:p>
            <w:pPr>
              <w:pStyle w:val="Normal"/>
              <w:widowControl/>
              <w:spacing w:before="60" w:after="20"/>
            </w:pPr>
            <w:r>
              <w:rPr>
                <w:b/>
              </w:rPr>
              <w:t xml:space="preserve">Do not infer: </w:t>
            </w:r>
            <w:r>
              <w:t xml:space="preserve">No matched modern comparator, incompletely reconstructible infection/staging criteria and no prospective NAT-tolerance assessment. Shows unmet need, not LT efficacy or superiority over R0 resection.</w:t>
            </w:r>
          </w:p>
        </w:tc>
      </w:tr>
      <w:tr>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Ni0xNF08L0Rpc3BsYXlUZXh0PjxyZWNvcmQ+PHJlYy1udW1iZXI+MTQ8L3JlYy1udW1iZXI+PGZvcmVpZ24ta2V5cz48a2V5IGFwcD0iRU4iIGRiLWlkPSIxMTRkZjZmNi1iOTg0LTU4NDgtOWM2Mi02YjBkZDg3ZTViZmEiIHRpbWVzdGFtcD0iMTc5MzI4MzY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20-center retrospective dataset: 1667 records, 1484 combined hepatic/biliary resections after exclusion of 37 unresectable cases, 140 bile-duct-only resections and six LT. 298 PVE/1186 no PVE; complete volumetry in 510 (151/359), with propensity matching of 98 PVE and 98 controls.</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Complete PDF, matched cohort/Table 3 and Discussion; Ann Surg Oncol 2020; 27:2311–2318.</w:t>
            </w:r>
          </w:p>
          <w:p>
            <w:pPr>
              <w:pStyle w:val="Normal"/>
              <w:widowControl/>
              <w:spacing w:before="60" w:after="20"/>
            </w:pPr>
            <w:r>
              <w:t xml:space="preserve">Review depth: Complete original Ann Surg Oncol 2020; 27:2311–2318 article; byte-identical to the V7 PDF and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Among 98 matched pairs, PVE versus no PVE: ISGLS B/C liver failure 8/98 versus 35/98, 90-day mortality 7/98 versus 18/98, and bile leak 10/98 versus 34/98. Median relative FLR-volume growth was 42% after 22 days, distinct from approximately seven-percentage-point FLR-share growth. Major morbidity, 51% versus 54%, did not differ.</w:t>
            </w:r>
          </w:p>
          <w:p>
            <w:pPr>
              <w:pStyle w:val="Normal"/>
              <w:widowControl/>
              <w:spacing w:before="60" w:after="20"/>
            </w:pPr>
            <w:r>
              <w:rPr>
                <w:b/>
              </w:rPr>
              <w:t xml:space="preserve">Do not infer: </w:t>
            </w:r>
            <w:r>
              <w:t xml:space="preserve">Only operated patients and complete-data matching; the denominator failing to reach resection after PVE is unavailable. No validated universal FLR cutoff or mandatory day-22 clearance; assess function, cholestasis and infection.</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287 NAT/LT entrants across 12 US centers; 214 transplanted.</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Gastroenterology 2012; Results and survival figures;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pathway-entry OS 53% and post-LT RFS 65% are useful feasibility benchmarks, but answer a different question from randomized LT-versus-resection benefit.</w:t>
            </w:r>
          </w:p>
          <w:p>
            <w:pPr>
              <w:pStyle w:val="Normal"/>
              <w:widowControl/>
              <w:spacing w:before="60" w:after="20"/>
            </w:pPr>
            <w:r>
              <w:rPr>
                <w:b/>
              </w:rPr>
              <w:t xml:space="preserve">Do not infer: </w:t>
            </w:r>
            <w:r>
              <w:t xml:space="preserve">Substantial overlap with Mayo comparisons; do not count as an independent comparative test.</w:t>
            </w:r>
          </w:p>
        </w:tc>
      </w:tr>
      <w:tr>
        <w:trPr/>
        <w:tc>
          <w:tcPr>
            <w:tcW w:w="3400" w:type="dxa"/>
            <w:tcMar>
              <w:top w:w="90" w:type="dxa"/>
              <w:left w:w="90" w:type="dxa"/>
              <w:bottom w:w="90" w:type="dxa"/>
              <w:right w:w="90" w:type="dxa"/>
            </w:tcMar>
          </w:tcPr>
          <w:p>
            <w:pPr>
              <w:pStyle w:val="Normal"/>
              <w:widowControl/>
              <w:spacing w:before="60" w:after="20"/>
            </w:pPr>
            <w:r>
              <w:rPr>
                <w:b/>
              </w:rPr>
              <w:t xml:space="preserve">Tan 2020</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Ni0xNV08L0Rpc3BsYXlUZXh0PjxyZWNvcmQ+PHJlYy1udW1iZXI+MTU8L3JlYy1udW1iZXI+PGZvcmVpZ24ta2V5cz48a2V5IGFwcD0iRU4iIGRiLWlkPSIxMTRkZjZmNi1iOTg0LTU4NDgtOWM2Mi02YjBkZDg3ZTViZmEiIHRpbWVzdGFtcD0iMTc5MzI4MzY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Narrative Mayo expert review with an updated 349-entry/211-LT program experience from 1993–2018; extensive overlap with prior Mayo reports, not an independent validation cohort.</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pp 1–2 historical/updated outcomes; pp 2–3 eligibility and NAT; pp 3–5 operative staging, transplant and complications; pp 5–6 resection comparison.</w:t>
            </w:r>
          </w:p>
          <w:p>
            <w:pPr>
              <w:pStyle w:val="Normal"/>
              <w:widowControl/>
              <w:spacing w:before="60" w:after="20"/>
            </w:pPr>
            <w:r>
              <w:t xml:space="preserve">Review depth: Complete eight-page PDF read: seven-page main review plus copyright page. No separate supplementary material claimed.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ITT one-/five-/ten-year survival was 80%/51%/46%; corresponding recipient survival was 91%/69%/62%. PSC and de novo outcomes differ substantially and should not be pooled without context.; Selection requires a malignant-appearing stricture plus a specified diagnostic feature; the radial mass limit is &lt;3 cm. Longitudinal duct extent and vascular encasement are not equivalent to metastatic disease or tumor thrombus.; The review describes 45-Gy EBRT followed by a 9.3–16-Gy intraluminal brachytherapy boost, with alternatives where brachytherapy cannot be delivered. These technical prescriptions are not interchangeable with a generic 20–30-Gy range without radiation-oncology plan review.; Operative staging includes regional nodes and abdominal exploration; it may occur near DDLT or the day before LDLT. Recipient staging and donor-operation sequencing need a written safety workflow.; Reported late arterial and portal-venous complication risks justify transplant vascular planning and surveillance. Aortic conduits, indefinite aspirin and anticoagulation described by one center are not automatically universal orders.; The review explicitly notes that observational LT/resection comparisons do not resolve the best treatment for resectable de novo pCCA.</w:t>
            </w:r>
          </w:p>
          <w:p>
            <w:pPr>
              <w:pStyle w:val="Normal"/>
              <w:widowControl/>
              <w:spacing w:before="60" w:after="20"/>
            </w:pPr>
            <w:r>
              <w:rPr>
                <w:b/>
              </w:rPr>
              <w:t xml:space="preserve">Do not infer: </w:t>
            </w:r>
            <w:r>
              <w:t xml:space="preserve">Expert narrative, overlapping center data, treatment-era and selection effects, no randomized comparison of NAT, vascular reconstruction, anticoagulation or surveillance schedules. Time origin: ITT survival begins at program entry; recipient survival begins at LT. These are reported separately.</w:t>
            </w:r>
          </w:p>
        </w:tc>
      </w:tr>
    </w:tbl>
    <w:p>
      <w:pPr>
        <w:pStyle w:val="Heading3"/>
        <w:keepNext/>
        <w:widowControl/>
      </w:pPr>
      <w:r>
        <w:t xml:space="preserve">Synthesis and evidence that challenges the proposal</w:t>
      </w:r>
    </w:p>
    <w:p>
      <w:pPr>
        <w:pStyle w:val="Normal"/>
        <w:widowControl/>
        <w:spacing w:before="60" w:after="20"/>
      </w:pPr>
      <w:r>
        <w:t xml:space="preserve">Ethun favors LT after restricted UNADJUSTED ITT analysis, but used different entry clocks and selected postoperative resection strata. Dong's ITT comparison is less favorable to a transplant advantage. Neither resolves LT versus feasible optimized R0 resection. PVE can materially alter operative feasibility; FLR percentage or vessel involvement alone is not a transplant gate.</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2LTEyXTwvRGlzcGxheVRleHQ+PHJlY29yZD48cmVjLW51bWJlcj4xMjwvcmVjLW51bWJlcj48Zm9yZWlnbi1rZXlzPjxrZXkgYXBwPSJFTiIgZGItaWQ9IjExNGRmNmY2LWI5ODQtNTg0OC05YzYyLTZiMGRkODdlNWJmYSIgdGltZXN0YW1wPSIxNzkzMjgzNj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Ni0xNF08L0Rpc3BsYXlUZXh0PjxyZWNvcmQ+PHJlYy1udW1iZXI+MTQ8L3JlYy1udW1iZXI+PGZvcmVpZ24ta2V5cz48a2V5IGFwcD0iRU4iIGRiLWlkPSIxMTRkZjZmNi1iOTg0LTU4NDgtOWM2Mi02YjBkZDg3ZTViZmEiIHRpbWVzdGFtcD0iMTc5MzI4MzY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Ni0xNV08L0Rpc3BsYXlUZXh0PjxyZWNvcmQ+PHJlYy1udW1iZXI+MTU8L3JlYy1udW1iZXI+PGZvcmVpZ24ta2V5cz48a2V5IGFwcD0iRU4iIGRiLWlkPSIxMTRkZjZmNi1iOTg0LTU4NDgtOWM2Mi02YjBkZDg3ZTViZmEiIHRpbWVzdGFtcD0iMTc5MzI4MzY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spacing w:before="60" w:after="20"/>
      </w:pPr>
      <w:r>
        <w:t xml:space="preserve">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pStyle w:val="Normal"/>
        <w:widowControl/>
        <w:spacing w:before="60" w:after="20"/>
      </w:pPr>
      <w:r>
        <w:rPr>
          <w:b/>
        </w:rPr>
        <w:t xml:space="preserve">Certainty / applicability: </w:t>
      </w:r>
      <w:r>
        <w:t xml:space="preserve">Low comparative certainty; stronger but still nonrandomized evidence for FLR optimization before declaring resection unsafe.</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“If the future liver remnant was insufficient, preoperative portal vein embolization was conducted to enhance hepatic reserve.”</w:t>
            </w:r>
          </w:p>
          <w:p>
            <w:pPr>
              <w:pStyle w:val="Normal"/>
              <w:widowControl/>
              <w:spacing w:before="60" w:after="20"/>
            </w:pPr>
            <w:r>
              <w:t xml:space="preserve">Published PDF p3 / journal p1130, institutional protocols</w:t>
            </w:r>
          </w:p>
          <w:p>
            <w:pPr>
              <w:pStyle w:val="Normal"/>
              <w:widowControl/>
              <w:spacing w:before="60" w:after="20"/>
            </w:pPr>
            <w:hyperlink r:id="rId62">
              <w:r>
                <w:rPr>
                  <w:color w:val="77230C"/>
                  <w:sz w:val="20"/>
                  <w:u w:val="single"/>
                </w:rPr>
                <w:t>Source</w:t>
              </w:r>
            </w:hyperlink>
            <w:r>
              <w:t xml:space="preserve"> | </w:t>
            </w:r>
            <w:hyperlink r:id="rId6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Resection optimization is part of the comparator, not a failure of transplant selection.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gQ29tcGxldGUgbG9jYWwgcHJpbWFyeSBQREYgYXZhaWxhYmxlOyByZWxldmFudCBtZXRob2RzLCBzZWxlY3Rpb24sIHJlc3VsdHMgYW5kIGxpbWl0YXRpb25zIHJldmlld2VkIE1ldGFkYXRhIHZlcmlmaWVkIGFnYWluc3QgQ3Jvc3NyZWY7IHByaW1hcnkgc291cmNlIGNoZWNrZWQgMjQgT2N0b2JlciAyMDI2PC9ub3Rlcz48dXJscz48cmVsYXRlZC11cmxzPjx1cmw+aHR0cHM6Ly9kb2kub3JnLzEwLjEwMDcvczAwMjcwLTAyNC0wMzc0My04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“&gt;40% for cirrhotic or cholestatic livers”</w:t>
            </w:r>
          </w:p>
          <w:p>
            <w:pPr>
              <w:pStyle w:val="Normal"/>
              <w:widowControl/>
              <w:spacing w:before="60" w:after="20"/>
            </w:pPr>
            <w:r>
              <w:t xml:space="preserve">CIRSE 2024, Table 2; spacing normalized</w:t>
            </w:r>
          </w:p>
          <w:p>
            <w:pPr>
              <w:pStyle w:val="Normal"/>
              <w:widowControl/>
              <w:spacing w:before="60" w:after="20"/>
            </w:pPr>
            <w:hyperlink r:id="rId64">
              <w:r>
                <w:rPr>
                  <w:color w:val="77230C"/>
                  <w:sz w:val="20"/>
                  <w:u w:val="single"/>
                </w:rPr>
                <w:t>Source</w:t>
              </w:r>
            </w:hyperlink>
            <w:r>
              <w:t xml:space="preserve"> | </w:t>
            </w:r>
            <w:hyperlink r:id="rId6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Specialist practice guidance supporting a planning target, not a guaranteed safety threshold.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resection first when an R0 operation and an adequate functional remnant are feasible.</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gQ29tcGxldGUgbG9jYWwgcHJpbWFyeSBQREYgYXZhaWxhYmxlOyByZWxldmFudCBtZXRob2RzLCBzZWxlY3Rpb24sIHJlc3VsdHMgYW5kIGxpbWl0YXRpb25zIHJldmlld2VkIE1ldGFkYXRhIHZlcmlmaWVkIGFnYWluc3QgQ3Jvc3NyZWY7IHByaW1hcnkgc291cmNlIGNoZWNrZWQgMjQgT2N0b2JlciAyMDI2PC9ub3Rlcz48dXJscz48cmVsYXRlZC11cmxzPjx1cmw+aHR0cHM6Ly9kb2kub3JnLzEwLjEwMDcvczAwMjcwLTAyNC0wMzc0My04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2LTEyXTwvRGlzcGxheVRleHQ+PHJlY29yZD48cmVjLW51bWJlcj4xMjwvcmVjLW51bWJlcj48Zm9yZWlnbi1rZXlzPjxrZXkgYXBwPSJFTiIgZGItaWQ9IjExNGRmNmY2LWI5ODQtNTg0OC05YzYyLTZiMGRkODdlNWJmYSIgdGltZXN0YW1wPSIxNzkzMjgzNj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Ni0xNF08L0Rpc3BsYXlUZXh0PjxyZWNvcmQ+PHJlYy1udW1iZXI+MTQ8L3JlYy1udW1iZXI+PGZvcmVpZ24ta2V5cz48a2V5IGFwcD0iRU4iIGRiLWlkPSIxMTRkZjZmNi1iOTg0LTU4NDgtOWM2Mi02YjBkZDg3ZTViZmEiIHRpbWVzdGFtcD0iMTc5MzI4MzY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Ni0xNV08L0Rpc3BsYXlUZXh0PjxyZWNvcmQ+PHJlYy1udW1iZXI+MTU8L3JlYy1udW1iZXI+PGZvcmVpZ24ta2V5cz48a2V5IGFwcD0iRU4iIGRiLWlkPSIxMTRkZjZmNi1iOTg0LTU4NDgtOWM2Mi02YjBkZDg3ZTViZmEiIHRpbWVzdGFtcD0iMTc5MzI4MzY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Proposed planning target for cholestatic/cirrhotic liver: FLR/TLV &gt;40%, combined with function, drainage and infection assessment.</w:t>
      </w:r>
    </w:p>
    <w:p>
      <w:pPr>
        <w:pStyle w:val="Normal"/>
        <w:widowControl/>
        <w:numPr>
          <w:ilvl w:val="1"/>
          <w:numId w:val="3"/>
        </w:numPr>
        <w:spacing w:before="60" w:after="20"/>
      </w:pPr>
      <w:r>
        <w:t xml:space="preserve">Volume alone never establishes operative safety; 40% is not an OPTN requirement.</w:t>
      </w:r>
    </w:p>
    <w:p>
      <w:pPr>
        <w:pStyle w:val="Normal"/>
        <w:widowControl/>
        <w:numPr>
          <w:ilvl w:val="0"/>
          <w:numId w:val="3"/>
        </w:numPr>
      </w:pPr>
      <w:r>
        <w:t xml:space="preserve">If insufficient remnant is the only barrier, assess selective drainage and augmentation/PVE; reassess remnant volume and function about 2–4 weeks after PVE.</w:t>
      </w:r>
    </w:p>
    <w:p>
      <w:pPr>
        <w:pStyle w:val="Normal"/>
        <w:widowControl/>
        <w:numPr>
          <w:ilvl w:val="1"/>
          <w:numId w:val="3"/>
        </w:numPr>
        <w:spacing w:before="60" w:after="20"/>
      </w:pPr>
      <w:r>
        <w:t xml:space="preserve">Vascular reconstruction or PVE need alone does not prove unresectability.</w:t>
      </w:r>
    </w:p>
    <w:p>
      <w:pPr>
        <w:pStyle w:val="Normal"/>
        <w:widowControl/>
        <w:numPr>
          <w:ilvl w:val="0"/>
          <w:numId w:val="3"/>
        </w:numPr>
      </w:pPr>
      <w:r>
        <w:t xml:space="preserve">Return to LT eligibility review only if an R0 resection remains infeasible or unsafe after reasonable optimization.</w:t>
      </w:r>
    </w:p>
    <w:p>
      <w:pPr>
        <w:pStyle w:val="Normal"/>
        <w:widowControl/>
        <w:numPr>
          <w:ilvl w:val="1"/>
          <w:numId w:val="3"/>
        </w:numPr>
        <w:spacing w:before="60" w:after="20"/>
      </w:pPr>
      <w:r>
        <w:t xml:space="preserve">Do not transplant otherwise resectable de novo pCCA outside a specifically approved comparative study.</w:t>
      </w:r>
    </w:p>
    <w:p>
      <w:pPr>
        <w:pStyle w:val="Normal"/>
        <w:widowControl/>
        <w:numPr>
          <w:ilvl w:val="0"/>
          <w:numId w:val="3"/>
        </w:numPr>
      </w:pPr>
      <w:r>
        <w:t xml:space="preserve">Keep R0/functional-FLR/reconstruction/PVE review before persistent-unresectability assignment.</w:t>
      </w:r>
    </w:p>
    <w:p>
      <w:pPr>
        <w:pStyle w:val="Normal"/>
        <w:widowControl/>
        <w:numPr>
          <w:ilvl w:val="0"/>
          <w:numId w:val="3"/>
        </w:numPr>
      </w:pPr>
      <w:r>
        <w:t xml:space="preserve">A &gt;40% cholestatic/cirrhotic FLR planning target and two- to four-week reassessment are not universal clearance thresholds or OPTN criteria.</w:t>
      </w:r>
    </w:p>
    <w:p>
      <w:pPr>
        <w:pStyle w:val="Normal"/>
        <w:widowControl/>
        <w:spacing w:before="60" w:after="20"/>
      </w:pPr>
      <w:r>
        <w:rPr>
          <w:b/>
        </w:rPr>
        <w:t xml:space="preserve">Why retain or change it: </w:t>
      </w:r>
      <w:r>
        <w:t xml:space="preserve">OPEN: resection remains the default when an expert HPB review judges R 0 achievable with adequate functional remnant. Obtain contrast liver imaging/MRCP, vascular reconstruction plan, volumetry, bilirubin/cholangitis status and functional assessment when volumetry is marginal. For cholestatic/cirrhotic livers aim for FLR&gt;40% as a planning target, not automatic clearance. Drain the intended remnant as clinically indicated, control infection and consider PVE; repeat volumetric/functional assessment around 2–4 weeks and document growth. LT referral is appropriate for persistent technical/functional unresectability. Resectable de-novo pCCA belongs in a prospective comparative protocol, not routine substitution.</w:t>
      </w:r>
    </w:p>
    <w:p>
      <w:pPr>
        <w:pStyle w:val="Heading3"/>
        <w:keepNext/>
        <w:widowControl/>
      </w:pPr>
      <w:r>
        <w:t xml:space="preserve">Information required before the decision</w:t>
      </w:r>
    </w:p>
    <w:p>
      <w:pPr>
        <w:pStyle w:val="Normal"/>
        <w:widowControl/>
        <w:spacing w:before="60" w:after="20"/>
      </w:pPr>
      <w:r>
        <w:t xml:space="preserve">Two specialist HPB/transplant reviews; vascular/ductal map; CT volumetry; functional assessment where available; cholangitis/drainage status; PVE response and reconstruction plan.</w:t>
      </w:r>
    </w:p>
    <w:p>
      <w:pPr>
        <w:pStyle w:val="Normal"/>
        <w:widowControl/>
        <w:spacing w:before="60" w:after="20"/>
      </w:pPr>
      <w:r>
        <w:rPr>
          <w:b/>
        </w:rPr>
        <w:t xml:space="preserve">Clinical versus allocation: </w:t>
      </w:r>
      <w:r>
        <w:t xml:space="preserve">Policy 9.5.A requires unresectability from technical considerations or underlying liver disease; comparative recipient survival alone does not satisfy this requirement.</w:t>
      </w:r>
    </w:p>
    <w:p>
      <w:pPr>
        <w:pStyle w:val="Normal"/>
        <w:widowControl/>
        <w:spacing w:before="60" w:after="20"/>
      </w:pPr>
      <w:r>
        <w:rPr>
          <w:b/>
        </w:rPr>
        <w:t xml:space="preserve">Roadmap / protocol reconciliation: </w:t>
      </w:r>
      <w:r>
        <w:t xml:space="preserve">The roadmap leaves numerical remnant criteria for specialty approval. Record this as a proposed local addition, with individualized function-based exceptions documented.</w:t>
      </w:r>
    </w:p>
    <w:p>
      <w:pPr>
        <w:pStyle w:val="Normal"/>
        <w:widowControl/>
        <w:spacing w:before="60" w:after="20"/>
      </w:pPr>
      <w:hyperlink r:id="rId66">
        <w:r>
          <w:rPr>
            <w:color w:val="77230C"/>
            <w:sz w:val="20"/>
            <w:u w:val="single"/>
          </w:rPr>
          <w:t>Meeting record: pCCA-B2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2 Pretreatment workup and biopsy protection</w:t>
      </w:r>
    </w:p>
    <w:p>
      <w:pPr>
        <w:pStyle w:val="Normal"/>
        <w:widowControl/>
        <w:numPr>
          <w:ilvl w:val="0"/>
          <w:numId w:val="3"/>
        </w:numPr>
      </w:pPr>
      <w:r>
        <w:t xml:space="preserve">Obtain or review contrast liver MRI/MRCP and/or multiphasic CT for ductal and vascular extent, chest imaging, CA19-9 with bilirubin/infection context, CBC, renal and liver chemistry, coagulation, functional status, nutrition and transplant medical/psychosocial assessment.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Plan biliary drainage with advanced GI and the HPB/transplant team. Treat cholangitis before interpreting CA19-9 or initiating an intensive regimen. Record stent/drain location, cultures when indicated and subsequent drainage strategy.</w:t>
      </w:r>
    </w:p>
    <w:p>
      <w:pPr>
        <w:pStyle w:val="Normal"/>
        <w:widowControl/>
        <w:numPr>
          <w:ilvl w:val="0"/>
          <w:numId w:val="3"/>
        </w:numPr>
      </w:pPr>
      <w:r>
        <w:t xml:space="preserve">Use ERCP-based brush cytology, FISH/aneuploidy testing or appropriately planned intraductal sampling when needed. Avoid transperitoneal aspiration or biopsy of the primary by EUS, percutaneous or operative routes when LT is contemplated. If already performed, preserve the original report, trajectory and pathology and hold the standard route for specialist review.</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Stage suspicious regional or distant nodes by a route that does not traverse the primary tumor. Consider PET/CT for additional metastatic assessment when it can change management, but do not regard a negative PET as proof that nodes or peritoneum are sterile.</w:t>
      </w:r>
    </w:p>
    <w:p>
      <w:pPr>
        <w:pStyle w:val="Normal"/>
        <w:widowControl/>
        <w:numPr>
          <w:ilvl w:val="0"/>
          <w:numId w:val="3"/>
        </w:numPr>
      </w:pPr>
      <w:r>
        <w:t xml:space="preserve">For the standardized exception, document chest and abdominal cross-sectional staging within 90 days before the initial request; extension imaging must be within 30 days before submission. Operative nodal/peritoneal staging is required after neoadjuvant therapy and before LT.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pPr>
      <w:r>
        <w:t xml:space="preserve">Advance to treatment planning only after diagnosis, resectability and original staging are established and the exact intended pathway is identified. Hold for unresolved nodes, incomplete biopsy history, uncontrolled infection or unapproved expansion. Confirmed nodal, intrahepatic metastatic or extrahepatic metastatic disease prevents progression through the conventional protocol.</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2"/>
        <w:keepNext/>
        <w:widowControl/>
      </w:pPr>
      <w:r>
        <w:t xml:space="preserve">3 Neoadjuvant therapy and biliary care</w:t>
      </w:r>
    </w:p>
    <w:p>
      <w:pPr>
        <w:pStyle w:val="Heading3"/>
        <w:keepNext/>
        <w:widowControl/>
      </w:pPr>
      <w:r>
        <w:t xml:space="preserve">3.1 Use one defined treatment program</w:t>
      </w:r>
    </w:p>
    <w:p>
      <w:pPr>
        <w:pStyle w:val="Normal"/>
        <w:widowControl/>
        <w:numPr>
          <w:ilvl w:val="0"/>
          <w:numId w:val="3"/>
        </w:numPr>
      </w:pPr>
      <w:r>
        <w:t xml:space="preserve">Use the center’s approved written pCCA neoadjuvant program with oncology, radiation oncology and transplant-surgical sign-off. Specify actual drugs, dose modifications, radiation fields/fractionation, drainage management and staging sequence. Policy requires neoadjuvant therapy and operative staging but does not mandate one universal drug or radiation recipe.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Do not automatically replace the established neoadjuvant program. The OPEN pCCA-B3 review now considers both SBRT/capecitabine and a separately governed GemCis-only feasibility/comparative arm; neither is established as equivalent to the Mayo-style pathway. ICI-containing induction or simultaneous boundary expansions are not activated.</w:t>
      </w:r>
    </w:p>
    <w:p>
      <w:pPr>
        <w:pStyle w:val="Normal"/>
        <w:widowControl/>
      </w:pPr>
      <w:r>
        <w:t xml:space="preserve">The previous statement that only the Mayo hyperfractionated regimen has LT outcome data was too strong. Small SBRT/capecitabine and multiagent-systemic cohorts exist, but they do not establish noninferiority or make regimens interchangeable. Any alternative needs a defined prospective treatment and toxicity plan.</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pPr>
      <w:r>
        <w:t xml:space="preserve">In a 49-recipient observational comparison, neoadjuvant chemoradiotherapy was associated with reduced recurrence but no demonstrated OS advantage. Major vascular complications occurred in 11/27 versus 3/22; hepatic-artery complications were 9/27 versus 2/22. Center, selection and regimen differences limit causal interpretation. The recurrence signal must be weighed against graft and vascular harm.</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Heading3"/>
        <w:keepNext/>
        <w:widowControl/>
      </w:pPr>
      <w:bookmarkStart w:id="3" w:name="pCCA_B3"/>
      <w:r>
        <w:t xml:space="preserve">pCCA-B3 — May a non-Mayo neoadjuvant regimen replace the conventional program?</w:t>
      </w:r>
      <w:bookmarkEnd w:id="3"/>
    </w:p>
    <w:p>
      <w:pPr>
        <w:pStyle w:val="Heading3"/>
        <w:keepNext/>
        <w:widowControl/>
      </w:pPr>
      <w:r>
        <w:t xml:space="preserve">Question and comparison</w:t>
      </w:r>
    </w:p>
    <w:p>
      <w:pPr>
        <w:pStyle w:val="Normal"/>
        <w:widowControl/>
        <w:spacing w:before="60" w:after="20"/>
      </w:pPr>
      <w:r>
        <w:t xml:space="preserve">For otherwise conventionally selected pCCA LT candidates, which NAT regimen should be the default and which alternatives deserve prospective evaluation, given control, dropout and vascular/biliary harm?</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287 entrants/214 LT across 12 US centers.</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Gastroenterology 2012; Treatment Characteristics and Outcomes;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entry OS 53%; post-LT RFS 65%. No clear RFS difference by brachytherapy receipt was detected.</w:t>
            </w:r>
          </w:p>
          <w:p>
            <w:pPr>
              <w:pStyle w:val="Normal"/>
              <w:widowControl/>
              <w:spacing w:before="60" w:after="20"/>
            </w:pPr>
            <w:r>
              <w:rPr>
                <w:b/>
              </w:rPr>
              <w:t xml:space="preserve">Do not infer: </w:t>
            </w:r>
            <w:r>
              <w:t xml:space="preserve">Strongest mature multi-center pathway benchmark, but no randomized regimen comparison; lack of detected brachytherapy effect does not establish interchangeability.</w:t>
            </w:r>
          </w:p>
        </w:tc>
      </w:tr>
      <w:tr>
        <w:trPr/>
        <w:tc>
          <w:tcPr>
            <w:tcW w:w="34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Single-center pilot; 17 evaluated, 12 NAT, 9 listed, 6 LT.</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Liver Transpl 2014; 20: 81–88; Methods, patient flow and adverse-event tables; local PDF.</w:t>
            </w:r>
          </w:p>
          <w:p>
            <w:pPr>
              <w:pStyle w:val="Normal"/>
              <w:widowControl/>
              <w:spacing w:before="60" w:after="20"/>
            </w:pPr>
            <w:r>
              <w:t xml:space="preserve">Review depth: Indexed full-text content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SBRT 50–60 Gy in 3–5 fractions over 2 weeks, followed by capecitabine; 6 LT with 1-year OS 83%.35 pre-LT adverse events and 11 post-LT complications were reported.</w:t>
            </w:r>
          </w:p>
          <w:p>
            <w:pPr>
              <w:pStyle w:val="Normal"/>
              <w:widowControl/>
              <w:spacing w:before="60" w:after="20"/>
            </w:pPr>
            <w:r>
              <w:rPr>
                <w:b/>
              </w:rPr>
              <w:t xml:space="preserve">Do not infer: </w:t>
            </w:r>
            <w:r>
              <w:t xml:space="preserve">Very small feasibility cohort, short oncologic follow-up, no randomized comparator. Regimen is a study description, not a universal radiation prescription or proof SBRT is the preferred alternative.</w:t>
            </w:r>
          </w:p>
        </w:tc>
      </w:tr>
      <w:tr>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Recipient-only retrospective 2008–2023; 26 analyzed LT, 12 GemCis-only, 14 RT-based including six also receiving GemCis.</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Transplant Direct 2025; 11: e 1760; Tables 1–4, Figure 2, Discussion; full PDF.</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Main-text 1-/3-year OS 83.0%/52.3%; 9/26 recurrences; 1-/3-year RFS 77.8%/59.0%. No statistically significant OS or explant-response difference between treatment strata; RT had more operative blood-loss/transfusion signals.</w:t>
            </w:r>
          </w:p>
          <w:p>
            <w:pPr>
              <w:pStyle w:val="Normal"/>
              <w:widowControl/>
              <w:spacing w:before="60" w:after="20"/>
            </w:pPr>
            <w:r>
              <w:rPr>
                <w:b/>
              </w:rPr>
              <w:t xml:space="preserve">Do not infer: </w:t>
            </w:r>
            <w:r>
              <w:t xml:space="preserve">No pretreatment denominator or differential dropout data; small nonrandom groups, era/selection confounding and occult nodal disease. Supports studying omission, not equivalence. Use main-text values rather than abstract 84%/55%.</w:t>
            </w:r>
          </w:p>
        </w:tc>
      </w:tr>
      <w:tr>
        <w:trPr/>
        <w:tc>
          <w:tcPr>
            <w:tcW w:w="34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Multicenter 2011–2020; 49 LT, 27 with NAT, 22 without.</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BJSOpen 2023; 7: zrad 025; Table 3, adjusted recurrence analysis and mortality discussion;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Post-LT 5-year OS 41% NAT versus 53% no NAT(not significant); NAT associated with less recurrence (adjusted HR 0.30, 95% CI 0.09–0.97). Major vascular complications 11/27 vs 3/22; hepatic-artery complications 9/27 vs 2/22.</w:t>
            </w:r>
          </w:p>
          <w:p>
            <w:pPr>
              <w:pStyle w:val="Normal"/>
              <w:widowControl/>
              <w:spacing w:before="60" w:after="20"/>
            </w:pPr>
            <w:r>
              <w:rPr>
                <w:b/>
              </w:rPr>
              <w:t xml:space="preserve">Do not infer: </w:t>
            </w:r>
            <w:r>
              <w:t xml:space="preserve">Competing recurrence benefit and treatment harm, not proof RT can routinely be omitted. Abstract 9 vs 2 vascular wording should not replace Table 3's broader 11 vs 3 major-vascular count.</w:t>
            </w:r>
          </w:p>
        </w:tc>
      </w:tr>
      <w:tr>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Ni0yMF08L0Rpc3BsYXlUZXh0PjxyZWNvcmQ+PHJlYy1udW1iZXI+MjA8L3JlYy1udW1iZXI+PGZvcmVpZ24ta2V5cz48a2V5IGFwcD0iRU4iIGRiLWlkPSIxMTRkZjZmNi1iOTg0LTU4NDgtOWM2Mi02YjBkZDg3ZTViZmEiIHRpbWVzdGFtcD0iMTc5MzI4MzY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Prospective Kyoto pilot, ten enrolled 2018–2024; five LDLT and five dropout. Unresectability involved FLR, nonreconstructible vascular/ductal disease or PSC. Nodes/metastases excluded; ERCP diagnosis without transperitoneal primary biopsy. The methods do not state a numeric mass-size cap.</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Complete 11-page PDF, Methods, flow, Tables 1–3, survival and arterial-complication discussion; J Hepatobiliary Pancreat Sci 2025; 32:276–286.</w:t>
            </w:r>
          </w:p>
          <w:p>
            <w:pPr>
              <w:pStyle w:val="Normal"/>
              <w:widowControl/>
              <w:spacing w:before="60" w:after="20"/>
            </w:pPr>
            <w:r>
              <w:t xml:space="preserve">Review depth: Complete original J Hepatobiliary Pancreat Sci 2025; 32:276–286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 entered: five LDLT and five dropouts. One-year post-LT OS was 100%, with median recipient follow-up 23.7 months; one bone recurrence occurred at 10 months and death at 23.7 months. All five had complications, including two HAT events. Five-year ITT OS of 27.4% is from pathological diagnosis, not LT. Dropouts included conversion to resection, financial withdrawal, ERCP pancreatitis, progression and a positive node.</w:t>
            </w:r>
          </w:p>
          <w:p>
            <w:pPr>
              <w:pStyle w:val="Normal"/>
              <w:widowControl/>
              <w:spacing w:before="60" w:after="20"/>
            </w:pPr>
            <w:r>
              <w:rPr>
                <w:b/>
              </w:rPr>
              <w:t xml:space="preserve">Do not infer: </w:t>
            </w:r>
            <w:r>
              <w:t xml:space="preserve">Five recipients with immature long-term estimates and substantial arterial harm; no regimen noninferiority, no ICI data and no tested prior-biopsy/cleared-node expansion. Outside-field arterial reconstruction is a technical hypothesis from a tiny sequence, not a universally validated operation.</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r>
        <w:trPr/>
        <w:tc>
          <w:tcPr>
            <w:tcW w:w="3400" w:type="dxa"/>
            <w:tcMar>
              <w:top w:w="90" w:type="dxa"/>
              <w:left w:w="90" w:type="dxa"/>
              <w:bottom w:w="90" w:type="dxa"/>
              <w:right w:w="90" w:type="dxa"/>
            </w:tcMar>
          </w:tcPr>
          <w:p>
            <w:pPr>
              <w:pStyle w:val="Normal"/>
              <w:widowControl/>
              <w:spacing w:before="60" w:after="20"/>
            </w:pPr>
            <w:r>
              <w:rPr>
                <w:b/>
              </w:rPr>
              <w:t xml:space="preserve">Wu 2023</w:t>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2LTIxXTwvRGlzcGxheVRleHQ+PHJlY29yZD48cmVjLW51bWJlcj4yMTwvcmVjLW51bWJlcj48Zm9yZWlnbi1rZXlzPjxrZXkgYXBwPSJFTiIgZGItaWQ9IjExNGRmNmY2LWI5ODQtNTg0OC05YzYyLTZiMGRkODdlNWJmYSIgdGltZXN0YW1wPSIxNzkzMjgzNj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Fifteen studies and 315 transplanted patients; 14 retrospective studies and one prospective study. Searches through 9 September 2022. Four Mayo-protocol studies contributed 208 recipients, two SBRT studies 11, and nine other-protocol studies 96. Four studies included iCCA.</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PDF pp 2–4 methods, included studies and pooled pCR; study table and forest plots; pp 7–8 discussion and limitations.</w:t>
            </w:r>
          </w:p>
          <w:p>
            <w:pPr>
              <w:pStyle w:val="Normal"/>
              <w:widowControl/>
              <w:spacing w:before="60" w:after="20"/>
            </w:pPr>
            <w:r>
              <w:t xml:space="preserve">Review depth: Complete ten-page systematic review and meta-analysis read, including study table,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Pooled pCR was 32% (95% CI 19–49), with substantial heterogeneity (I² 56%). Mayo subgroup pCR was 46% (31–61), SBRT 9% (1–44), and other regimens 33% (13–63).; Subgroup comparison was reported at p=.05; chemotherapy-duration association p=.13. Neither establishes regimen equivalence or noninferiority.; Study-level pCR was not associated with OS in meta-regression. This is not evidence that an individual's residual viable tumor lacks prognostic importance.; The table labels McMillan survival as post-LT although the primary article reports the relevant survival from listing. It also lists Loveday dropout as 10/18, whereas the primary full text has 11/18. Use the primary papers for these values.; Different studies contribute to pooled one-, three- and five-year RFS; nonmonotone pooled figures must not be shown as one longitudinal survival curve.</w:t>
            </w:r>
          </w:p>
          <w:p>
            <w:pPr>
              <w:pStyle w:val="Normal"/>
              <w:widowControl/>
              <w:spacing w:before="60" w:after="20"/>
            </w:pPr>
            <w:r>
              <w:rPr>
                <w:b/>
              </w:rPr>
              <w:t xml:space="preserve">Do not infer: </w:t>
            </w:r>
            <w:r>
              <w:t xml:space="preserve">Transplanted-only selection; mixed pCCA/iCCA populations; small and nonrandomized regimen subgroups; center overlap addressed imperfectly; ecological meta-regression; some secondary extraction errors. The meta-analysis is not a radiation prescription source or a regimen-equivalence trial. Time origin: pCR is an explant outcome among recipients, excluding pathway dropouts. Pooled survival time origins are not uniform enough to treat the table as a common post-LT survival curve.</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bl>
    <w:p>
      <w:pPr>
        <w:pStyle w:val="Heading3"/>
        <w:keepNext/>
        <w:widowControl/>
      </w:pPr>
      <w:r>
        <w:t xml:space="preserve">Synthesis and evidence that challenges the proposal</w:t>
      </w:r>
    </w:p>
    <w:p>
      <w:pPr>
        <w:pStyle w:val="Normal"/>
        <w:widowControl/>
        <w:spacing w:before="60" w:after="20"/>
      </w:pPr>
      <w:r>
        <w:t xml:space="preserve">Mayo-style fluoropyrimidine/EBRT remains the mature default. GemCis-only and SBRT/capecitabine have limited direct transplant data and may be separately studied, without demonstrated equivalence or unique SBRT superiority. Ito adds prospective GCS/RT feasibility but two HAT events among five recipients and substantial entry-cohort attrition. TransGOLP is not an LT regimen study. No alternative should be combined with initial size/biopsy/nodal expansion or an unapproved ICI arm.</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Ni0yMF08L0Rpc3BsYXlUZXh0PjxyZWNvcmQ+PHJlYy1udW1iZXI+MjA8L3JlYy1udW1iZXI+PGZvcmVpZ24ta2V5cz48a2V5IGFwcD0iRU4iIGRiLWlkPSIxMTRkZjZmNi1iOTg0LTU4NDgtOWM2Mi02YjBkZDg3ZTViZmEiIHRpbWVzdGFtcD0iMTc5MzI4MzY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2LTIxXTwvRGlzcGxheVRleHQ+PHJlY29yZD48cmVjLW51bWJlcj4yMTwvcmVjLW51bWJlcj48Zm9yZWlnbi1rZXlzPjxrZXkgYXBwPSJFTiIgZGItaWQ9IjExNGRmNmY2LWI5ODQtNTg0OC05YzYyLTZiMGRkODdlNWJmYSIgdGltZXN0YW1wPSIxNzkzMjgzNj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spacing w:before="60" w:after="20"/>
      </w:pPr>
      <w:r>
        <w:t xml:space="preserve">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pStyle w:val="Normal"/>
        <w:widowControl/>
        <w:spacing w:before="60" w:after="20"/>
      </w:pPr>
      <w:r>
        <w:rPr>
          <w:b/>
        </w:rPr>
        <w:t xml:space="preserve">Certainty / applicability: </w:t>
      </w:r>
      <w:r>
        <w:t xml:space="preserve">Moderate confidence in feasibility of conventional selected NAT/LT; very low comparative certainty between named regimens. Direct vascular safety signal deserves action despite nonrandomization.</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“treated with SBRT (50–60 Gy, 3–5 fractions over two weeks)”</w:t>
            </w:r>
          </w:p>
          <w:p>
            <w:pPr>
              <w:pStyle w:val="Normal"/>
              <w:widowControl/>
              <w:spacing w:before="60" w:after="20"/>
            </w:pPr>
            <w:r>
              <w:t xml:space="preserve">Published PDF p1 abstract; protocol details p3</w:t>
            </w:r>
          </w:p>
          <w:p>
            <w:pPr>
              <w:pStyle w:val="Normal"/>
              <w:widowControl/>
              <w:spacing w:before="60" w:after="20"/>
            </w:pPr>
            <w:hyperlink r:id="rId86">
              <w:r>
                <w:rPr>
                  <w:color w:val="77230C"/>
                  <w:sz w:val="20"/>
                  <w:u w:val="single"/>
                </w:rPr>
                <w:t>Source</w:t>
              </w:r>
            </w:hyperlink>
            <w:r>
              <w:t xml:space="preserve"> | </w:t>
            </w:r>
            <w:hyperlink r:id="rId8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Small pilot experience supports study development, not noninferiority or interchangeability.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“associated with a higher rate of early hepatic vascular complications”</w:t>
            </w:r>
          </w:p>
          <w:p>
            <w:pPr>
              <w:pStyle w:val="Normal"/>
              <w:widowControl/>
              <w:spacing w:before="60" w:after="20"/>
            </w:pPr>
            <w:r>
              <w:t xml:space="preserve">Published PDF p1, abstract Conclusion</w:t>
            </w:r>
          </w:p>
          <w:p>
            <w:pPr>
              <w:pStyle w:val="Normal"/>
              <w:widowControl/>
              <w:spacing w:before="60" w:after="20"/>
            </w:pPr>
            <w:hyperlink r:id="rId88">
              <w:r>
                <w:rPr>
                  <w:color w:val="77230C"/>
                  <w:sz w:val="20"/>
                  <w:u w:val="single"/>
                </w:rPr>
                <w:t>Source</w:t>
              </w:r>
            </w:hyperlink>
            <w:r>
              <w:t xml:space="preserve"> | </w:t>
            </w:r>
            <w:hyperlink r:id="rId8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recurrence signal must be weighed against vascular/graft harm; observational comparison is confounded.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established Mayo-style pathway as default; develop GemCis-only and SBRT/capecitabine as separately governed alternatives, without claiming equivalence or superiority.</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Ni0yMF08L0Rpc3BsYXlUZXh0PjxyZWNvcmQ+PHJlYy1udW1iZXI+MjA8L3JlYy1udW1iZXI+PGZvcmVpZ24ta2V5cz48a2V5IGFwcD0iRU4iIGRiLWlkPSIxMTRkZjZmNi1iOTg0LTU4NDgtOWM2Mi02YjBkZDg3ZTViZmEiIHRpbWVzdGFtcD0iMTc5MzI4MzY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2LTIxXTwvRGlzcGxheVRleHQ+PHJlY29yZD48cmVjLW51bWJlcj4yMTwvcmVjLW51bWJlcj48Zm9yZWlnbi1rZXlzPjxrZXkgYXBwPSJFTiIgZGItaWQ9IjExNGRmNmY2LWI5ODQtNTg0OC05YzYyLTZiMGRkODdlNWJmYSIgdGltZXN0YW1wPSIxNzkzMjgzNj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Default to the established fluoropyrimidine/EBRT-based pathway under the approved radiation and pharmacy protocol.</w:t>
      </w:r>
    </w:p>
    <w:p>
      <w:pPr>
        <w:pStyle w:val="Normal"/>
        <w:widowControl/>
        <w:numPr>
          <w:ilvl w:val="1"/>
          <w:numId w:val="3"/>
        </w:numPr>
        <w:spacing w:before="60" w:after="20"/>
      </w:pPr>
      <w:r>
        <w:t xml:space="preserve">Do not treat a pilot dose/fractionation or cycle count as a universal order.</w:t>
      </w:r>
    </w:p>
    <w:p>
      <w:pPr>
        <w:pStyle w:val="Normal"/>
        <w:widowControl/>
        <w:numPr>
          <w:ilvl w:val="0"/>
          <w:numId w:val="3"/>
        </w:numPr>
      </w:pPr>
      <w:r>
        <w:t xml:space="preserve">Develop a separately governed prospective GemCis-only feasibility/comparative arm for otherwise conventionally selected pCCA.</w:t>
      </w:r>
    </w:p>
    <w:p>
      <w:pPr>
        <w:pStyle w:val="Normal"/>
        <w:widowControl/>
        <w:numPr>
          <w:ilvl w:val="1"/>
          <w:numId w:val="3"/>
        </w:numPr>
        <w:spacing w:before="60" w:after="20"/>
      </w:pPr>
      <w:r>
        <w:t xml:space="preserve">Retain SBRT/capecitabine as another documented pilot option, not the uniquely evidence-preferred alternative.</w:t>
      </w:r>
    </w:p>
    <w:p>
      <w:pPr>
        <w:pStyle w:val="Normal"/>
        <w:widowControl/>
        <w:numPr>
          <w:ilvl w:val="1"/>
          <w:numId w:val="3"/>
        </w:numPr>
        <w:spacing w:before="60" w:after="20"/>
      </w:pPr>
      <w:r>
        <w:t xml:space="preserve">Neither arm is activated by this document.</w:t>
      </w:r>
    </w:p>
    <w:p>
      <w:pPr>
        <w:pStyle w:val="Normal"/>
        <w:widowControl/>
        <w:numPr>
          <w:ilvl w:val="0"/>
          <w:numId w:val="3"/>
        </w:numPr>
      </w:pPr>
      <w:r>
        <w:t xml:space="preserve">Do not combine either alternative with an initial size, primary transperitoneal-biopsy or previously malignant-node expansion.</w:t>
      </w:r>
    </w:p>
    <w:p>
      <w:pPr>
        <w:pStyle w:val="Normal"/>
        <w:widowControl/>
        <w:numPr>
          <w:ilvl w:val="1"/>
          <w:numId w:val="3"/>
        </w:numPr>
        <w:spacing w:before="60" w:after="20"/>
      </w:pPr>
      <w:r>
        <w:t xml:space="preserve">Keep ICI-containing induction outside these initial arms unless separately approved on pre-LT safety evidence.</w:t>
      </w:r>
    </w:p>
    <w:p>
      <w:pPr>
        <w:pStyle w:val="Normal"/>
        <w:widowControl/>
        <w:numPr>
          <w:ilvl w:val="0"/>
          <w:numId w:val="3"/>
        </w:numPr>
      </w:pPr>
      <w:r>
        <w:t xml:space="preserve">Before opening, specify regimen delivery, staging, stopping rules, radiation-field and arterial/biliary reconstruction review.</w:t>
      </w:r>
    </w:p>
    <w:p>
      <w:pPr>
        <w:pStyle w:val="Normal"/>
        <w:widowControl/>
        <w:numPr>
          <w:ilvl w:val="1"/>
          <w:numId w:val="3"/>
        </w:numPr>
        <w:spacing w:before="60" w:after="20"/>
      </w:pPr>
      <w:r>
        <w:t xml:space="preserve">Capture every entrant, failure to reach LT, cholangitis, HAT/PVT, biliary injury, graft loss, recurrence and all graft use.</w:t>
      </w:r>
    </w:p>
    <w:p>
      <w:pPr>
        <w:pStyle w:val="Normal"/>
        <w:widowControl/>
        <w:numPr>
          <w:ilvl w:val="0"/>
          <w:numId w:val="3"/>
        </w:numPr>
      </w:pPr>
      <w:r>
        <w:t xml:space="preserve">Keep every alternative OPEN/not activated, with approved radiation/pharmacy specifications rather than pilot doses copied into routine orders.</w:t>
      </w:r>
    </w:p>
    <w:p>
      <w:pPr>
        <w:pStyle w:val="Normal"/>
        <w:widowControl/>
        <w:numPr>
          <w:ilvl w:val="0"/>
          <w:numId w:val="3"/>
        </w:numPr>
      </w:pPr>
      <w:r>
        <w:t xml:space="preserve">Require radiation-dose-map review, recipient arterial/biliary reconstruction planning and all-entry/graft-use safety endpoints.</w:t>
      </w:r>
    </w:p>
    <w:p>
      <w:pPr>
        <w:pStyle w:val="Normal"/>
        <w:widowControl/>
        <w:numPr>
          <w:ilvl w:val="1"/>
          <w:numId w:val="3"/>
        </w:numPr>
        <w:spacing w:before="60" w:after="20"/>
      </w:pPr>
      <w:r>
        <w:t xml:space="preserve">Update body instructions and meeting records together.</w:t>
      </w:r>
    </w:p>
    <w:p>
      <w:pPr>
        <w:pStyle w:val="Normal"/>
        <w:widowControl/>
        <w:spacing w:before="60" w:after="20"/>
      </w:pPr>
      <w:r>
        <w:rPr>
          <w:b/>
        </w:rPr>
        <w:t xml:space="preserve">Why retain or change it: </w:t>
      </w:r>
      <w:r>
        <w:t xml:space="preserve">OPEN revised stance: use the existing named Mayo-style fluoropyrimidine/EBRT pathway as default, with boost technique and capecitabine specified by the approved radiation/pharmacy protocol. Develop GemCis-only as a separately governed prospective alternative arm for otherwise conventional biology; do not substitute it routinely or label it equivalent. Retain SBRT/capecitabine as another documented pilot option, but not the uniquely preferred alternative. No simultaneous size, primary-biopsy or cleared-node expansion in either arm. Keep ICI-containing induction outside these initial arms pending a separate pre-LT ICI safety protocol. Record all entrants, intended regimen, failures to reach LT, cholangitis, graft loss, HAT/PVT and recurrence.</w:t>
      </w:r>
    </w:p>
    <w:p>
      <w:pPr>
        <w:pStyle w:val="Heading3"/>
        <w:keepNext/>
        <w:widowControl/>
      </w:pPr>
      <w:r>
        <w:t xml:space="preserve">Information required before the decision</w:t>
      </w:r>
    </w:p>
    <w:p>
      <w:pPr>
        <w:pStyle w:val="Normal"/>
        <w:widowControl/>
        <w:spacing w:before="60" w:after="20"/>
      </w:pPr>
      <w:r>
        <w:t xml:space="preserve">Written radiation/chemotherapy plan and dose modifications; drainage/infection plan; biliary/vascular anatomy; actual prior dose maps; operative staging and graft-safety endpoints.</w:t>
      </w:r>
    </w:p>
    <w:p>
      <w:pPr>
        <w:pStyle w:val="Normal"/>
        <w:widowControl/>
        <w:spacing w:before="60" w:after="20"/>
      </w:pPr>
      <w:r>
        <w:rPr>
          <w:b/>
        </w:rPr>
        <w:t xml:space="preserve">Clinical versus allocation: </w:t>
      </w:r>
      <w:r>
        <w:t xml:space="preserve">Policy requires a written neoadjuvant protocol and operative staging, not this exact regimen. A regimen study does not relax the standardized tumor criteria.</w:t>
      </w:r>
    </w:p>
    <w:p>
      <w:pPr>
        <w:pStyle w:val="Normal"/>
        <w:widowControl/>
        <w:spacing w:before="60" w:after="20"/>
      </w:pPr>
      <w:r>
        <w:rPr>
          <w:b/>
        </w:rPr>
        <w:t xml:space="preserve">Roadmap / protocol reconciliation: </w:t>
      </w:r>
      <w:r>
        <w:t xml:space="preserve">Use the biliary roadmap for supportive/systemic care. Do not import advanced-disease GemCis–ICI efficacy as proof of pre-LT safety.</w:t>
      </w:r>
    </w:p>
    <w:p>
      <w:pPr>
        <w:pStyle w:val="Normal"/>
        <w:widowControl/>
        <w:spacing w:before="60" w:after="20"/>
      </w:pPr>
      <w:hyperlink r:id="rId90">
        <w:r>
          <w:rPr>
            <w:color w:val="77230C"/>
            <w:sz w:val="20"/>
            <w:u w:val="single"/>
          </w:rPr>
          <w:t>Meeting record: pCCA-B3</w:t>
        </w:r>
      </w:hyperlink>
      <w:r>
        <w:t xml:space="preserve">  |  </w:t>
      </w:r>
      <w:hyperlink r:id="rId9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ICI and other investigational components</w:t>
      </w:r>
    </w:p>
    <w:p>
      <w:pPr>
        <w:pStyle w:val="Normal"/>
        <w:widowControl/>
        <w:numPr>
          <w:ilvl w:val="0"/>
          <w:numId w:val="3"/>
        </w:numPr>
      </w:pPr>
      <w:r>
        <w:t xml:space="preserve">If prior ICI exposure occurred, record drug, last dose, immune-related toxicity and its treatment. Arrange transplant-hepatology, oncology and pharmacy review. An approximately 90-day interval may be proposed as a planning safeguard, but neither 50 nor 90 days is a universally safe or CCA-validated cutoff. Record residual rejection/graft-loss uncertainty.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IzPC9SZWNOdW0+PERpc3BsYXlUZXh0PltWMTYtMjNdPC9EaXNwbGF5VGV4dD48cmVjb3JkPjxyZWMtbnVtYmVyPjIzPC9yZWMtbnVtYmVyPjxmb3JlaWduLWtleXM+PGtleSBhcHA9IkVOIiBkYi1pZD0iMTE0ZGY2ZjYtYjk4NC01ODQ4LTljNjItNmIwZGQ4N2U1YmZhIiB0aW1lc3RhbXA9IjE3OTMyODM2ODQiPjIz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ExNGRmNmY2LWI5ODQtNTg0OC05YzYyLTZiMGRkODdlNWJmYSIgdGltZXN0YW1wPSIxNzkzMjgzNjg0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The 25-recipient mixed HCC/CCA report does not validate routine ICI bridging. Its aggregate Results attribute all rejection to HCC, but case 23 and Table 2 describe an iCCA recipient with acute and chronic rejection and relisting. A separate CCA recipient had immediate graft failure requiring retransplantation. Other cohort and interval inconsistencies preclude a clean zero-rejection claim or a validated four-week safe washout.</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Do not mandate serial ctDNA, Y90 or photodynamic treatment to qualify for LT. A new liver-directed component requires an explicit rationale, arterial/biliary feasibility assessment and prospective safety oversight. ctDNA is an exploratory adjunct, not an independent proceed or stop rule.</w:t>
      </w:r>
    </w:p>
    <w:p>
      <w:pPr>
        <w:pStyle w:val="Normal"/>
        <w:widowControl/>
        <w:numPr>
          <w:ilvl w:val="0"/>
          <w:numId w:val="3"/>
        </w:numPr>
      </w:pPr>
      <w:r>
        <w:t xml:space="preserve">Continue maintenance therapy only under the selected oncology program, with dose and stop date reconciled with surgery, marrow recovery, infection, renal function and any ICI interval. Do not use a generic “until transplant” instruction without a perioperative plan.</w:t>
      </w:r>
    </w:p>
    <w:p>
      <w:pPr>
        <w:pStyle w:val="Heading3"/>
        <w:widowControl/>
        <w:keepNext/>
      </w:pPr>
      <w:r>
        <w:t xml:space="preserve">Systemic treatment evidence and transplant boundaries</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jU8L1JlY051bT48RGlzcGxheVRleHQ+W1YxNi0yNV08L0Rpc3BsYXlUZXh0PjxyZWNvcmQ+PHJlYy1udW1iZXI+MjU8L3JlYy1udW1iZXI+PGZvcmVpZ24ta2V5cz48a2V5IGFwcD0iRU4iIGRiLWlkPSIxMTRkZjZmNi1iOTg0LTU4NDgtOWM2Mi02YjBkZDg3ZTViZmEiIHRpbWVzdGFtcD0iMTc5MzI4MzY4NCI+MjU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r>
        <w:br/>
      </w:r>
      <w:hyperlink r:id="rId177">
        <w:r>
          <w:rPr>
            <w:color w:val="0563C1"/>
            <w:u w:val="single"/>
          </w:rPr>
          <w:t>Source</w:t>
        </w:r>
      </w:hyperlink>
      <w:r>
        <w:t xml:space="preserve"> · </w:t>
      </w:r>
      <w:hyperlink r:id="rId178">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I2PC9SZWNOdW0+PERpc3BsYXlUZXh0PltWMTYtMjZdPC9EaXNwbGF5VGV4dD48cmVjb3JkPjxyZWMtbnVtYmVyPjI2PC9yZWMtbnVtYmVyPjxmb3JlaWduLWtleXM+PGtleSBhcHA9IkVOIiBkYi1pZD0iMTE0ZGY2ZjYtYjk4NC01ODQ4LTljNjItNmIwZGQ4N2U1YmZhIiB0aW1lc3RhbXA9IjE3OTMyODM2ODQiPjI2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br/>
      </w:r>
      <w:hyperlink r:id="rId179">
        <w:r>
          <w:rPr>
            <w:color w:val="0563C1"/>
            <w:u w:val="single"/>
          </w:rPr>
          <w:t>Source</w:t>
        </w:r>
      </w:hyperlink>
      <w:r>
        <w:t xml:space="preserve"> · </w:t>
      </w:r>
      <w:hyperlink r:id="rId180">
        <w:r>
          <w:rPr>
            <w:color w:val="0563C1"/>
            <w:u w:val="single"/>
          </w:rPr>
          <w:t>PDF</w:t>
        </w:r>
      </w:hyperlink>
    </w:p>
    <w:p>
      <w:pPr>
        <w:pStyle w:val="Normal"/>
        <w:widowControl/>
        <w:spacing w:after="120"/>
      </w:pPr>
      <w:r>
        <w:t xml:space="preserve">Treatment comparisons and detailed regimen evidence: </w:t>
      </w:r>
      <w:hyperlink r:id="rId176">
        <w:r>
          <w:rPr>
            <w:color w:val="0563C1"/>
            <w:u w:val="single"/>
          </w:rPr>
          <w:t>Cross-tumor systemic matrix</w:t>
        </w:r>
      </w:hyperlink>
    </w:p>
    <w:p>
      <w:pPr>
        <w:pStyle w:val="Heading2"/>
        <w:keepNext/>
        <w:widowControl/>
      </w:pPr>
      <w:r>
        <w:t xml:space="preserve">4 Response assessment and restaging</w:t>
      </w:r>
    </w:p>
    <w:p>
      <w:pPr>
        <w:pStyle w:val="Normal"/>
        <w:widowControl/>
        <w:numPr>
          <w:ilvl w:val="0"/>
          <w:numId w:val="3"/>
        </w:numPr>
      </w:pPr>
      <w:r>
        <w:t xml:space="preserve">Proposed local schedule for approval: review symptoms, drainage/infection and laboratory toxicity during each treatment cycle; repeat cross-sectional disease assessment at phase transitions and approximately every 8–12 weeks during prolonged therapy. Update chest/abdominal staging and CA19-9 before final selection and according to exception submission windows.</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Interpret CA19-9 after relief of obstruction and infection, with nonsecretor status considered. Rising CA19-9 or new symptoms trigger review and confirmatory assessment; they do not substitute for anatomical staging.</w:t>
      </w:r>
    </w:p>
    <w:p>
      <w:pPr>
        <w:pStyle w:val="Normal"/>
        <w:widowControl/>
        <w:numPr>
          <w:ilvl w:val="0"/>
          <w:numId w:val="3"/>
        </w:numPr>
      </w:pPr>
      <w:r>
        <w:t xml:space="preserve">Advance to operative staging only with controlled disease, no new metastatic site, acceptable medical/functional reserve, adequate biliary drainage, a completed treatment and toxicity record, and a documented eligible clinical or approved study route.</w:t>
      </w:r>
    </w:p>
    <w:p>
      <w:pPr>
        <w:pStyle w:val="Normal"/>
        <w:widowControl/>
        <w:numPr>
          <w:ilvl w:val="0"/>
          <w:numId w:val="3"/>
        </w:numPr>
      </w:pPr>
      <w:r>
        <w:t xml:space="preserve">Hold for equivocal nodes, possible peritoneal disease, discordant imaging/markers, unresolved toxicity or unapproved regimen deviation. Progression, proven metastatic nodes, intrahepatic metastases or extrahepatic disease stops the conventional route.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2"/>
        <w:keepNext/>
        <w:widowControl/>
      </w:pPr>
      <w:r>
        <w:t xml:space="preserve">5 Operative staging and transplant clearance</w:t>
      </w:r>
    </w:p>
    <w:p>
      <w:pPr>
        <w:pStyle w:val="Normal"/>
        <w:widowControl/>
        <w:numPr>
          <w:ilvl w:val="0"/>
          <w:numId w:val="3"/>
        </w:numPr>
      </w:pPr>
      <w:r>
        <w:t xml:space="preserve">After neoadjuvant treatment and before LT, inspect the peritoneum and assess regional hepatic nodes. Sample suspicious sites and obtain pathology. Specify staging laparoscopy or laparotomy in the surgical plan. Additional nodal stations or washings may be used according to findings; an indiscriminate extended dissection is not an automatic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Advance to LT only when staging excludes regional nodal, intrahepatic metastatic and extrahepatic disease, the patient remains fit, technical reconstruction is feasible and all clinical, allocation and donor approvals are complete. Positive malignant staging stops this pathway; indeterminate pathology keeps it on hold.</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The operative plan must address irradiated hepatic artery/portal structures and biliary reconstruction. Retain actual prior radiation and arterial-therapy records. Record arterial/biliary complications and any additional graft use.</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xMTRkZjZmNi1iOTg0LTU4NDgtOWM2Mi02YjBkZDg3ZTViZmE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xMTRkZjZmNi1iOTg0LTU4NDgtOWM2Mi02YjBkZDg3ZTViZmE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92">
        <w:r>
          <w:rPr>
            <w:color w:val="77230C"/>
            <w:sz w:val="20"/>
            <w:u w:val="single"/>
          </w:rPr>
          <w:t>Meeting record: ALLOC-B1</w:t>
        </w:r>
      </w:hyperlink>
      <w:r>
        <w:t xml:space="preserve">  |  </w:t>
      </w:r>
      <w:hyperlink r:id="rId9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TE0ZGY2ZjYtYjk4NC01ODQ4LTljNjItNmIwZGQ4N2U1YmZhIiB0aW1lc3RhbXA9IjE3OTMyODM2ODQ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TE0ZGY2ZjYtYjk4NC01ODQ4LTljNjItNmIwZGQ4N2U1YmZhIiB0aW1lc3RhbXA9IjE3OTMyODM2ODQ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ExNGRmNmY2LWI5ODQtNTg0OC05YzYyLTZiMGRkODdlNWJmYSIgdGltZXN0YW1wPSIxNzkzMjgzNjg0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TE0ZGY2ZjYtYjk4NC01ODQ4LTljNjItNmIwZGQ4N2U1YmZhIiB0aW1lc3RhbXA9IjE3OTMyODM2ODQ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TE0ZGY2ZjYtYjk4NC01ODQ4LTljNjItNmIwZGQ4N2U1YmZhIiB0aW1lc3RhbXA9IjE3OTMyODM2ODQ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ExNGRmNmY2LWI5ODQtNTg0OC05YzYyLTZiMGRkODdlNWJmYSIgdGltZXN0YW1wPSIxNzkzMjgzNjg0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94">
        <w:r>
          <w:rPr>
            <w:color w:val="77230C"/>
            <w:sz w:val="20"/>
            <w:u w:val="single"/>
          </w:rPr>
          <w:t>Meeting record: ALLOC-B2</w:t>
        </w:r>
      </w:hyperlink>
      <w:r>
        <w:t xml:space="preserve">  |  </w:t>
      </w:r>
      <w:hyperlink r:id="rId9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xMTRkZjZmNi1iOTg0LTU4NDgtOWM2Mi02YjBkZDg3ZTViZmEiIHRpbWVzdGFtcD0iMTc5MzI4MzY4NC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xMTRkZjZmNi1iOTg0LTU4NDgtOWM2Mi02YjBkZDg3ZTViZmEiIHRpbWVzdGFtcD0iMTc5MzI4MzY4NC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TE0ZGY2ZjYtYjk4NC01ODQ4LTljNjItNmIwZGQ4N2U1YmZhIiB0aW1lc3RhbXA9IjE3OTMyODM2ODQ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xMTRkZjZmNi1iOTg0LTU4NDgtOWM2Mi02YjBkZDg3ZTViZmEiIHRpbWVzdGFtcD0iMTc5MzI4MzY4NC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xMTRkZjZmNi1iOTg0LTU4NDgtOWM2Mi02YjBkZDg3ZTViZmEiIHRpbWVzdGFtcD0iMTc5MzI4MzY4NC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TE0ZGY2ZjYtYjk4NC01ODQ4LTljNjItNmIwZGQ4N2U1YmZhIiB0aW1lc3RhbXA9IjE3OTMyODM2ODQ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96">
        <w:r>
          <w:rPr>
            <w:color w:val="77230C"/>
            <w:sz w:val="20"/>
            <w:u w:val="single"/>
          </w:rPr>
          <w:t>Meeting record: ALLOC-B3</w:t>
        </w:r>
      </w:hyperlink>
      <w:r>
        <w:t xml:space="preserve">  |  </w:t>
      </w:r>
      <w:hyperlink r:id="rId9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management</w:t>
      </w:r>
    </w:p>
    <w:p>
      <w:pPr>
        <w:pStyle w:val="Normal"/>
        <w:widowControl/>
        <w:numPr>
          <w:ilvl w:val="0"/>
          <w:numId w:val="3"/>
        </w:numPr>
      </w:pPr>
      <w:r>
        <w:t xml:space="preserve">Use institutional immunosuppression and infection prophylaxis with transplant-pharmacy review. Prior ICI is not an indication for unvalidated high tacrolimus targets, automatic ATG or scheduled surveillance biopsies. Investigate graft dysfunction promptly and use for-cause biopsy as appropriate.</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ExNGRmNmY2LWI5ODQtNTg0OC05YzYyLTZiMGRkODdlNWJmYSIgdGltZXN0YW1wPSIxNzkzMjgzNjg0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numPr>
          <w:ilvl w:val="0"/>
          <w:numId w:val="3"/>
        </w:numPr>
      </w:pPr>
      <w:r>
        <w:t xml:space="preserve">There is no established routine post-LT adjuvant cytotoxic, targeted or checkpoint regimen for this high-risk population. Residual tumor or an actionable mutation on explant does not itself authorize preventive systemic treatment. Document an individual plan or a separately approved study.</w:t>
      </w:r>
    </w:p>
    <w:p>
      <w:pPr>
        <w:pStyle w:val="Normal"/>
        <w:widowControl/>
        <w:numPr>
          <w:ilvl w:val="0"/>
          <w:numId w:val="3"/>
        </w:numPr>
      </w:pPr>
      <w:r>
        <w:t xml:space="preserve">Proposed local oncologic follow-up: chest and contrast abdominal imaging with CA19-9 every three months for two years, then every six months through year five, adjusted for risk, renal function and symptoms. Functional imaging and ctDNA are problem-solving or research tools, not fixed mandatory surveillance tests.</w:t>
      </w:r>
    </w:p>
    <w:p>
      <w:pPr>
        <w:pStyle w:val="Normal"/>
        <w:widowControl/>
        <w:numPr>
          <w:ilvl w:val="0"/>
          <w:numId w:val="3"/>
        </w:numPr>
      </w:pPr>
      <w:r>
        <w:t xml:space="preserve">Confirm and restage suspected recurrence. Select local or systemic treatment through a CCA/transplant MDT, considering disease distribution, graft reserve, interactions and patient priorities. Post-LT ICI carries a distinct graft-loss risk and is not routine recurrence therapy.</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zc8L1JlY051bT48RGlzcGxheVRleHQ+W1YxNi0zN108L0Rpc3BsYXlUZXh0PjxyZWNvcmQ+PHJlYy1udW1iZXI+Mzc8L3JlYy1udW1iZXI+PGZvcmVpZ24ta2V5cz48a2V5IGFwcD0iRU4iIGRiLWlkPSIxMTRkZjZmNi1iOTg0LTU4NDgtOWM2Mi02YjBkZDg3ZTViZmEiIHRpbWVzdGFtcD0iMTc5MzI4MzY4NCI+Mzc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p>
    <w:p>
      <w:pPr>
        <w:pStyle w:val="Heading2"/>
        <w:keepNext/>
        <w:widowControl/>
      </w:pPr>
      <w:r>
        <w:t xml:space="preserve">7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ODwvUmVjTnVtPjxEaXNwbGF5VGV4dD5bVjE2LTM4XTwvRGlzcGxheVRleHQ+PHJlY29yZD48cmVjLW51bWJlcj4zODwvcmVjLW51bWJlcj48Zm9yZWlnbi1rZXlzPjxrZXkgYXBwPSJFTiIgZGItaWQ9IjExNGRmNmY2LWI5ODQtNTg0OC05YzYyLTZiMGRkODdlNWJmYSIgdGltZXN0YW1wPSIxNzkzMjgzNjg0Ij4zOD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5PC9SZWNOdW0+PERpc3BsYXlUZXh0PltWMTYtMzldPC9EaXNwbGF5VGV4dD48cmVjb3JkPjxyZWMtbnVtYmVyPjM5PC9yZWMtbnVtYmVyPjxmb3JlaWduLWtleXM+PGtleSBhcHA9IkVOIiBkYi1pZD0iMTE0ZGY2ZjYtYjk4NC01ODQ4LTljNjItNmIwZGQ4N2U1YmZhIiB0aW1lc3RhbXA9IjE3OTMyODM2ODQiPjM5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40MDwvUmVjTnVtPjxEaXNwbGF5VGV4dD5bVjE2LTQwXTwvRGlzcGxheVRleHQ+PHJlY29yZD48cmVjLW51bWJlcj40MDwvcmVjLW51bWJlcj48Zm9yZWlnbi1rZXlzPjxrZXkgYXBwPSJFTiIgZGItaWQ9IjExNGRmNmY2LWI5ODQtNTg0OC05YzYyLTZiMGRkODdlNWJmYSIgdGltZXN0YW1wPSIxNzkzMjgzNjg0Ij40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ODwvUmVjTnVtPjxEaXNwbGF5VGV4dD5bVjE2LTM4XTwvRGlzcGxheVRleHQ+PHJlY29yZD48cmVjLW51bWJlcj4zODwvcmVjLW51bWJlcj48Zm9yZWlnbi1rZXlzPjxrZXkgYXBwPSJFTiIgZGItaWQ9IjExNGRmNmY2LWI5ODQtNTg0OC05YzYyLTZiMGRkODdlNWJmYSIgdGltZXN0YW1wPSIxNzkzMjgzNjg0Ij4zOD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5PC9SZWNOdW0+PERpc3BsYXlUZXh0PltWMTYtMzldPC9EaXNwbGF5VGV4dD48cmVjb3JkPjxyZWMtbnVtYmVyPjM5PC9yZWMtbnVtYmVyPjxmb3JlaWduLWtleXM+PGtleSBhcHA9IkVOIiBkYi1pZD0iMTE0ZGY2ZjYtYjk4NC01ODQ4LTljNjItNmIwZGQ4N2U1YmZhIiB0aW1lc3RhbXA9IjE3OTMyODM2ODQiPjM5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40MDwvUmVjTnVtPjxEaXNwbGF5VGV4dD5bVjE2LTQwXTwvRGlzcGxheVRleHQ+PHJlY29yZD48cmVjLW51bWJlcj40MDwvcmVjLW51bWJlcj48Zm9yZWlnbi1rZXlzPjxrZXkgYXBwPSJFTiIgZGItaWQ9IjExNGRmNmY2LWI5ODQtNTg0OC05YzYyLTZiMGRkODdlNWJmYSIgdGltZXN0YW1wPSIxNzkzMjgzNjg0Ij40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8">
        <w:r>
          <w:rPr>
            <w:color w:val="77230C"/>
            <w:sz w:val="20"/>
            <w:u w:val="single"/>
          </w:rPr>
          <w:t>Meeting record: ALLOC-B4</w:t>
        </w:r>
      </w:hyperlink>
      <w:r>
        <w:t xml:space="preserve">  |  </w:t>
      </w:r>
      <w:hyperlink r:id="rId9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Decisions required before expansion</w:t>
      </w:r>
    </w:p>
    <w:p>
      <w:pPr>
        <w:pStyle w:val="Normal"/>
        <w:widowControl/>
      </w:pPr>
      <w:r>
        <w:t xml:space="preserve">Resolve pCCA-B1–B3 and ALLOC-B1–B4 in the linked disease-specific meeting record. The immediate protocol correction is to stop treating size, biopsy, cleared nodes and regimen changes as interchangeable. Study activation remains a separate decision.</w:t>
      </w:r>
    </w:p>
    <w:p>
      <w:pPr>
        <w:pStyle w:val="Normal"/>
        <w:widowControl/>
        <w:numPr>
          <w:ilvl w:val="0"/>
          <w:numId w:val="3"/>
        </w:numPr>
      </w:pPr>
      <w:r>
        <w:t xml:space="preserve">Record the selected radial measurement method, handling of exactly 3.0 cm, original biopsy/nodal history, resection comparator, permitted regimen and oversight owners. Transplant surgery, hepatology, advanced GI, HPB surgery, oncology, radiation oncology, pathology and allocation should sign their respective determinations.</w:t>
      </w:r>
    </w:p>
    <w:p>
      <w:pPr>
        <w:pStyle w:val="Normal"/>
        <w:widowControl/>
      </w:pPr>
      <w:r>
        <w:t xml:space="preserve">Evidence review record: </w:t>
      </w:r>
      <w:hyperlink r:id="rId100">
        <w:r>
          <w:rPr>
            <w:color w:val="77230C"/>
            <w:sz w:val="20"/>
            <w:u w:val="single"/>
          </w:rPr>
          <w:t>Five analyst comments and reconciliation</w:t>
        </w:r>
      </w:hyperlink>
      <w:r>
        <w:t xml:space="preserve">  |  </w:t>
      </w:r>
      <w:hyperlink r:id="rId10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pCCA_B1"/>
      <w:r>
        <w:t xml:space="preserve">pCCA-B1 — Previously malignant nodes, peritoneal or distant disease</w:t>
      </w:r>
      <w:bookmarkEnd w:id="16010"/>
    </w:p>
    <w:p>
      <w:pPr>
        <w:pStyle w:val="Normal"/>
        <w:widowControl/>
        <w:spacing w:after="120"/>
      </w:pPr>
      <w:r>
        <w:t xml:space="preserve">Status: Closed (part of pCCA-B1). OPEN proposal for multidisciplinary review; not activated.</w:t>
      </w:r>
    </w:p>
    <w:p>
      <w:pPr>
        <w:pStyle w:val="Normal"/>
        <w:widowControl/>
        <w:spacing w:after="120"/>
      </w:pPr>
      <w:r>
        <w:t xml:space="preserve">Question: Should regional nodal disease that has responded, or any treated peritoneal or distant disease, ever allow transplantation for perihilar cholangiocarcinoma?</w:t>
      </w:r>
    </w:p>
    <w:p>
      <w:pPr>
        <w:pStyle w:val="Normal"/>
        <w:widowControl/>
        <w:spacing w:after="120"/>
      </w:pPr>
      <w:r>
        <w:t xml:space="preserve">Proposed position (OPEN): Keep closed. Nodal, peritoneal or distant disease found at any time, including at operative staging and after response to chemoradiation or chemotherapy, ends the transplant route; there is no re-entry after nodal response. The data on transplantation after nodal disease are absent rather than negative, and that is recorded.</w:t>
      </w:r>
    </w:p>
    <w:p>
      <w:pPr>
        <w:pStyle w:val="Heading3"/>
        <w:widowControl/>
        <w:keepNext/>
      </w:pPr>
      <w:r>
        <w:t xml:space="preserve">Proposed rules</w:t>
      </w:r>
    </w:p>
    <w:p>
      <w:pPr>
        <w:pStyle w:val="Normal"/>
        <w:widowControl/>
        <w:spacing w:after="120"/>
        <w:numPr>
          <w:ilvl w:val="0"/>
          <w:numId w:val="5"/>
        </w:numPr>
      </w:pPr>
      <w:r>
        <w:t xml:space="preserve">Before neoadjuvant chemoradiation: EUS-FNA of any suspicious regional node (not through the primary). A positive node ends the route.</w:t>
      </w:r>
    </w:p>
    <w:p>
      <w:pPr>
        <w:pStyle w:val="Normal"/>
        <w:widowControl/>
        <w:spacing w:after="120"/>
        <w:numPr>
          <w:ilvl w:val="0"/>
          <w:numId w:val="5"/>
        </w:numPr>
      </w:pPr>
      <w:r>
        <w:t xml:space="preserve">Operative staging before transplantation with biopsy of hepatic artery and pericholedochal nodes and of any suspicious lesion.</w:t>
      </w:r>
    </w:p>
    <w:p>
      <w:pPr>
        <w:pStyle w:val="Normal"/>
        <w:widowControl/>
        <w:spacing w:after="120"/>
        <w:numPr>
          <w:ilvl w:val="0"/>
          <w:numId w:val="5"/>
        </w:numPr>
      </w:pPr>
      <w:r>
        <w:t xml:space="preserve">Previously proven malignant nodes stay excluded even after radiographic or pathological clearance; distant or peritoneal disease at any time ends the route.</w:t>
      </w:r>
    </w:p>
    <w:p>
      <w:pPr>
        <w:pStyle w:val="Normal"/>
        <w:widowControl/>
        <w:spacing w:after="120"/>
      </w:pPr>
      <w:r>
        <w:t xml:space="preserve">Why: Nodal disease is the commonest finding that removes patients at staging, and survival after removal is short. One US centre accepted regional N1 disease and four patients were transplanted with metastases, without separable outcomes, so there are no usable data either way.</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Sio 2016 · Mayo protocol fall-out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Mayo protocol, 215 started; 63 fell out. Staging findings overlap: positive nodes 19, peritoneal 14, local extension 11.</w:t>
            </w:r>
          </w:p>
        </w:tc>
        <w:tc>
          <w:tcPr>
            <w:tcW w:w="3743" w:type="dxa"/>
            <w:vAlign w:val="top"/>
            <w:shd w:fill="F1F5F8"/>
          </w:tcPr>
          <w:p>
            <w:pPr>
              <w:pStyle w:val="Normal"/>
              <w:widowControl/>
              <w:spacing w:after="55" w:line="240" w:lineRule="auto"/>
              <w:keepNext w:val="0"/>
              <w:keepLines/>
            </w:pPr>
            <w:r>
              <w:rPr>
                <w:sz w:val="21"/>
                <w:szCs w:val="21"/>
              </w:rPr>
              <w:t xml:space="preserve">Results: Median survival after the staging operation 6.0 months; EUS-FNA before chemoradiation lowered the positive-staging rate to 15%; two node-positive patients (one also with omental metastases) lived 3.7 and 8.7 years without transplant.</w:t>
            </w:r>
          </w:p>
          <w:p>
            <w:pPr>
              <w:pStyle w:val="Normal"/>
              <w:widowControl/>
              <w:spacing w:after="55" w:line="240" w:lineRule="auto"/>
              <w:keepNext w:val="0"/>
              <w:keepLines/>
            </w:pPr>
            <w:r>
              <w:rPr>
                <w:sz w:val="21"/>
                <w:szCs w:val="21"/>
              </w:rPr>
              <w:t xml:space="preserve">Limits: Survival not reported by finding.</w:t>
            </w:r>
          </w:p>
          <w:p>
            <w:pPr>
              <w:pStyle w:val="Normal"/>
              <w:widowControl/>
              <w:spacing w:after="55" w:line="240" w:lineRule="auto"/>
              <w:keepNext w:val="0"/>
              <w:keepLines/>
            </w:pPr>
            <w:r>
              <w:rPr>
                <w:sz w:val="21"/>
                <w:szCs w:val="21"/>
              </w:rPr>
              <w:t xml:space="preserve">Am J Clin Oncol 2016;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Ny9DT0MuMDAwMDAwMDAwMDAwMDA1NjwvdXJsPjwvcmVsYXRlZC11cmxzPjwvdXJscz48L3JlY29yZD48L0NpdGU+PC9FbmROb3RlPg==</w:fldData>
              </w:fldChar>
            </w:r>
            <w:r>
              <w:instrText xml:space="preserve"> ADDIN EN.CITE.DATA </w:instrText>
            </w:r>
            <w:r>
              <w:fldChar w:fldCharType="end"/>
            </w:r>
            <w:r>
              <w:fldChar w:fldCharType="separate"/>
            </w:r>
            <w:r>
              <w:t xml:space="preserve">[V16-41]</w:t>
            </w:r>
            <w:r>
              <w:fldChar w:fldCharType="end"/>
            </w:r>
            <w:r>
              <w:br/>
            </w:r>
            <w:hyperlink r:id="rId259">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Darwish Murad 2012 · 12-centre pCCA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12-centre US cohort, 287 patients. Positive staging biopsies excluded patients in most centres; one centre accepted N0–N1 within the hepatoduodenal ligament.</w:t>
            </w:r>
          </w:p>
        </w:tc>
        <w:tc>
          <w:tcPr>
            <w:tcW w:w="3743" w:type="dxa"/>
            <w:vAlign w:val="top"/>
            <w:shd w:fill="FFFFFF"/>
          </w:tcPr>
          <w:p>
            <w:pPr>
              <w:pStyle w:val="Normal"/>
              <w:widowControl/>
              <w:spacing w:after="55" w:line="240" w:lineRule="auto"/>
              <w:keepNext w:val="0"/>
              <w:keepLines/>
            </w:pPr>
            <w:r>
              <w:rPr>
                <w:sz w:val="21"/>
                <w:szCs w:val="21"/>
              </w:rPr>
              <w:t xml:space="preserve">Results: Staging found metastases in 17%; 4 transplanted with metastatic disease, pooled in a 48-patient outside-criteria group (recurrence HR 2.98); explant nodal invasion 14% with recurrence vs 4% without.</w:t>
            </w:r>
          </w:p>
          <w:p>
            <w:pPr>
              <w:pStyle w:val="Normal"/>
              <w:widowControl/>
              <w:spacing w:after="55" w:line="240" w:lineRule="auto"/>
              <w:keepNext w:val="0"/>
              <w:keepLines/>
            </w:pPr>
            <w:r>
              <w:rPr>
                <w:sz w:val="21"/>
                <w:szCs w:val="21"/>
              </w:rPr>
              <w:t xml:space="preserve">Limits: Centre-dependent handling; no separate estimate for nodal disease.</w:t>
            </w:r>
          </w:p>
          <w:p>
            <w:pPr>
              <w:pStyle w:val="Normal"/>
              <w:widowControl/>
              <w:spacing w:after="55" w:line="240" w:lineRule="auto"/>
              <w:keepNext w:val="0"/>
              <w:keepLines/>
            </w:pPr>
            <w:r>
              <w:rPr>
                <w:sz w:val="21"/>
                <w:szCs w:val="21"/>
              </w:rPr>
              <w:t xml:space="preserve">Gastroenterology 2012; Supplementary Table 1,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br/>
            </w:r>
            <w:hyperlink r:id="rId260">
              <w:r>
                <w:rPr>
                  <w:color w:val="0563C1"/>
                  <w:u w:val="single"/>
                </w:rPr>
                <w:t>Source</w:t>
              </w:r>
            </w:hyperlink>
            <w:r>
              <w:t xml:space="preserve"> · </w:t>
            </w:r>
            <w:hyperlink r:id="rId26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Vugts 2020 · eligibility for pCCA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Two-centre cohort, 732 pCCA. Imaging suspicion pooled with tissue proof.</w:t>
            </w:r>
          </w:p>
        </w:tc>
        <w:tc>
          <w:tcPr>
            <w:tcW w:w="3743" w:type="dxa"/>
            <w:vAlign w:val="top"/>
            <w:shd w:fill="F1F5F8"/>
          </w:tcPr>
          <w:p>
            <w:pPr>
              <w:pStyle w:val="Normal"/>
              <w:widowControl/>
              <w:spacing w:after="55" w:line="240" w:lineRule="auto"/>
              <w:keepNext w:val="0"/>
              <w:keepLines/>
            </w:pPr>
            <w:r>
              <w:rPr>
                <w:sz w:val="21"/>
                <w:szCs w:val="21"/>
              </w:rPr>
              <w:t xml:space="preserve">Results: Of 498 fit unresected patients, 156 had nodal and 179 distant metastases; only 34 (5%) potentially eligible.</w:t>
            </w:r>
          </w:p>
          <w:p>
            <w:pPr>
              <w:pStyle w:val="Normal"/>
              <w:widowControl/>
              <w:spacing w:after="55" w:line="240" w:lineRule="auto"/>
              <w:keepNext w:val="0"/>
              <w:keepLines/>
            </w:pPr>
            <w:r>
              <w:rPr>
                <w:sz w:val="21"/>
                <w:szCs w:val="21"/>
              </w:rPr>
              <w:t xml:space="preserve">Limits: No survival by nodal status.</w:t>
            </w:r>
          </w:p>
          <w:p>
            <w:pPr>
              <w:pStyle w:val="Normal"/>
              <w:widowControl/>
              <w:spacing w:after="55" w:line="240" w:lineRule="auto"/>
              <w:keepNext w:val="0"/>
              <w:keepLines/>
            </w:pPr>
            <w:r>
              <w:rPr>
                <w:sz w:val="21"/>
                <w:szCs w:val="21"/>
              </w:rPr>
              <w:t xml:space="preserve">Ann Surg Oncol 2020; Results, Fig. 1, Table 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r>
              <w:br/>
            </w:r>
            <w:hyperlink r:id="rId262">
              <w:r>
                <w:rPr>
                  <w:color w:val="0563C1"/>
                  <w:u w:val="single"/>
                </w:rPr>
                <w:t>Source</w:t>
              </w:r>
            </w:hyperlink>
            <w:r>
              <w:t xml:space="preserve"> · </w:t>
            </w:r>
            <w:hyperlink r:id="rId26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AHPBA 2015 hilar CCA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AHPBA 2015 expert consensus. EUS or laparoscopic FNA of suspicious regional nodes; patients with metastases excluded; operative biopsy of hepatic artery and pericholedochal nodes.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2014 consensus.</w:t>
            </w:r>
          </w:p>
          <w:p>
            <w:pPr>
              <w:pStyle w:val="Normal"/>
              <w:widowControl/>
              <w:spacing w:after="55" w:line="240" w:lineRule="auto"/>
              <w:keepNext w:val="0"/>
              <w:keepLines/>
            </w:pPr>
            <w:r>
              <w:rPr>
                <w:sz w:val="21"/>
                <w:szCs w:val="21"/>
              </w:rPr>
              <w:t xml:space="preserve">HPB 2015; staging and transplantation sections.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NTwveWVhcj48L2RhdGVzPjx2b2x1bWU+MTc8L3ZvbHVtZT48bnVtYmVyPjg8L251bWJlcj48cGFnZXM+NjkxLTk8L3BhZ2VzPjxlbGVjdHJvbmljLXJlc291cmNlLW51bT4xMC4xMTExL2hwYi4xMjQ1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HBiLjEyNDUwPC91cmw+PC9yZWxhdGVkLXVybHM+PHBkZi11cmxzLz48L3VybHM+PC9yZWNvcmQ+PC9DaXRlPjwvRW5kTm90ZT4=</w:fldData>
              </w:fldChar>
            </w:r>
            <w:r>
              <w:instrText xml:space="preserve"> ADDIN EN.CITE.DATA </w:instrText>
            </w:r>
            <w:r>
              <w:fldChar w:fldCharType="end"/>
            </w:r>
            <w:r>
              <w:fldChar w:fldCharType="separate"/>
            </w:r>
            <w:r>
              <w:t xml:space="preserve">[V16-42]</w:t>
            </w:r>
            <w:r>
              <w:fldChar w:fldCharType="end"/>
            </w:r>
            <w:r>
              <w:br/>
            </w:r>
            <w:hyperlink r:id="rId264">
              <w:r>
                <w:rPr>
                  <w:color w:val="0563C1"/>
                  <w:u w:val="single"/>
                </w:rPr>
                <w:t>Source</w:t>
              </w:r>
            </w:hyperlink>
            <w:r>
              <w:t xml:space="preserve"> · </w:t>
            </w:r>
            <w:hyperlink r:id="rId265">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biliary transplant series. Explant nodes.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not survival; not significant in the intentional pCCA/iCCA subset (HR 2.48).</w:t>
            </w:r>
          </w:p>
          <w:p>
            <w:pPr>
              <w:pStyle w:val="Normal"/>
              <w:widowControl/>
              <w:spacing w:after="55" w:line="240" w:lineRule="auto"/>
              <w:keepNext w:val="0"/>
              <w:keepLines/>
            </w:pPr>
            <w:r>
              <w:rPr>
                <w:sz w:val="21"/>
                <w:szCs w:val="21"/>
              </w:rPr>
              <w:t xml:space="preserve">Limits: Mixed subtypes.</w:t>
            </w:r>
          </w:p>
          <w:p>
            <w:pPr>
              <w:pStyle w:val="Normal"/>
              <w:widowControl/>
              <w:spacing w:after="55" w:line="240" w:lineRule="auto"/>
              <w:keepNext w:val="0"/>
              <w:keepLines/>
            </w:pPr>
            <w:r>
              <w:rPr>
                <w:sz w:val="21"/>
                <w:szCs w:val="21"/>
              </w:rPr>
              <w:t xml:space="preserve">Ann Surg Oncol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40MzwvUmVjTnVtPjxEaXNwbGF5VGV4dD5bVjE2LTQzXTwvRGlzcGxheVRleHQ+PHJlY29yZD48cmVjLW51bWJlcj40MzwvcmVjLW51bWJlcj48Zm9yZWlnbi1rZXlzPjxrZXkgYXBwPSJFTiIgZGItaWQ9IjExNGRmNmY2LWI5ODQtNTg0OC05YzYyLTZiMGRkODdlNWJmYSIgdGltZXN0YW1wPSIxNzkzMjgzNjg0Ij40Mz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[V16-43]</w:t>
            </w:r>
            <w:r>
              <w:fldChar w:fldCharType="end"/>
            </w:r>
            <w:r>
              <w:br/>
            </w:r>
            <w:hyperlink r:id="rId266">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de Jong 2023 · EUS nodal sampling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Dutch nationwide screening cohort, 75 patients. Any malignant node precludes further screening.</w:t>
            </w:r>
          </w:p>
        </w:tc>
        <w:tc>
          <w:tcPr>
            <w:tcW w:w="3743" w:type="dxa"/>
            <w:vAlign w:val="top"/>
            <w:shd w:fill="FFFFFF"/>
          </w:tcPr>
          <w:p>
            <w:pPr>
              <w:pStyle w:val="Normal"/>
              <w:widowControl/>
              <w:spacing w:after="55" w:line="240" w:lineRule="auto"/>
              <w:keepNext w:val="0"/>
              <w:keepLines/>
            </w:pPr>
            <w:r>
              <w:rPr>
                <w:sz w:val="21"/>
                <w:szCs w:val="21"/>
              </w:rPr>
              <w:t xml:space="preserve">Results: EUS sampling found malignant nodes in 3 of 75; surgical staging found non-regional malignant nodes in 6 of 43.</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Gastrointest Endosc 2023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</w:fldData>
              </w:fldChar>
            </w:r>
            <w:r>
              <w:instrText xml:space="preserve"> ADDIN EN.CITE.DATA </w:instrText>
            </w:r>
            <w:r>
              <w:fldChar w:fldCharType="end"/>
            </w:r>
            <w:r>
              <w:fldChar w:fldCharType="separate"/>
            </w:r>
            <w:r>
              <w:t xml:space="preserve">[V16-44]</w:t>
            </w:r>
            <w:r>
              <w:fldChar w:fldCharType="end"/>
            </w:r>
            <w:r>
              <w:br/>
            </w:r>
            <w:hyperlink r:id="rId267">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Wong 2019 · downstaging pilot</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Prospective pilot, 18 hilar and intrahepatic tumors. Admitted regional lymphadenopathy without distant metastasis; nodal pathology not reported in the abstract.</w:t>
            </w:r>
          </w:p>
        </w:tc>
        <w:tc>
          <w:tcPr>
            <w:tcW w:w="3743" w:type="dxa"/>
            <w:vAlign w:val="top"/>
            <w:shd w:fill="F1F5F8"/>
          </w:tcPr>
          <w:p>
            <w:pPr>
              <w:pStyle w:val="Normal"/>
              <w:widowControl/>
              <w:spacing w:after="55" w:line="240" w:lineRule="auto"/>
              <w:keepNext w:val="0"/>
              <w:keepLines/>
            </w:pPr>
            <w:r>
              <w:rPr>
                <w:sz w:val="21"/>
                <w:szCs w:val="21"/>
              </w:rPr>
              <w:t xml:space="preserve">Results: 5 transplanted; one isolated portacaval nodal recurrence at 12 months.</w:t>
            </w:r>
          </w:p>
          <w:p>
            <w:pPr>
              <w:pStyle w:val="Normal"/>
              <w:widowControl/>
              <w:spacing w:after="55" w:line="240" w:lineRule="auto"/>
              <w:keepNext w:val="0"/>
              <w:keepLines/>
            </w:pPr>
            <w:r>
              <w:rPr>
                <w:sz w:val="21"/>
                <w:szCs w:val="21"/>
              </w:rPr>
              <w:t xml:space="preserve">Limits: Cannot establish a cleared-node stratum.</w:t>
            </w:r>
          </w:p>
          <w:p>
            <w:pPr>
              <w:pStyle w:val="Normal"/>
              <w:widowControl/>
              <w:spacing w:after="55" w:line="240" w:lineRule="auto"/>
              <w:keepNext w:val="0"/>
              <w:keepLines/>
            </w:pPr>
            <w:r>
              <w:rPr>
                <w:sz w:val="21"/>
                <w:szCs w:val="21"/>
              </w:rPr>
              <w:t xml:space="preserve">J Surg Res 2019.</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</w:fldData>
              </w:fldChar>
            </w:r>
            <w:r>
              <w:instrText xml:space="preserve"> ADDIN EN.CITE.DATA </w:instrText>
            </w:r>
            <w:r>
              <w:fldChar w:fldCharType="end"/>
            </w:r>
            <w:r>
              <w:fldChar w:fldCharType="separate"/>
            </w:r>
            <w:r>
              <w:t xml:space="preserve">[V16-45]</w:t>
            </w:r>
            <w:r>
              <w:fldChar w:fldCharType="end"/>
            </w:r>
            <w:r>
              <w:br/>
            </w:r>
            <w:hyperlink r:id="rId268">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Absence of usable data is not proof of futility; a small regional-node subset may do well.</w:t>
      </w:r>
    </w:p>
    <w:p>
      <w:pPr>
        <w:pStyle w:val="Normal"/>
        <w:widowControl/>
        <w:spacing w:after="120"/>
      </w:pPr>
      <w:r>
        <w:t xml:space="preserve">Certainty: Moderate that conventional selection gives better outcomes; very low or none for a cleared-node pathway.</w:t>
      </w:r>
    </w:p>
    <w:p>
      <w:pPr>
        <w:pStyle w:val="Normal"/>
        <w:widowControl/>
        <w:spacing w:after="120"/>
      </w:pPr>
      <w:r>
        <w:t xml:space="preserve">What would change the answer: A prospective series transplanting tissue-proven regional N1 disease after response, with intention-to-treat survival.</w:t>
      </w:r>
    </w:p>
    <w:p>
      <w:pPr>
        <w:pStyle w:val="Normal"/>
        <w:widowControl/>
        <w:spacing w:after="120"/>
      </w:pPr>
      <w:r>
        <w:t xml:space="preserve">Meeting question pCCA-B1,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Size, biopsy and regimen comparisons were liable to be interpreted as evidence for broader eligibility. </w:t>
      </w:r>
      <w:r>
        <w:rPr>
          <w:b/>
        </w:rPr>
        <w:t xml:space="preserve">Correction and reason: </w:t>
      </w:r>
      <w:r>
        <w:t xml:space="preserve">Clarified radial-size versus recorded mass dimensions, node versus primary biopsy, unadjusted resection comparisons and separately governed regimen alternatives.</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pCCA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69">
        <w:r>
          <w:rPr>
            <w:color w:val="0563C1"/>
            <w:u w:val="single"/>
          </w:rPr>
          <w:t>Source</w:t>
        </w:r>
      </w:hyperlink>
      <w:r>
        <w:t xml:space="preserve"> | </w:t>
      </w:r>
      <w:hyperlink r:id="rId270">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71">
        <w:r>
          <w:rPr>
            <w:color w:val="0563C1"/>
            <w:u w:val="single"/>
          </w:rPr>
          <w:t>Source</w:t>
        </w:r>
      </w:hyperlink>
      <w:r>
        <w:t xml:space="preserve"> | </w:t>
      </w:r>
      <w:hyperlink r:id="rId272">
        <w:r>
          <w:rPr>
            <w:color w:val="0563C1"/>
            <w:u w:val="single"/>
          </w:rPr>
          <w:t>Full-text access</w:t>
        </w:r>
      </w:hyperlink>
    </w:p>
    <w:p>
      <w:pPr>
        <w:pStyle w:val="Normal"/>
        <w:widowControl/>
        <w:spacing w:after="120"/>
      </w:pPr>
      <w:r>
        <w:t xml:space="preserve"/>
      </w:r>
      <w:r>
        <w:t xml:space="preserve">[V16-3] Dong, Yawen; Li, Zhihao; Podrascanin, Vanja; et al. Liver resection with and without vascular resection versus transplantation for de novo perihilar cholangiocarcinoma. Hepatology. 2026; 83(5):1128-1142. </w:t>
      </w:r>
      <w:hyperlink r:id="rId273">
        <w:r>
          <w:rPr>
            <w:color w:val="0563C1"/>
            <w:u w:val="single"/>
          </w:rPr>
          <w:t>Source</w:t>
        </w:r>
      </w:hyperlink>
      <w:r>
        <w:t xml:space="preserve"> | </w:t>
      </w:r>
      <w:hyperlink r:id="rId274">
        <w:r>
          <w:rPr>
            <w:color w:val="0563C1"/>
            <w:u w:val="single"/>
          </w:rPr>
          <w:t>Full-text access</w:t>
        </w:r>
      </w:hyperlink>
    </w:p>
    <w:p>
      <w:pPr>
        <w:pStyle w:val="Normal"/>
        <w:widowControl/>
        <w:spacing w:after="120"/>
      </w:pPr>
      <w:r>
        <w:t xml:space="preserve"/>
      </w:r>
      <w:r>
        <w:t xml:space="preserve">[V16-4] Heimbach, Julie K; Sanchez, William; Rosen, Charles B; et al. Trans-peritoneal fine needle aspiration biopsy of hilar cholangiocarcinoma is associated with disease dissemination. HPB : the official journal of the International Hepato Pancreato Biliary Association. 2011; 13(5):356-60. </w:t>
      </w:r>
      <w:hyperlink r:id="rId275">
        <w:r>
          <w:rPr>
            <w:color w:val="0563C1"/>
            <w:u w:val="single"/>
          </w:rPr>
          <w:t>Source</w:t>
        </w:r>
      </w:hyperlink>
      <w:r>
        <w:t xml:space="preserve"> | </w:t>
      </w:r>
      <w:hyperlink r:id="rId276">
        <w:r>
          <w:rPr>
            <w:color w:val="0563C1"/>
            <w:u w:val="single"/>
          </w:rPr>
          <w:t>Full-text access</w:t>
        </w:r>
      </w:hyperlink>
    </w:p>
    <w:p>
      <w:pPr>
        <w:pStyle w:val="Normal"/>
        <w:widowControl/>
        <w:spacing w:after="120"/>
      </w:pPr>
      <w:r>
        <w:t xml:space="preserve"/>
      </w:r>
      <w:r>
        <w:t xml:space="preserve">[V16-5] Darwish Murad, Sarwa; Kim, W. Ray; Harnois, Denise M.; et al. Efficacy of Neoadjuvant Chemoradiation, Followed by Liver Transplantation, for Perihilar Cholangiocarcinoma at 12 US Centers. Gastroenterology. 2012; 143(1):88-98.e3. </w:t>
      </w:r>
      <w:hyperlink r:id="rId277">
        <w:r>
          <w:rPr>
            <w:color w:val="0563C1"/>
            <w:u w:val="single"/>
          </w:rPr>
          <w:t>Source</w:t>
        </w:r>
      </w:hyperlink>
      <w:r>
        <w:t xml:space="preserve"> | </w:t>
      </w:r>
      <w:hyperlink r:id="rId278">
        <w:r>
          <w:rPr>
            <w:color w:val="0563C1"/>
            <w:u w:val="single"/>
          </w:rPr>
          <w:t>Full-text access</w:t>
        </w:r>
      </w:hyperlink>
    </w:p>
    <w:p>
      <w:pPr>
        <w:pStyle w:val="Normal"/>
        <w:widowControl/>
        <w:spacing w:after="120"/>
      </w:pPr>
      <w:r>
        <w:t xml:space="preserve"/>
      </w:r>
      <w:r>
        <w:t xml:space="preserve">[V16-6] Darwish Murad, Sarwa. Predictors of pretransplant dropout and posttransplant recurrence in patients with perihilar cholangiocarcinoma. Hepatology. 2012. </w:t>
      </w:r>
      <w:hyperlink r:id="rId279">
        <w:r>
          <w:rPr>
            <w:color w:val="0563C1"/>
            <w:u w:val="single"/>
          </w:rPr>
          <w:t>Source</w:t>
        </w:r>
      </w:hyperlink>
      <w:r>
        <w:t xml:space="preserve"> | </w:t>
      </w:r>
      <w:hyperlink r:id="rId280">
        <w:r>
          <w:rPr>
            <w:color w:val="0563C1"/>
            <w:u w:val="single"/>
          </w:rPr>
          <w:t>Full-text access</w:t>
        </w:r>
      </w:hyperlink>
    </w:p>
    <w:p>
      <w:pPr>
        <w:pStyle w:val="Normal"/>
        <w:widowControl/>
        <w:spacing w:after="120"/>
      </w:pPr>
      <w:r>
        <w:t xml:space="preserve"/>
      </w:r>
      <w:r>
        <w:t xml:space="preserve">[V16-7] Aveson, Victoria G; Ilagan, Crisanta H; Chou, Joanne F; et al. Association between biopsy method and development of peritoneal metastases in perihilar cholangiocarcinoma. HPB (Oxford). 2022. </w:t>
      </w:r>
      <w:hyperlink r:id="rId281">
        <w:r>
          <w:rPr>
            <w:color w:val="0563C1"/>
            <w:u w:val="single"/>
          </w:rPr>
          <w:t>Source</w:t>
        </w:r>
      </w:hyperlink>
      <w:r>
        <w:t xml:space="preserve"> | </w:t>
      </w:r>
      <w:hyperlink r:id="rId282">
        <w:r>
          <w:rPr>
            <w:color w:val="0563C1"/>
            <w:u w:val="single"/>
          </w:rPr>
          <w:t>Full-text access</w:t>
        </w:r>
      </w:hyperlink>
    </w:p>
    <w:p>
      <w:pPr>
        <w:pStyle w:val="Normal"/>
        <w:widowControl/>
        <w:spacing w:after="120"/>
      </w:pPr>
      <w:r>
        <w:t xml:space="preserve"/>
      </w:r>
      <w:r>
        <w:t xml:space="preserve">[V16-8] Soliman, Nadine; Connor, Ashton A; Saharia, Ashish; et al. Neoadjuvant Multiagent Systemic Therapy Approach to Liver Transplantation for Perihilar Cholangiocarcinoma. Transplantation direct. 2025; 11(3):e1760. </w:t>
      </w:r>
      <w:hyperlink r:id="rId283">
        <w:r>
          <w:rPr>
            <w:color w:val="0563C1"/>
            <w:u w:val="single"/>
          </w:rPr>
          <w:t>Source</w:t>
        </w:r>
      </w:hyperlink>
      <w:r>
        <w:t xml:space="preserve"> | </w:t>
      </w:r>
      <w:hyperlink r:id="rId284">
        <w:r>
          <w:rPr>
            <w:color w:val="0563C1"/>
            <w:u w:val="single"/>
          </w:rPr>
          <w:t>Full-text access</w:t>
        </w:r>
      </w:hyperlink>
    </w:p>
    <w:p>
      <w:pPr>
        <w:pStyle w:val="Normal"/>
        <w:widowControl/>
        <w:spacing w:after="120"/>
      </w:pPr>
      <w:r>
        <w:t xml:space="preserve"/>
      </w:r>
      <w:r>
        <w:t xml:space="preserve">[V16-9] Bowlus, Christopher L.; Arrivé, Lionel; Bergquist, Annika; et al. AASLD practice guidance on primary sclerosing cholangitis and cholangiocarcinoma. Hepatology. 2022; 77(2):659-702. </w:t>
      </w:r>
      <w:hyperlink r:id="rId285">
        <w:r>
          <w:rPr>
            <w:color w:val="0563C1"/>
            <w:u w:val="single"/>
          </w:rPr>
          <w:t>Source</w:t>
        </w:r>
      </w:hyperlink>
      <w:r>
        <w:t xml:space="preserve"> | </w:t>
      </w:r>
      <w:hyperlink r:id="rId286">
        <w:r>
          <w:rPr>
            <w:color w:val="0563C1"/>
            <w:u w:val="single"/>
          </w:rPr>
          <w:t>Full-text access</w:t>
        </w:r>
      </w:hyperlink>
    </w:p>
    <w:p>
      <w:pPr>
        <w:pStyle w:val="Normal"/>
        <w:widowControl/>
        <w:spacing w:after="120"/>
      </w:pPr>
      <w:r>
        <w:t xml:space="preserve"/>
      </w:r>
      <w:r>
        <w:t xml:space="preserve">[V16-10] Loveday, Benjamin P.T.; Knox, Jennifer J.; Dawson, Laura A.; et al. Neoadjuvant hyperfractionated chemoradiation and liver transplantation for unresectable perihilar cholangiocarcinoma in Canada. Journal of Surgical Oncology. 2018; 117(2):213-219. </w:t>
      </w:r>
      <w:hyperlink r:id="rId287">
        <w:r>
          <w:rPr>
            <w:color w:val="0563C1"/>
            <w:u w:val="single"/>
          </w:rPr>
          <w:t>Source</w:t>
        </w:r>
      </w:hyperlink>
      <w:r>
        <w:t xml:space="preserve"> | </w:t>
      </w:r>
      <w:hyperlink r:id="rId288">
        <w:r>
          <w:rPr>
            <w:color w:val="0563C1"/>
            <w:u w:val="single"/>
          </w:rPr>
          <w:t>Full-text access</w:t>
        </w:r>
      </w:hyperlink>
    </w:p>
    <w:p>
      <w:pPr>
        <w:pStyle w:val="Normal"/>
        <w:widowControl/>
        <w:spacing w:after="120"/>
      </w:pPr>
      <w:r>
        <w:t xml:space="preserve"/>
      </w:r>
      <w:r>
        <w:t xml:space="preserve">[V16-11] National Comprehensive Cancer Network. NCCN Clinical Practice Guidelines in Oncology: Biliary Tract Cancers, Version 1.2026 (10 March 2026). . 2026. </w:t>
      </w:r>
      <w:hyperlink r:id="rId289">
        <w:r>
          <w:rPr>
            <w:color w:val="0563C1"/>
            <w:u w:val="single"/>
          </w:rPr>
          <w:t>Source</w:t>
        </w:r>
      </w:hyperlink>
      <w:r>
        <w:t xml:space="preserve"> | </w:t>
      </w:r>
      <w:hyperlink r:id="rId290">
        <w:r>
          <w:rPr>
            <w:color w:val="0563C1"/>
            <w:u w:val="single"/>
          </w:rPr>
          <w:t>Full-text access</w:t>
        </w:r>
      </w:hyperlink>
    </w:p>
    <w:p>
      <w:pPr>
        <w:pStyle w:val="Normal"/>
        <w:widowControl/>
        <w:spacing w:after="120"/>
      </w:pPr>
      <w:r>
        <w:t xml:space="preserve"/>
      </w:r>
      <w:r>
        <w:t xml:space="preserve">[V16-12] Ethun, Cecilia G; Lopez-Aguiar, Alexandra G; Anderson, Douglas J; et al. Transplantation Versus Resection for Hilar Cholangiocarcinoma: An Argument for Shifting Treatment Paradigms for Resectable Disease. Annals of Surgery. 2018. </w:t>
      </w:r>
      <w:hyperlink r:id="rId291">
        <w:r>
          <w:rPr>
            <w:color w:val="0563C1"/>
            <w:u w:val="single"/>
          </w:rPr>
          <w:t>Source</w:t>
        </w:r>
      </w:hyperlink>
      <w:r>
        <w:t xml:space="preserve"> | </w:t>
      </w:r>
      <w:hyperlink r:id="rId292">
        <w:r>
          <w:rPr>
            <w:color w:val="0563C1"/>
            <w:u w:val="single"/>
          </w:rPr>
          <w:t>Full-text access</w:t>
        </w:r>
      </w:hyperlink>
    </w:p>
    <w:p>
      <w:pPr>
        <w:pStyle w:val="Normal"/>
        <w:widowControl/>
        <w:spacing w:after="120"/>
      </w:pPr>
      <w:r>
        <w:t xml:space="preserve"/>
      </w:r>
      <w:r>
        <w:t xml:space="preserve">[V16-13] Vugts, Jaynee J A; Gaspersz, Marcia P; Roos, Eva; et al. Eligibility for Liver Transplantation in Patients with Perihilar Cholangiocarcinoma. Annals of Surgical Oncology. 2021. </w:t>
      </w:r>
      <w:hyperlink r:id="rId293">
        <w:r>
          <w:rPr>
            <w:color w:val="0563C1"/>
            <w:u w:val="single"/>
          </w:rPr>
          <w:t>Source</w:t>
        </w:r>
      </w:hyperlink>
      <w:r>
        <w:t xml:space="preserve"> | </w:t>
      </w:r>
      <w:hyperlink r:id="rId294">
        <w:r>
          <w:rPr>
            <w:color w:val="0563C1"/>
            <w:u w:val="single"/>
          </w:rPr>
          <w:t>Full-text access</w:t>
        </w:r>
      </w:hyperlink>
    </w:p>
    <w:p>
      <w:pPr>
        <w:pStyle w:val="Normal"/>
        <w:widowControl/>
        <w:spacing w:after="120"/>
      </w:pPr>
      <w:r>
        <w:t xml:space="preserve"/>
      </w:r>
      <w:r>
        <w:t xml:space="preserve">[V16-14] Olthof, Pim B; Aldrighetti, Luca; Alikhanov, Ruslan; et al. Portal Vein Embolization is Associated with Reduced Liver Failure and Mortality in High-Risk Resections for Perihilar Cholangiocarcinoma. Annals of Surgical Oncology. 2020. </w:t>
      </w:r>
      <w:hyperlink r:id="rId295">
        <w:r>
          <w:rPr>
            <w:color w:val="0563C1"/>
            <w:u w:val="single"/>
          </w:rPr>
          <w:t>Source</w:t>
        </w:r>
      </w:hyperlink>
      <w:r>
        <w:t xml:space="preserve"> | </w:t>
      </w:r>
      <w:hyperlink r:id="rId296">
        <w:r>
          <w:rPr>
            <w:color w:val="0563C1"/>
            <w:u w:val="single"/>
          </w:rPr>
          <w:t>Full-text access</w:t>
        </w:r>
      </w:hyperlink>
    </w:p>
    <w:p>
      <w:pPr>
        <w:pStyle w:val="Normal"/>
        <w:widowControl/>
        <w:spacing w:after="120"/>
      </w:pPr>
      <w:r>
        <w:t xml:space="preserve"/>
      </w:r>
      <w:r>
        <w:t xml:space="preserve">[V16-15] Tan, Ek Khoon; Taner, Timucin; Heimbach, Julie K.; et al. Liver Transplantation for Peri-hilar Cholangiocarcinoma. Journal of Gastrointestinal Surgery. 2020; 24(11):2679-2685. </w:t>
      </w:r>
      <w:hyperlink r:id="rId297">
        <w:r>
          <w:rPr>
            <w:color w:val="0563C1"/>
            <w:u w:val="single"/>
          </w:rPr>
          <w:t>Source</w:t>
        </w:r>
      </w:hyperlink>
      <w:r>
        <w:t xml:space="preserve"> | </w:t>
      </w:r>
      <w:hyperlink r:id="rId298">
        <w:r>
          <w:rPr>
            <w:color w:val="0563C1"/>
            <w:u w:val="single"/>
          </w:rPr>
          <w:t>Full-text access</w:t>
        </w:r>
      </w:hyperlink>
    </w:p>
    <w:p>
      <w:pPr>
        <w:pStyle w:val="Normal"/>
        <w:widowControl/>
        <w:spacing w:after="120"/>
      </w:pPr>
      <w:r>
        <w:t xml:space="preserve"/>
      </w:r>
      <w:r>
        <w:t xml:space="preserve">[V16-16] Bilhim, Tiago; Böning, Georg; Guiu, Boris; et al. CIRSE Standards of Practice on Portal Vein Embolization and Double Vein Embolization/Liver Venous Deprivation. CardioVascular and Interventional Radiology. 2024; 47(8):1025-1036. </w:t>
      </w:r>
      <w:hyperlink r:id="rId299">
        <w:r>
          <w:rPr>
            <w:color w:val="0563C1"/>
            <w:u w:val="single"/>
          </w:rPr>
          <w:t>Source</w:t>
        </w:r>
      </w:hyperlink>
      <w:r>
        <w:t xml:space="preserve"> | </w:t>
      </w:r>
      <w:hyperlink r:id="rId300">
        <w:r>
          <w:rPr>
            <w:color w:val="0563C1"/>
            <w:u w:val="single"/>
          </w:rPr>
          <w:t>Full-text access</w:t>
        </w:r>
      </w:hyperlink>
    </w:p>
    <w:p>
      <w:pPr>
        <w:pStyle w:val="Normal"/>
        <w:widowControl/>
        <w:spacing w:after="120"/>
      </w:pPr>
      <w:r>
        <w:t xml:space="preserve"/>
      </w:r>
      <w:r>
        <w:t xml:space="preserve">[V16-17] Dove, Lorna; Chadha, Ryan M.; Lai, Jennifer C.; et al. AASLD AST Practice Guideline on adult liver transplantation: Candidate evaluation. Hepatology. 2026; 83(6):1609-1645. </w:t>
      </w:r>
      <w:hyperlink r:id="rId301">
        <w:r>
          <w:rPr>
            <w:color w:val="0563C1"/>
            <w:u w:val="single"/>
          </w:rPr>
          <w:t>Source</w:t>
        </w:r>
      </w:hyperlink>
      <w:r>
        <w:t xml:space="preserve"> | </w:t>
      </w:r>
      <w:hyperlink r:id="rId302">
        <w:r>
          <w:rPr>
            <w:color w:val="0563C1"/>
            <w:u w:val="single"/>
          </w:rPr>
          <w:t>Full-text access</w:t>
        </w:r>
      </w:hyperlink>
    </w:p>
    <w:p>
      <w:pPr>
        <w:pStyle w:val="Normal"/>
        <w:widowControl/>
        <w:spacing w:after="120"/>
      </w:pPr>
      <w:r>
        <w:t xml:space="preserve"/>
      </w:r>
      <w:r>
        <w:t xml:space="preserve">[V16-18] Welling, Theodore H.; Feng, Mary; Wan, Shanshan; et al. Neoadjuvant stereotactic body radiation therapy, capecitabine, and liver transplantation for unresectable hilar cholangiocarcinoma. Liver Transplantation. 2014; 20(1):81-88. </w:t>
      </w:r>
      <w:hyperlink r:id="rId303">
        <w:r>
          <w:rPr>
            <w:color w:val="0563C1"/>
            <w:u w:val="single"/>
          </w:rPr>
          <w:t>Source</w:t>
        </w:r>
      </w:hyperlink>
      <w:r>
        <w:t xml:space="preserve"> | </w:t>
      </w:r>
      <w:hyperlink r:id="rId304">
        <w:r>
          <w:rPr>
            <w:color w:val="0563C1"/>
            <w:u w:val="single"/>
          </w:rPr>
          <w:t>Full-text access</w:t>
        </w:r>
      </w:hyperlink>
    </w:p>
    <w:p>
      <w:pPr>
        <w:pStyle w:val="Normal"/>
        <w:widowControl/>
        <w:spacing w:after="120"/>
      </w:pPr>
      <w:r>
        <w:t xml:space="preserve"/>
      </w:r>
      <w:r>
        <w:t xml:space="preserve">[V16-19] Hoogwater, Frederik J H; Kuipers, Hendrien; de Meijer, Vincent E; et al. Role of neoadjuvant chemoradiotherapy in liver transplantation for unresectable perihilar cholangiocarcinoma: multicentre, retrospective cohort study. BJS open. 2023; 7(2):zrad025. </w:t>
      </w:r>
      <w:hyperlink r:id="rId305">
        <w:r>
          <w:rPr>
            <w:color w:val="0563C1"/>
            <w:u w:val="single"/>
          </w:rPr>
          <w:t>Source</w:t>
        </w:r>
      </w:hyperlink>
      <w:r>
        <w:t xml:space="preserve"> | </w:t>
      </w:r>
      <w:hyperlink r:id="rId306">
        <w:r>
          <w:rPr>
            <w:color w:val="0563C1"/>
            <w:u w:val="single"/>
          </w:rPr>
          <w:t>Full-text access</w:t>
        </w:r>
      </w:hyperlink>
    </w:p>
    <w:p>
      <w:pPr>
        <w:pStyle w:val="Normal"/>
        <w:widowControl/>
        <w:spacing w:after="120"/>
      </w:pPr>
      <w:r>
        <w:t xml:space="preserve"/>
      </w:r>
      <w:r>
        <w:t xml:space="preserve">[V16-20] Ito, Takashi; Taura, Kojiro; Fukumitsu, Ken; et al. Safety and efficacy of living donor liver transplantation for unresectable perihilar cholangiocarcinoma: A single center prospective study. Journal of Hepato-Biliary-Pancreatic Sciences. 2025; 32(4):276-286. </w:t>
      </w:r>
      <w:hyperlink r:id="rId307">
        <w:r>
          <w:rPr>
            <w:color w:val="0563C1"/>
            <w:u w:val="single"/>
          </w:rPr>
          <w:t>Source</w:t>
        </w:r>
      </w:hyperlink>
      <w:r>
        <w:t xml:space="preserve"> | </w:t>
      </w:r>
      <w:hyperlink r:id="rId308">
        <w:r>
          <w:rPr>
            <w:color w:val="0563C1"/>
            <w:u w:val="single"/>
          </w:rPr>
          <w:t>Full-text access</w:t>
        </w:r>
      </w:hyperlink>
    </w:p>
    <w:p>
      <w:pPr>
        <w:pStyle w:val="Normal"/>
        <w:widowControl/>
        <w:spacing w:after="120"/>
      </w:pPr>
      <w:r>
        <w:t xml:space="preserve"/>
      </w:r>
      <w:r>
        <w:t xml:space="preserve">[V16-21] Wu, Trudy C.; Smith, Clayton P.; Li, Joshua S.; et al. A systematic review and meta‐analysis of pathologic complete response rates for patients with cholangiocarcinoma treated on liver transplant protocols. Journal of Surgical Oncology. 2023; 129(3):574-583. </w:t>
      </w:r>
      <w:hyperlink r:id="rId309">
        <w:r>
          <w:rPr>
            <w:color w:val="0563C1"/>
            <w:u w:val="single"/>
          </w:rPr>
          <w:t>Source</w:t>
        </w:r>
      </w:hyperlink>
      <w:r>
        <w:t xml:space="preserve"> | </w:t>
      </w:r>
      <w:hyperlink r:id="rId310">
        <w:r>
          <w:rPr>
            <w:color w:val="0563C1"/>
            <w:u w:val="single"/>
          </w:rPr>
          <w:t>Full-text access</w:t>
        </w:r>
      </w:hyperlink>
    </w:p>
    <w:p>
      <w:pPr>
        <w:pStyle w:val="Normal"/>
        <w:widowControl/>
        <w:spacing w:after="120"/>
      </w:pPr>
      <w:r>
        <w:t xml:space="preserve"/>
      </w:r>
      <w:r>
        <w:t xml:space="preserve">[V16-22] Abdelrahim, Maen; Esmail, Abdullah; Connor, Ashton A; et al. Utilization of immunotherapy as a neoadjuvant treatment in liver transplant recipients with hepatobiliary carcinoma. Frontiers in oncology. 2026; 16:1866870. </w:t>
      </w:r>
      <w:hyperlink r:id="rId311">
        <w:r>
          <w:rPr>
            <w:color w:val="0563C1"/>
            <w:u w:val="single"/>
          </w:rPr>
          <w:t>Source</w:t>
        </w:r>
      </w:hyperlink>
      <w:r>
        <w:t xml:space="preserve"> | </w:t>
      </w:r>
      <w:hyperlink r:id="rId312">
        <w:r>
          <w:rPr>
            <w:color w:val="0563C1"/>
            <w:u w:val="single"/>
          </w:rPr>
          <w:t>Full-text access</w:t>
        </w:r>
      </w:hyperlink>
    </w:p>
    <w:p>
      <w:pPr>
        <w:pStyle w:val="Normal"/>
        <w:widowControl/>
        <w:spacing w:after="120"/>
      </w:pPr>
      <w:r>
        <w:t xml:space="preserve"/>
      </w:r>
      <w:r>
        <w:t xml:space="preserve">[V16-23] Moeckli, Beat; Wassmer, Charles-Henri; El Hajji, Sofia; et al. Determining safe washout period for immune checkpoint inhibitors prior to liver transplantation: An international retrospective cohort study. Hepatology. 2025; 82(5):1122-1137. </w:t>
      </w:r>
      <w:hyperlink r:id="rId313">
        <w:r>
          <w:rPr>
            <w:color w:val="0563C1"/>
            <w:u w:val="single"/>
          </w:rPr>
          <w:t>Source</w:t>
        </w:r>
      </w:hyperlink>
      <w:r>
        <w:t xml:space="preserve"> | </w:t>
      </w:r>
      <w:hyperlink r:id="rId314">
        <w:r>
          <w:rPr>
            <w:color w:val="0563C1"/>
            <w:u w:val="single"/>
          </w:rPr>
          <w:t>Full-text access</w:t>
        </w:r>
      </w:hyperlink>
    </w:p>
    <w:p>
      <w:pPr>
        <w:pStyle w:val="Normal"/>
        <w:widowControl/>
        <w:spacing w:after="120"/>
      </w:pPr>
      <w:r>
        <w:t xml:space="preserve"/>
      </w:r>
      <w:r>
        <w:t xml:space="preserve">[V16-24] Rezaee-Zavareh, Mohammad Saeid; Yeo, Yee Hui; Wang, Tielong; et al. Impact of pre-transplant immune checkpoint inhibitor use on post-transplant outcomes in HCC: A systematic review and individual patient data meta-analysis. Journal of Hepatology. 2025; 82(1):107-119. </w:t>
      </w:r>
      <w:hyperlink r:id="rId315">
        <w:r>
          <w:rPr>
            <w:color w:val="0563C1"/>
            <w:u w:val="single"/>
          </w:rPr>
          <w:t>Source</w:t>
        </w:r>
      </w:hyperlink>
      <w:r>
        <w:t xml:space="preserve"> | </w:t>
      </w:r>
      <w:hyperlink r:id="rId316">
        <w:r>
          <w:rPr>
            <w:color w:val="0563C1"/>
            <w:u w:val="single"/>
          </w:rPr>
          <w:t>Full-text access</w:t>
        </w:r>
      </w:hyperlink>
    </w:p>
    <w:p>
      <w:pPr>
        <w:pStyle w:val="Normal"/>
        <w:widowControl/>
        <w:spacing w:after="120"/>
      </w:pPr>
      <w:r>
        <w:t xml:space="preserve"/>
      </w:r>
      <w:r>
        <w:t xml:space="preserve">[V16-25] Shroff RT; Kennedy EB; Alarcon Rozas AE; et al. Treatment of Advanced Biliary Tract Cancer: ASCO Living Guideline, Version 2026.1.0.. Journal of clinical oncology : official journal of the American Society of Clinical Oncology. 2026; :101200JCO2602462. </w:t>
      </w:r>
      <w:hyperlink r:id="rId317">
        <w:r>
          <w:rPr>
            <w:color w:val="0563C1"/>
            <w:u w:val="single"/>
          </w:rPr>
          <w:t>Source</w:t>
        </w:r>
      </w:hyperlink>
      <w:r>
        <w:t xml:space="preserve"> | </w:t>
      </w:r>
      <w:hyperlink r:id="rId318">
        <w:r>
          <w:rPr>
            <w:color w:val="0563C1"/>
            <w:u w:val="single"/>
          </w:rPr>
          <w:t>Full-text access</w:t>
        </w:r>
      </w:hyperlink>
    </w:p>
    <w:p>
      <w:pPr>
        <w:pStyle w:val="Normal"/>
        <w:widowControl/>
        <w:spacing w:after="120"/>
      </w:pPr>
      <w:r>
        <w:t xml:space="preserve"/>
      </w:r>
      <w:r>
        <w:t xml:space="preserve">[V16-26]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319">
        <w:r>
          <w:rPr>
            <w:color w:val="0563C1"/>
            <w:u w:val="single"/>
          </w:rPr>
          <w:t>Source</w:t>
        </w:r>
      </w:hyperlink>
      <w:r>
        <w:t xml:space="preserve"> | </w:t>
      </w:r>
      <w:hyperlink r:id="rId320">
        <w:r>
          <w:rPr>
            <w:color w:val="0563C1"/>
            <w:u w:val="single"/>
          </w:rPr>
          <w:t>Full-text access</w:t>
        </w:r>
      </w:hyperlink>
    </w:p>
    <w:p>
      <w:pPr>
        <w:pStyle w:val="Normal"/>
        <w:widowControl/>
        <w:spacing w:after="120"/>
      </w:pPr>
      <w:r>
        <w:t xml:space="preserve"/>
      </w:r>
      <w:r>
        <w:t xml:space="preserve">[V16-27] Kelly, Morgan E.; Truby, Tianna M.; Lai, Jennifer C.; et al. Three Decades of Living Liver Donor Outcomes: A National Cohort Analysis of Patterns in Mortality and Recovery. Journal of Transplantation. 2026; 2026(1):2545887. </w:t>
      </w:r>
      <w:hyperlink r:id="rId321">
        <w:r>
          <w:rPr>
            <w:color w:val="0563C1"/>
            <w:u w:val="single"/>
          </w:rPr>
          <w:t>Source</w:t>
        </w:r>
      </w:hyperlink>
      <w:r>
        <w:t xml:space="preserve"> | </w:t>
      </w:r>
      <w:hyperlink r:id="rId322">
        <w:r>
          <w:rPr>
            <w:color w:val="0563C1"/>
            <w:u w:val="single"/>
          </w:rPr>
          <w:t>Full-text access</w:t>
        </w:r>
      </w:hyperlink>
    </w:p>
    <w:p>
      <w:pPr>
        <w:pStyle w:val="Normal"/>
        <w:widowControl/>
        <w:spacing w:after="120"/>
      </w:pPr>
      <w:r>
        <w:t xml:space="preserve"/>
      </w:r>
      <w:r>
        <w:t xml:space="preserve">[V16-28] US Department of Health and Human Services. 45 CFR 46.111: Criteria for IRB approval of research. . 2018. </w:t>
      </w:r>
      <w:hyperlink r:id="rId323">
        <w:r>
          <w:rPr>
            <w:color w:val="0563C1"/>
            <w:u w:val="single"/>
          </w:rPr>
          <w:t>Source</w:t>
        </w:r>
      </w:hyperlink>
      <w:r>
        <w:t xml:space="preserve"> | Local PDF not available in this update</w:t>
      </w:r>
    </w:p>
    <w:p>
      <w:pPr>
        <w:pStyle w:val="Normal"/>
        <w:widowControl/>
        <w:spacing w:after="120"/>
      </w:pPr>
      <w:r>
        <w:t xml:space="preserve"/>
      </w:r>
      <w:r>
        <w:t xml:space="preserve">[V16-29] OPTN Ethics Committee. Ethical Principles in the Allocation of Human Organs. . 2015. </w:t>
      </w:r>
      <w:hyperlink r:id="rId324">
        <w:r>
          <w:rPr>
            <w:color w:val="0563C1"/>
            <w:u w:val="single"/>
          </w:rPr>
          <w:t>Source</w:t>
        </w:r>
      </w:hyperlink>
      <w:r>
        <w:t xml:space="preserve"> | Local PDF not available in this update</w:t>
      </w:r>
    </w:p>
    <w:p>
      <w:pPr>
        <w:pStyle w:val="Normal"/>
        <w:widowControl/>
        <w:spacing w:after="120"/>
      </w:pPr>
      <w:r>
        <w:t xml:space="preserve"/>
      </w:r>
      <w:r>
        <w:t xml:space="preserve">[V16-30] Llovet, Josep M; Mauro, Ezequiel; Rimassa, Lorenza; et al. Trial design and end points in hepatocellular carcinoma: an EASL-AASLD-ILCA consensus statement. Nature reviews. Clinical oncology. 2026; 23(8):619-647. </w:t>
      </w:r>
      <w:hyperlink r:id="rId325">
        <w:r>
          <w:rPr>
            <w:color w:val="0563C1"/>
            <w:u w:val="single"/>
          </w:rPr>
          <w:t>Source</w:t>
        </w:r>
      </w:hyperlink>
      <w:r>
        <w:t xml:space="preserve"> | </w:t>
      </w:r>
      <w:hyperlink r:id="rId326">
        <w:r>
          <w:rPr>
            <w:color w:val="0563C1"/>
            <w:u w:val="single"/>
          </w:rPr>
          <w:t>Full-text access</w:t>
        </w:r>
      </w:hyperlink>
    </w:p>
    <w:p>
      <w:pPr>
        <w:pStyle w:val="Normal"/>
        <w:widowControl/>
        <w:spacing w:after="120"/>
      </w:pPr>
      <w:r>
        <w:t xml:space="preserve"/>
      </w:r>
      <w:r>
        <w:t xml:space="preserve">[V16-31] Mazzaferro, Vincenzo; Citterio, Davide; Bhoori, Sherrie; et al. Liver transplantation in hepatocellular carcinoma after tumour downstaging (XXL): a randomised, controlled, phase 2b/3 trial. The Lancet Oncology. 2020; 21(7):947-956. </w:t>
      </w:r>
      <w:hyperlink r:id="rId327">
        <w:r>
          <w:rPr>
            <w:color w:val="0563C1"/>
            <w:u w:val="single"/>
          </w:rPr>
          <w:t>Source</w:t>
        </w:r>
      </w:hyperlink>
      <w:r>
        <w:t xml:space="preserve"> | </w:t>
      </w:r>
      <w:hyperlink r:id="rId328">
        <w:r>
          <w:rPr>
            <w:color w:val="0563C1"/>
            <w:u w:val="single"/>
          </w:rPr>
          <w:t>Full-text access</w:t>
        </w:r>
      </w:hyperlink>
    </w:p>
    <w:p>
      <w:pPr>
        <w:pStyle w:val="Normal"/>
        <w:widowControl/>
        <w:spacing w:after="120"/>
      </w:pPr>
      <w:r>
        <w:t xml:space="preserve"/>
      </w:r>
      <w:r>
        <w:t xml:space="preserve">[V16-32]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329">
        <w:r>
          <w:rPr>
            <w:color w:val="0563C1"/>
            <w:u w:val="single"/>
          </w:rPr>
          <w:t>Source</w:t>
        </w:r>
      </w:hyperlink>
      <w:r>
        <w:t xml:space="preserve"> | </w:t>
      </w:r>
      <w:hyperlink r:id="rId330">
        <w:r>
          <w:rPr>
            <w:color w:val="0563C1"/>
            <w:u w:val="single"/>
          </w:rPr>
          <w:t>Full-text access</w:t>
        </w:r>
      </w:hyperlink>
    </w:p>
    <w:p>
      <w:pPr>
        <w:pStyle w:val="Normal"/>
        <w:widowControl/>
        <w:spacing w:after="120"/>
      </w:pPr>
      <w:r>
        <w:t xml:space="preserve"/>
      </w:r>
      <w:r>
        <w:t xml:space="preserve">[V16-33] Allen, Elisa; Taylor, Rhiannon; Gimson, Alexander; et al. Transplant benefit-based offering of deceased donor livers in the United Kingdom. Journal of Hepatology. 2024; 81(3):471-478. </w:t>
      </w:r>
      <w:hyperlink r:id="rId331">
        <w:r>
          <w:rPr>
            <w:color w:val="0563C1"/>
            <w:u w:val="single"/>
          </w:rPr>
          <w:t>Source</w:t>
        </w:r>
      </w:hyperlink>
      <w:r>
        <w:t xml:space="preserve"> | </w:t>
      </w:r>
      <w:hyperlink r:id="rId332">
        <w:r>
          <w:rPr>
            <w:color w:val="0563C1"/>
            <w:u w:val="single"/>
          </w:rPr>
          <w:t>Full-text access</w:t>
        </w:r>
      </w:hyperlink>
    </w:p>
    <w:p>
      <w:pPr>
        <w:pStyle w:val="Normal"/>
        <w:widowControl/>
        <w:spacing w:after="120"/>
      </w:pPr>
      <w:r>
        <w:t xml:space="preserve"/>
      </w:r>
      <w:r>
        <w:t xml:space="preserve">[V16-34] Abecassis, M.M.; Fisher, R.A.; Olthoff, K.M.; et al. Complications of Living Donor Hepatic Lobectomy—A Comprehensive Report. American Journal of Transplantation. 2012; 12(5):1208-1217. </w:t>
      </w:r>
      <w:hyperlink r:id="rId333">
        <w:r>
          <w:rPr>
            <w:color w:val="0563C1"/>
            <w:u w:val="single"/>
          </w:rPr>
          <w:t>Source</w:t>
        </w:r>
      </w:hyperlink>
      <w:r>
        <w:t xml:space="preserve"> | </w:t>
      </w:r>
      <w:hyperlink r:id="rId334">
        <w:r>
          <w:rPr>
            <w:color w:val="0563C1"/>
            <w:u w:val="single"/>
          </w:rPr>
          <w:t>Full-text access</w:t>
        </w:r>
      </w:hyperlink>
    </w:p>
    <w:p>
      <w:pPr>
        <w:pStyle w:val="Normal"/>
        <w:widowControl/>
        <w:spacing w:after="120"/>
      </w:pPr>
      <w:r>
        <w:t xml:space="preserve"/>
      </w:r>
      <w:r>
        <w:t xml:space="preserve">[V16-35] DiMartini, A.; Dew, M.A.; Liu, Q.; et al. Social and Financial Outcomes of Living Liver Donation: A Prospective Investigation Within the Adult-to-Adult Living Donor Liver Transplantation Cohort Study 2 (A2ALL-2). American Journal of Transplantation. 2017; 17(4):1081-1096. </w:t>
      </w:r>
      <w:hyperlink r:id="rId335">
        <w:r>
          <w:rPr>
            <w:color w:val="0563C1"/>
            <w:u w:val="single"/>
          </w:rPr>
          <w:t>Source</w:t>
        </w:r>
      </w:hyperlink>
      <w:r>
        <w:t xml:space="preserve"> | </w:t>
      </w:r>
      <w:hyperlink r:id="rId336">
        <w:r>
          <w:rPr>
            <w:color w:val="0563C1"/>
            <w:u w:val="single"/>
          </w:rPr>
          <w:t>Full-text access</w:t>
        </w:r>
      </w:hyperlink>
    </w:p>
    <w:p>
      <w:pPr>
        <w:pStyle w:val="Normal"/>
        <w:widowControl/>
        <w:spacing w:after="120"/>
      </w:pPr>
      <w:r>
        <w:t xml:space="preserve"/>
      </w:r>
      <w:r>
        <w:t xml:space="preserve">[V16-36] Xiao, Jieling; Zeng, Rebecca Wenling; Lim, Wen Hui; et al. The incidence of adverse outcome in donors after living donor liver transplantation: A meta-analysis of 60,829 donors. Liver Transplantation. 2024; 30(5):493-504. </w:t>
      </w:r>
      <w:hyperlink r:id="rId337">
        <w:r>
          <w:rPr>
            <w:color w:val="0563C1"/>
            <w:u w:val="single"/>
          </w:rPr>
          <w:t>Source</w:t>
        </w:r>
      </w:hyperlink>
      <w:r>
        <w:t xml:space="preserve"> | </w:t>
      </w:r>
      <w:hyperlink r:id="rId338">
        <w:r>
          <w:rPr>
            <w:color w:val="0563C1"/>
            <w:u w:val="single"/>
          </w:rPr>
          <w:t>Full-text access</w:t>
        </w:r>
      </w:hyperlink>
    </w:p>
    <w:p>
      <w:pPr>
        <w:pStyle w:val="Normal"/>
        <w:widowControl/>
        <w:spacing w:after="120"/>
      </w:pPr>
      <w:r>
        <w:t xml:space="preserve"/>
      </w:r>
      <w:r>
        <w:t xml:space="preserve">[V16-37] De Martin, Eleonora; Antonini, Teresa Maria; Uguen, Thomas; et al. Immune checkpoint inhibitors after liver transplantation: The role of immunosuppressive management. American Journal of Transplantation. 2026; 26(8):1958-1971. </w:t>
      </w:r>
      <w:hyperlink r:id="rId339">
        <w:r>
          <w:rPr>
            <w:color w:val="0563C1"/>
            <w:u w:val="single"/>
          </w:rPr>
          <w:t>Source</w:t>
        </w:r>
      </w:hyperlink>
      <w:r>
        <w:t xml:space="preserve"> | </w:t>
      </w:r>
      <w:hyperlink r:id="rId340">
        <w:r>
          <w:rPr>
            <w:color w:val="0563C1"/>
            <w:u w:val="single"/>
          </w:rPr>
          <w:t>Full-text access</w:t>
        </w:r>
      </w:hyperlink>
    </w:p>
    <w:p>
      <w:pPr>
        <w:pStyle w:val="Normal"/>
        <w:widowControl/>
        <w:spacing w:after="120"/>
      </w:pPr>
      <w:r>
        <w:t xml:space="preserve"/>
      </w:r>
      <w:r>
        <w:t xml:space="preserve">[V16-38] Eldridge, Sandra M; Chan, Claire L; Campbell, Michael J; et al. CONSORT 2010 statement: extension to randomised pilot and feasibility trials. BMJ. 2016; :i5239. </w:t>
      </w:r>
      <w:hyperlink r:id="rId341">
        <w:r>
          <w:rPr>
            <w:color w:val="0563C1"/>
            <w:u w:val="single"/>
          </w:rPr>
          <w:t>Source</w:t>
        </w:r>
      </w:hyperlink>
      <w:r>
        <w:t xml:space="preserve"> | </w:t>
      </w:r>
      <w:hyperlink r:id="rId342">
        <w:r>
          <w:rPr>
            <w:color w:val="0563C1"/>
            <w:u w:val="single"/>
          </w:rPr>
          <w:t>Full-text access</w:t>
        </w:r>
      </w:hyperlink>
    </w:p>
    <w:p>
      <w:pPr>
        <w:pStyle w:val="Normal"/>
        <w:widowControl/>
        <w:spacing w:after="120"/>
      </w:pPr>
      <w:r>
        <w:t xml:space="preserve"/>
      </w:r>
      <w:r>
        <w:t xml:space="preserve">[V16-39]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343">
        <w:r>
          <w:rPr>
            <w:color w:val="0563C1"/>
            <w:u w:val="single"/>
          </w:rPr>
          <w:t>Source</w:t>
        </w:r>
      </w:hyperlink>
      <w:r>
        <w:t xml:space="preserve"> | </w:t>
      </w:r>
      <w:hyperlink r:id="rId344">
        <w:r>
          <w:rPr>
            <w:color w:val="0563C1"/>
            <w:u w:val="single"/>
          </w:rPr>
          <w:t>Full-text access</w:t>
        </w:r>
      </w:hyperlink>
    </w:p>
    <w:p>
      <w:pPr>
        <w:pStyle w:val="Normal"/>
        <w:widowControl/>
        <w:spacing w:after="120"/>
      </w:pPr>
      <w:r>
        <w:t xml:space="preserve"/>
      </w:r>
      <w:r>
        <w:t xml:space="preserve">[V16-40] Yaqub, Sheraz; Busund, Sondre; Smedman, Tor Magnus; et al. Liver transplantation for locally advanced non-resectable intrahepatic cholangiocarcinoma treated with neoadjuvant therapy: early results from the TESLA trial. British Journal of Surgery. 2025. </w:t>
      </w:r>
      <w:hyperlink r:id="rId345">
        <w:r>
          <w:rPr>
            <w:color w:val="0563C1"/>
            <w:u w:val="single"/>
          </w:rPr>
          <w:t>Source</w:t>
        </w:r>
      </w:hyperlink>
      <w:r>
        <w:t xml:space="preserve"> | </w:t>
      </w:r>
      <w:hyperlink r:id="rId346">
        <w:r>
          <w:rPr>
            <w:color w:val="0563C1"/>
            <w:u w:val="single"/>
          </w:rPr>
          <w:t>Full-text access</w:t>
        </w:r>
      </w:hyperlink>
    </w:p>
    <w:p>
      <w:pPr>
        <w:pStyle w:val="Normal"/>
        <w:widowControl/>
        <w:spacing w:after="120"/>
      </w:pPr>
      <w:r>
        <w:t xml:space="preserve"/>
      </w:r>
      <w:r>
        <w:t xml:space="preserve">[V16-41] Sio, Terence T; Martenson, James A; Haddock, Michael G; et al. Outcome of Transplant-fallout Patients With Unresectable Cholangiocarcinoma. American journal of clinical oncology. 2016; 39(3):271-5. </w:t>
      </w:r>
      <w:hyperlink r:id="rId347">
        <w:r>
          <w:rPr>
            <w:color w:val="0563C1"/>
            <w:u w:val="single"/>
          </w:rPr>
          <w:t>Source</w:t>
        </w:r>
      </w:hyperlink>
      <w:r>
        <w:t xml:space="preserve"> | Local PDF not available in this update</w:t>
      </w:r>
    </w:p>
    <w:p>
      <w:pPr>
        <w:pStyle w:val="Normal"/>
        <w:widowControl/>
        <w:spacing w:after="120"/>
      </w:pPr>
      <w:r>
        <w:t xml:space="preserve"/>
      </w:r>
      <w:r>
        <w:t xml:space="preserve">[V16-42] Mansour, John C; Aloia, Thomas A; Crane, Christopher H; et al. Hilar cholangiocarcinoma: expert consensus statement. HPB : the official journal of the International Hepato Pancreato Biliary Association. 2015; 17(8):691-9. </w:t>
      </w:r>
      <w:hyperlink r:id="rId348">
        <w:r>
          <w:rPr>
            <w:color w:val="0563C1"/>
            <w:u w:val="single"/>
          </w:rPr>
          <w:t>Source</w:t>
        </w:r>
      </w:hyperlink>
      <w:r>
        <w:t xml:space="preserve"> | </w:t>
      </w:r>
      <w:hyperlink r:id="rId349">
        <w:r>
          <w:rPr>
            <w:color w:val="0563C1"/>
            <w:u w:val="single"/>
          </w:rPr>
          <w:t>Full-text access</w:t>
        </w:r>
      </w:hyperlink>
    </w:p>
    <w:p>
      <w:pPr>
        <w:pStyle w:val="Normal"/>
        <w:widowControl/>
        <w:spacing w:after="120"/>
      </w:pPr>
      <w:r>
        <w:t xml:space="preserve"/>
      </w:r>
      <w:r>
        <w:t xml:space="preserve">[V16-43] Campbell, Sally; Ahmed, Ola; Cullinan, Darren; et al. Liver Transplantation for Unresectable Biliary Tract Cancers: Largest Single-Center Analysis of Subtype-Specific Survival and Recurrence (2007-2025). Annals of surgical oncology. 2026; 33(9):7870-7880. </w:t>
      </w:r>
      <w:hyperlink r:id="rId350">
        <w:r>
          <w:rPr>
            <w:color w:val="0563C1"/>
            <w:u w:val="single"/>
          </w:rPr>
          <w:t>Source</w:t>
        </w:r>
      </w:hyperlink>
      <w:r>
        <w:t xml:space="preserve"> | Local PDF not available in this update</w:t>
      </w:r>
    </w:p>
    <w:p>
      <w:pPr>
        <w:pStyle w:val="Normal"/>
        <w:widowControl/>
        <w:spacing w:after="120"/>
      </w:pPr>
      <w:r>
        <w:t xml:space="preserve"/>
      </w:r>
      <w:r>
        <w:t xml:space="preserve">[V16-44] de Jong, David M; den Hoed, Caroline M; Willemssen, Francois E J A; et al. Impact of EUS in liver transplantation workup for patients with unresectable perihilar cholangiocarcinoma. Gastrointestinal endoscopy. 2023; 99(4):548-556. </w:t>
      </w:r>
      <w:hyperlink r:id="rId351">
        <w:r>
          <w:rPr>
            <w:color w:val="0563C1"/>
            <w:u w:val="single"/>
          </w:rPr>
          <w:t>Source</w:t>
        </w:r>
      </w:hyperlink>
      <w:r>
        <w:t xml:space="preserve"> | Local PDF not available in this update</w:t>
      </w:r>
    </w:p>
    <w:p>
      <w:pPr>
        <w:pStyle w:val="Normal"/>
        <w:widowControl/>
        <w:spacing w:after="120"/>
      </w:pPr>
      <w:r>
        <w:t xml:space="preserve"/>
      </w:r>
      <w:r>
        <w:t xml:space="preserve">[V16-45] Wong. Downstaging locally advanced cholangiocarcinoma pre-liver transplantation: a prospective pilot study. The Journal of surgical research. 2019. </w:t>
      </w:r>
      <w:hyperlink r:id="rId352">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pCCA-B1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5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53/j.gastro.2012.04.008"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onlinelibrary.wiley.com/doi/full/10.1002/hep.25629"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111/j.1477-2574.2011.00298.x"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pmc.ncbi.nlm.nih.gov/articles/PMC9085963/"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TXD.0000000000001760"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97/HEP.0000000000001449"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02/hep.32771"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onlinelibrary.wiley.com/doi/10.1002/jso.24833"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www.hrsa.gov/sites/default/files/hrsa/optn/optn_policies.pdf"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111/j.1477-2574.2011.00298.x"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97/HEP.0000000000001449"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pmc.ncbi.nlm.nih.gov/articles/PMC6002861/"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link.springer.com/article/10.1245/s10434-020-09001-8"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link.springer.com/article/10.1245/s10434-020-08258-3"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53/j.gastro.2012.04.008"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pubmed.ncbi.nlm.nih.gov/32671802"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HEP.0000000000001449"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07/s00270-024-03743-8"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53/j.gastro.2012.04.008"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02/lt.23757"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97/TXD.0000000000001760"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93/bjsopen/zrad025"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02/jhbp.12121"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onlinelibrary.wiley.com/doi/full/10.1002/hep.25629"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onlinelibrary.wiley.com/doi/10.1002/jso.24833"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onlinelibrary.wiley.com/doi/10.1002/jso.27511"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3389/fonc.2026.1866870"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02/lt.23757"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93/bjsopen/zrad025"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www.hrsa.gov/sites/default/files/hrsa/optn/optn_policies.pdf"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www.hrsa.gov/sites/default/files/hrsa/optn/adult-meld-exception-transplant-oncology-review-guidance.pdf"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97/HEP.0000000000001449"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111/j.1477-2574.2011.00298.x"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53/j.gastro.2012.04.008"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onlinelibrary.wiley.com/doi/full/10.1002/hep.25629"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pmc.ncbi.nlm.nih.gov/articles/PMC9085963/"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97/TXD.0000000000001760"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02/hep.32771"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onlinelibrary.wiley.com/doi/10.1002/jso.24833"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www.nccn.org/professionals/physician_gls/pdf/btc.pdf#page=23"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pmc.ncbi.nlm.nih.gov/articles/PMC6002861/"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link.springer.com/article/10.1245/s10434-020-09001-8"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link.springer.com/article/10.1245/s10434-020-08258-3"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pubmed.ncbi.nlm.nih.gov/32671802"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007/s00270-024-03743-8"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097/HEP.0000000000001644"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02/lt.23757"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oi.org/10.1093/bjsopen/zrad025"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02/jhbp.12121"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onlinelibrary.wiley.com/doi/10.1002/jso.27511"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3389/fonc.2026.1866870"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097/HEP.0000000000001289"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16/j.jhep.2024.06.042"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doi.org/10.1155/joot/2545887"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www.ecfr.gov/current/title-45/subtitle-A/subchapter-A/part-46/subpart-A/section-46.111" TargetMode="External"/><Relationship Id="rId153" Type="http://schemas.openxmlformats.org/officeDocument/2006/relationships/hyperlink" Target="https://www.hrsa.gov/optn/professionals/resources/ethical-considerations/ethical-principles-in-the-allocation-of-human-organs" TargetMode="External"/><Relationship Id="rId154" Type="http://schemas.openxmlformats.org/officeDocument/2006/relationships/hyperlink" Target="https://doi.org/10.1038/s41571-026-01160-z"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doi.org/10.1016/S1470-2045(20)30224-2"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doi.org/10.1016/S0140-6736(24)01595-2"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doi.org/10.1016/j.jhep.2024.03.020"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doi.org/10.1111/j.1600-6143.2011.03972.x"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oi.org/10.1111/ajt.14055"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doi.org/10.1097/LVT.0000000000000303"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16/j.ajt.2026.02.010"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136/bmj.i5239"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3389/ti.2024.13641"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academic.oup.com/bjs/article/112/3/znaf054/8083032"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200/JCO-26-02462"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oi.org/10.1016/S2468-1253(24)00119-5"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www.hrsa.gov/sites/default/files/hrsa/optn/optn_policies.pdf"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www.hrsa.gov/sites/default/files/hrsa/optn/adult-meld-exception-transplant-oncology-review-guidance.pdf"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doi.org/10.1097/HEP.0000000000001449"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oi.org/10.1111/j.1477-2574.2011.00298.x"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1053/j.gastro.2012.04.008"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onlinelibrary.wiley.com/doi/full/10.1002/hep.25629"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pmc.ncbi.nlm.nih.gov/articles/PMC9085963/"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97/TXD.0000000000001760"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002/hep.32771"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onlinelibrary.wiley.com/doi/10.1002/jso.24833" TargetMode="External"/><Relationship Id="rId200" Type="http://schemas.openxmlformats.org/officeDocument/2006/relationships/hyperlink" Target="https://drliuhao.github.io/mh-liver-pathways/evidence-libraries/" TargetMode="External"/><Relationship Id="rId201" Type="http://schemas.openxmlformats.org/officeDocument/2006/relationships/hyperlink" Target="https://www.nccn.org/professionals/physician_gls/pdf/btc.pdf#page=16"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pmc.ncbi.nlm.nih.gov/articles/PMC6002861/"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link.springer.com/article/10.1245/s10434-020-09001-8"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link.springer.com/article/10.1245/s10434-020-08258-3"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pubmed.ncbi.nlm.nih.gov/32671802"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doi.org/10.1007/s00270-024-03743-8"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doi.org/10.1097/HEP.0000000000001644"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doi.org/10.1002/lt.23757"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doi.org/10.1093/bjsopen/zrad025"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02/jhbp.12121"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onlinelibrary.wiley.com/doi/10.1002/jso.27511"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3389/fonc.2026.1866870"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doi.org/10.1097/HEP.0000000000001289"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16/j.jhep.2024.06.042"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155/joot/2545887"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www.ecfr.gov/current/title-45/subtitle-A/subchapter-A/part-46/subpart-A/section-46.111" TargetMode="External"/><Relationship Id="rId232" Type="http://schemas.openxmlformats.org/officeDocument/2006/relationships/hyperlink" Target="https://www.hrsa.gov/optn/professionals/resources/ethical-considerations/ethical-principles-in-the-allocation-of-human-organs" TargetMode="External"/><Relationship Id="rId233" Type="http://schemas.openxmlformats.org/officeDocument/2006/relationships/hyperlink" Target="https://doi.org/10.1038/s41571-026-01160-z"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016/S1470-2045(20)30224-2"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doi.org/10.1016/S0140-6736(24)01595-2"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doi.org/10.1016/j.jhep.2024.03.020" TargetMode="External"/><Relationship Id="rId240" Type="http://schemas.openxmlformats.org/officeDocument/2006/relationships/hyperlink" Target="https://drliuhao.github.io/mh-liver-pathways/evidence-libraries/" TargetMode="External"/><Relationship Id="rId241" Type="http://schemas.openxmlformats.org/officeDocument/2006/relationships/hyperlink" Target="https://doi.org/10.1111/j.1600-6143.2011.03972.x"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doi.org/10.1111/ajt.14055"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097/LVT.0000000000000303"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16/j.ajt.2026.02.010"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136/bmj.i5239"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3389/ti.2024.13641"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academic.oup.com/bjs/article/112/3/znaf054/8083032"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doi.org/10.1200/JCO-26-02462"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doi.org/10.1016/S2468-1253(24)00119-5"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doi.org/10.1097/COC.0000000000000056" TargetMode="External"/><Relationship Id="rId260" Type="http://schemas.openxmlformats.org/officeDocument/2006/relationships/hyperlink" Target="https://doi.org/10.1053/j.gastro.2012.04.008"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link.springer.com/article/10.1245/s10434-020-09001-8"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doi.org/10.1111/hpb.12450"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oi.org/10.1245/s10434-026-19975-6" TargetMode="External"/><Relationship Id="rId267" Type="http://schemas.openxmlformats.org/officeDocument/2006/relationships/hyperlink" Target="https://doi.org/10.1016/j.gie.2023.10.047" TargetMode="External"/><Relationship Id="rId268" Type="http://schemas.openxmlformats.org/officeDocument/2006/relationships/hyperlink" Target="https://doi.org/10.1016/j.jss.2019.04.023" TargetMode="External"/><Relationship Id="rId269" Type="http://schemas.openxmlformats.org/officeDocument/2006/relationships/hyperlink" Target="https://www.hrsa.gov/sites/default/files/hrsa/optn/optn_policies.pdf"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www.hrsa.gov/sites/default/files/hrsa/optn/adult-meld-exception-transplant-oncology-review-guidance.pdf"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doi.org/10.1097/HEP.0000000000001449"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doi.org/10.1111/j.1477-2574.2011.00298.x"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053/j.gastro.2012.04.008"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onlinelibrary.wiley.com/doi/full/10.1002/hep.25629"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pmc.ncbi.nlm.nih.gov/articles/PMC9085963/"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doi.org/10.1097/TXD.0000000000001760"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002/hep.32771"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onlinelibrary.wiley.com/doi/10.1002/jso.24833" TargetMode="External"/><Relationship Id="rId288" Type="http://schemas.openxmlformats.org/officeDocument/2006/relationships/hyperlink" Target="https://drliuhao.github.io/mh-liver-pathways/evidence-libraries/" TargetMode="External"/><Relationship Id="rId289" Type="http://schemas.openxmlformats.org/officeDocument/2006/relationships/hyperlink" Target="https://www.nccn.org/professionals/physician_gls/pdf/btc.pdf#page=16"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pmc.ncbi.nlm.nih.gov/articles/PMC6002861/" TargetMode="External"/><Relationship Id="rId292" Type="http://schemas.openxmlformats.org/officeDocument/2006/relationships/hyperlink" Target="https://drliuhao.github.io/mh-liver-pathways/evidence-libraries/" TargetMode="External"/><Relationship Id="rId293" Type="http://schemas.openxmlformats.org/officeDocument/2006/relationships/hyperlink" Target="https://link.springer.com/article/10.1245/s10434-020-09001-8"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link.springer.com/article/10.1245/s10434-020-08258-3" TargetMode="External"/><Relationship Id="rId296" Type="http://schemas.openxmlformats.org/officeDocument/2006/relationships/hyperlink" Target="https://drliuhao.github.io/mh-liver-pathways/evidence-libraries/" TargetMode="External"/><Relationship Id="rId297" Type="http://schemas.openxmlformats.org/officeDocument/2006/relationships/hyperlink" Target="https://pubmed.ncbi.nlm.nih.gov/32671802" TargetMode="External"/><Relationship Id="rId298" Type="http://schemas.openxmlformats.org/officeDocument/2006/relationships/hyperlink" Target="https://drliuhao.github.io/mh-liver-pathways/evidence-libraries/" TargetMode="External"/><Relationship Id="rId299" Type="http://schemas.openxmlformats.org/officeDocument/2006/relationships/hyperlink" Target="https://doi.org/10.1007/s00270-024-03743-8" TargetMode="External"/><Relationship Id="rId300" Type="http://schemas.openxmlformats.org/officeDocument/2006/relationships/hyperlink" Target="https://drliuhao.github.io/mh-liver-pathways/evidence-libraries/" TargetMode="External"/><Relationship Id="rId301" Type="http://schemas.openxmlformats.org/officeDocument/2006/relationships/hyperlink" Target="https://doi.org/10.1097/HEP.0000000000001644" TargetMode="External"/><Relationship Id="rId302" Type="http://schemas.openxmlformats.org/officeDocument/2006/relationships/hyperlink" Target="https://drliuhao.github.io/mh-liver-pathways/evidence-libraries/" TargetMode="External"/><Relationship Id="rId303" Type="http://schemas.openxmlformats.org/officeDocument/2006/relationships/hyperlink" Target="https://doi.org/10.1002/lt.23757" TargetMode="External"/><Relationship Id="rId304" Type="http://schemas.openxmlformats.org/officeDocument/2006/relationships/hyperlink" Target="https://drliuhao.github.io/mh-liver-pathways/evidence-libraries/" TargetMode="External"/><Relationship Id="rId305" Type="http://schemas.openxmlformats.org/officeDocument/2006/relationships/hyperlink" Target="https://doi.org/10.1093/bjsopen/zrad025" TargetMode="External"/><Relationship Id="rId306" Type="http://schemas.openxmlformats.org/officeDocument/2006/relationships/hyperlink" Target="https://drliuhao.github.io/mh-liver-pathways/evidence-libraries/" TargetMode="External"/><Relationship Id="rId307" Type="http://schemas.openxmlformats.org/officeDocument/2006/relationships/hyperlink" Target="https://doi.org/10.1002/jhbp.12121" TargetMode="External"/><Relationship Id="rId308" Type="http://schemas.openxmlformats.org/officeDocument/2006/relationships/hyperlink" Target="https://drliuhao.github.io/mh-liver-pathways/evidence-libraries/" TargetMode="External"/><Relationship Id="rId309" Type="http://schemas.openxmlformats.org/officeDocument/2006/relationships/hyperlink" Target="https://onlinelibrary.wiley.com/doi/10.1002/jso.27511" TargetMode="External"/><Relationship Id="rId310" Type="http://schemas.openxmlformats.org/officeDocument/2006/relationships/hyperlink" Target="https://drliuhao.github.io/mh-liver-pathways/evidence-libraries/" TargetMode="External"/><Relationship Id="rId311" Type="http://schemas.openxmlformats.org/officeDocument/2006/relationships/hyperlink" Target="https://doi.org/10.3389/fonc.2026.1866870" TargetMode="External"/><Relationship Id="rId312" Type="http://schemas.openxmlformats.org/officeDocument/2006/relationships/hyperlink" Target="https://drliuhao.github.io/mh-liver-pathways/evidence-libraries/" TargetMode="External"/><Relationship Id="rId313" Type="http://schemas.openxmlformats.org/officeDocument/2006/relationships/hyperlink" Target="https://doi.org/10.1097/HEP.0000000000001289" TargetMode="External"/><Relationship Id="rId314" Type="http://schemas.openxmlformats.org/officeDocument/2006/relationships/hyperlink" Target="https://drliuhao.github.io/mh-liver-pathways/evidence-libraries/" TargetMode="External"/><Relationship Id="rId315" Type="http://schemas.openxmlformats.org/officeDocument/2006/relationships/hyperlink" Target="https://doi.org/10.1016/j.jhep.2024.06.042" TargetMode="External"/><Relationship Id="rId316" Type="http://schemas.openxmlformats.org/officeDocument/2006/relationships/hyperlink" Target="https://drliuhao.github.io/mh-liver-pathways/evidence-libraries/" TargetMode="External"/><Relationship Id="rId317" Type="http://schemas.openxmlformats.org/officeDocument/2006/relationships/hyperlink" Target="https://doi.org/10.1200/JCO-26-02462" TargetMode="External"/><Relationship Id="rId318" Type="http://schemas.openxmlformats.org/officeDocument/2006/relationships/hyperlink" Target="https://drliuhao.github.io/mh-liver-pathways/evidence-libraries/" TargetMode="External"/><Relationship Id="rId319" Type="http://schemas.openxmlformats.org/officeDocument/2006/relationships/hyperlink" Target="https://doi.org/10.1016/S2468-1253(24)00119-5" TargetMode="External"/><Relationship Id="rId320" Type="http://schemas.openxmlformats.org/officeDocument/2006/relationships/hyperlink" Target="https://drliuhao.github.io/mh-liver-pathways/evidence-libraries/" TargetMode="External"/><Relationship Id="rId321" Type="http://schemas.openxmlformats.org/officeDocument/2006/relationships/hyperlink" Target="https://doi.org/10.1155/joot/2545887" TargetMode="External"/><Relationship Id="rId322" Type="http://schemas.openxmlformats.org/officeDocument/2006/relationships/hyperlink" Target="https://drliuhao.github.io/mh-liver-pathways/evidence-libraries/" TargetMode="External"/><Relationship Id="rId323" Type="http://schemas.openxmlformats.org/officeDocument/2006/relationships/hyperlink" Target="https://www.ecfr.gov/current/title-45/subtitle-A/subchapter-A/part-46/subpart-A/section-46.111" TargetMode="External"/><Relationship Id="rId324" Type="http://schemas.openxmlformats.org/officeDocument/2006/relationships/hyperlink" Target="https://www.hrsa.gov/optn/professionals/resources/ethical-considerations/ethical-principles-in-the-allocation-of-human-organs" TargetMode="External"/><Relationship Id="rId325" Type="http://schemas.openxmlformats.org/officeDocument/2006/relationships/hyperlink" Target="https://doi.org/10.1038/s41571-026-01160-z" TargetMode="External"/><Relationship Id="rId326" Type="http://schemas.openxmlformats.org/officeDocument/2006/relationships/hyperlink" Target="https://drliuhao.github.io/mh-liver-pathways/evidence-libraries/" TargetMode="External"/><Relationship Id="rId327" Type="http://schemas.openxmlformats.org/officeDocument/2006/relationships/hyperlink" Target="https://doi.org/10.1016/S1470-2045(20)30224-2" TargetMode="External"/><Relationship Id="rId328" Type="http://schemas.openxmlformats.org/officeDocument/2006/relationships/hyperlink" Target="https://drliuhao.github.io/mh-liver-pathways/evidence-libraries/" TargetMode="External"/><Relationship Id="rId329" Type="http://schemas.openxmlformats.org/officeDocument/2006/relationships/hyperlink" Target="https://doi.org/10.1016/S0140-6736(24)01595-2" TargetMode="External"/><Relationship Id="rId330" Type="http://schemas.openxmlformats.org/officeDocument/2006/relationships/hyperlink" Target="https://drliuhao.github.io/mh-liver-pathways/evidence-libraries/" TargetMode="External"/><Relationship Id="rId331" Type="http://schemas.openxmlformats.org/officeDocument/2006/relationships/hyperlink" Target="https://doi.org/10.1016/j.jhep.2024.03.020" TargetMode="External"/><Relationship Id="rId332" Type="http://schemas.openxmlformats.org/officeDocument/2006/relationships/hyperlink" Target="https://drliuhao.github.io/mh-liver-pathways/evidence-libraries/" TargetMode="External"/><Relationship Id="rId333" Type="http://schemas.openxmlformats.org/officeDocument/2006/relationships/hyperlink" Target="https://doi.org/10.1111/j.1600-6143.2011.03972.x" TargetMode="External"/><Relationship Id="rId334" Type="http://schemas.openxmlformats.org/officeDocument/2006/relationships/hyperlink" Target="https://drliuhao.github.io/mh-liver-pathways/evidence-libraries/" TargetMode="External"/><Relationship Id="rId335" Type="http://schemas.openxmlformats.org/officeDocument/2006/relationships/hyperlink" Target="https://doi.org/10.1111/ajt.14055" TargetMode="External"/><Relationship Id="rId336" Type="http://schemas.openxmlformats.org/officeDocument/2006/relationships/hyperlink" Target="https://drliuhao.github.io/mh-liver-pathways/evidence-libraries/" TargetMode="External"/><Relationship Id="rId337" Type="http://schemas.openxmlformats.org/officeDocument/2006/relationships/hyperlink" Target="https://doi.org/10.1097/LVT.0000000000000303" TargetMode="External"/><Relationship Id="rId338" Type="http://schemas.openxmlformats.org/officeDocument/2006/relationships/hyperlink" Target="https://drliuhao.github.io/mh-liver-pathways/evidence-libraries/" TargetMode="External"/><Relationship Id="rId339" Type="http://schemas.openxmlformats.org/officeDocument/2006/relationships/hyperlink" Target="https://doi.org/10.1016/j.ajt.2026.02.010" TargetMode="External"/><Relationship Id="rId340" Type="http://schemas.openxmlformats.org/officeDocument/2006/relationships/hyperlink" Target="https://drliuhao.github.io/mh-liver-pathways/evidence-libraries/" TargetMode="External"/><Relationship Id="rId341" Type="http://schemas.openxmlformats.org/officeDocument/2006/relationships/hyperlink" Target="https://doi.org/10.1136/bmj.i5239" TargetMode="External"/><Relationship Id="rId342" Type="http://schemas.openxmlformats.org/officeDocument/2006/relationships/hyperlink" Target="https://drliuhao.github.io/mh-liver-pathways/evidence-libraries/" TargetMode="External"/><Relationship Id="rId343" Type="http://schemas.openxmlformats.org/officeDocument/2006/relationships/hyperlink" Target="https://doi.org/10.3389/ti.2024.13641" TargetMode="External"/><Relationship Id="rId344" Type="http://schemas.openxmlformats.org/officeDocument/2006/relationships/hyperlink" Target="https://drliuhao.github.io/mh-liver-pathways/evidence-libraries/" TargetMode="External"/><Relationship Id="rId345" Type="http://schemas.openxmlformats.org/officeDocument/2006/relationships/hyperlink" Target="https://academic.oup.com/bjs/article/112/3/znaf054/8083032" TargetMode="External"/><Relationship Id="rId346" Type="http://schemas.openxmlformats.org/officeDocument/2006/relationships/hyperlink" Target="https://drliuhao.github.io/mh-liver-pathways/evidence-libraries/" TargetMode="External"/><Relationship Id="rId347" Type="http://schemas.openxmlformats.org/officeDocument/2006/relationships/hyperlink" Target="https://doi.org/10.1097/COC.0000000000000056" TargetMode="External"/><Relationship Id="rId348" Type="http://schemas.openxmlformats.org/officeDocument/2006/relationships/hyperlink" Target="https://doi.org/10.1111/hpb.12450"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doi.org/10.1245/s10434-026-19975-6" TargetMode="External"/><Relationship Id="rId351" Type="http://schemas.openxmlformats.org/officeDocument/2006/relationships/hyperlink" Target="https://doi.org/10.1016/j.gie.2023.10.047" TargetMode="External"/><Relationship Id="rId352" Type="http://schemas.openxmlformats.org/officeDocument/2006/relationships/hyperlink" Target="https://doi.org/10.1016/j.jss.2019.04.02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2026-10-29T14:21:24Z</dcterms:modified>
  <dc:title>UTHealth Houston and Memorial Hermann High Risk Liver Transplant Protocol for Perihilar Cholangiocarcinoma V8</dc:title>
  <dc:subject>Investigational pathway outside OPTN Policy 9.5.A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