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Perihilar cholangiocarcinoma — High-risk transplant protocol: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transplant protocol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https://drliuhao.github.io/mh-liver-pathways/transplant/pcca/#high-risk</w:t>
      </w:r>
    </w:p>
    <w:p>
      <w:pPr>
        <w:spacing w:after="160"/>
      </w:pPr>
      <w:r>
        <w:rPr>
          <w:b/>
          <w:i w:val="0"/>
        </w:rPr>
        <w:t xml:space="preserve">Companion files: </w:t>
      </w:r>
      <w:r>
        <w:rPr>
          <w:b w:val="0"/>
          <w:i w:val="0"/>
          <w:sz w:val="20"/>
        </w:rPr>
        <w:t xml:space="preserve">Full content: </w:t>
      </w:r>
      <w:r>
        <w:rPr>
          <w:b w:val="0"/>
          <w:i/>
        </w:rPr>
        <w:t>pCCA_5_High_Risk_Transplant_Protocol.docx</w:t>
      </w:r>
      <w:r>
        <w:rPr>
          <w:b w:val="0"/>
          <w:i w:val="0"/>
          <w:sz w:val="20"/>
        </w:rPr>
        <w:t xml:space="preserve"> · Decision discussion for all settings: </w:t>
      </w:r>
      <w:r>
        <w:rPr>
          <w:b w:val="0"/>
          <w:i/>
        </w:rPr>
        <w:t>pCCA_7_Decision_Discussion.docx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pCCA-B1</w:t>
            </w:r>
          </w:p>
        </w:tc>
        <w:tc>
          <w:tcPr>
            <w:tcW w:type="dxa" w:w="2520"/>
            <w:tcW w:w="3500" w:type="dxa"/>
            <w:shd w:val="clear" w:color="auto" w:fill="F1F5F8"/>
          </w:tcPr>
          <w:p>
            <w:pPr>
              <w:spacing w:after="0"/>
            </w:pPr>
            <w:r>
              <w:rPr>
                <w:b w:val="0"/>
                <w:i w:val="0"/>
                <w:sz w:val="19"/>
              </w:rPr>
              <w:t>Size, prior biopsy and prior nodes: one exclusion or separate research strata?</w:t>
            </w:r>
          </w:p>
        </w:tc>
        <w:tc>
          <w:tcPr>
            <w:tcW w:type="dxa" w:w="2520"/>
            <w:tcW w:w="3780" w:type="dxa"/>
            <w:shd w:val="clear" w:color="auto" w:fill="F1F5F8"/>
          </w:tcPr>
          <w:p>
            <w:pPr>
              <w:spacing w:after="0"/>
            </w:pPr>
            <w:r>
              <w:rPr>
                <w:b w:val="0"/>
                <w:i w:val="0"/>
                <w:sz w:val="19"/>
              </w:rPr>
              <w:t>Keep size expansion, primary transperitoneal-biopsy exposure and cleared malignant nodes as three separate closed transplant strata. Distant or peritoneal metastasis, even after response, ends the transplant route.</w:t>
            </w:r>
          </w:p>
        </w:tc>
        <w:tc>
          <w:tcPr>
            <w:tcW w:type="dxa" w:w="2520"/>
            <w:tcW w:w="1500" w:type="dxa"/>
            <w:shd w:val="clear" w:color="auto" w:fill="F1F5F8"/>
          </w:tcPr>
          <w:p>
            <w:pPr>
              <w:spacing w:after="0"/>
            </w:pPr>
            <w:r>
              <w:rPr>
                <w:b w:val="0"/>
                <w:i w:val="0"/>
                <w:color w:val="5A6069"/>
                <w:sz w:val="18"/>
              </w:rPr>
              <w:t>Expansion closed · not activated</w:t>
            </w:r>
          </w:p>
        </w:tc>
      </w:tr>
      <w:tr>
        <w:trPr>
          <w:cantSplit/>
        </w:trPr>
        <w:tc>
          <w:tcPr>
            <w:tcW w:type="dxa" w:w="2520"/>
            <w:tcW w:w="1300" w:type="dxa"/>
            <w:shd w:val="clear" w:color="auto" w:fill="FFFFFF"/>
          </w:tcPr>
          <w:p>
            <w:pPr>
              <w:spacing w:after="0"/>
            </w:pPr>
            <w:r>
              <w:rPr>
                <w:b/>
                <w:i w:val="0"/>
                <w:sz w:val="19"/>
              </w:rPr>
              <w:t>pCCA-B2</w:t>
            </w:r>
          </w:p>
        </w:tc>
        <w:tc>
          <w:tcPr>
            <w:tcW w:type="dxa" w:w="2520"/>
            <w:tcW w:w="3500" w:type="dxa"/>
            <w:shd w:val="clear" w:color="auto" w:fill="FFFFFF"/>
          </w:tcPr>
          <w:p>
            <w:pPr>
              <w:spacing w:after="0"/>
            </w:pPr>
            <w:r>
              <w:rPr>
                <w:b w:val="0"/>
                <w:i w:val="0"/>
                <w:sz w:val="19"/>
              </w:rPr>
              <w:t>When is resection a genuine competing curative option?</w:t>
            </w:r>
          </w:p>
        </w:tc>
        <w:tc>
          <w:tcPr>
            <w:tcW w:type="dxa" w:w="2520"/>
            <w:tcW w:w="3780" w:type="dxa"/>
            <w:shd w:val="clear" w:color="auto" w:fill="FFFFFF"/>
          </w:tcPr>
          <w:p>
            <w:pPr>
              <w:spacing w:after="0"/>
            </w:pPr>
            <w:r>
              <w:rPr>
                <w:b w:val="0"/>
                <w:i w:val="0"/>
                <w:sz w:val="19"/>
              </w:rPr>
              <w:t>Use resection first when an R0 operation and an adequate functional remnant are feasible.</w:t>
            </w:r>
          </w:p>
        </w:tc>
        <w:tc>
          <w:tcPr>
            <w:tcW w:type="dxa" w:w="2520"/>
            <w:tcW w:w="1500" w:type="dxa"/>
            <w:shd w:val="clear" w:color="auto" w:fill="FFFFFF"/>
          </w:tcPr>
          <w:p>
            <w:pPr>
              <w:spacing w:after="0"/>
            </w:pPr>
            <w:r>
              <w:rPr>
                <w:b w:val="0"/>
                <w:i w:val="0"/>
                <w:color w:val="5A6069"/>
                <w:sz w:val="18"/>
              </w:rPr>
              <w:t>Review the standard treatment · not activated</w:t>
            </w:r>
          </w:p>
        </w:tc>
      </w:tr>
      <w:tr>
        <w:trPr>
          <w:cantSplit/>
        </w:trPr>
        <w:tc>
          <w:tcPr>
            <w:tcW w:type="dxa" w:w="2520"/>
            <w:tcW w:w="1300" w:type="dxa"/>
            <w:shd w:val="clear" w:color="auto" w:fill="F1F5F8"/>
          </w:tcPr>
          <w:p>
            <w:pPr>
              <w:spacing w:after="0"/>
            </w:pPr>
            <w:r>
              <w:rPr>
                <w:b/>
                <w:i w:val="0"/>
                <w:sz w:val="19"/>
              </w:rPr>
              <w:t>pCCA-B3</w:t>
            </w:r>
          </w:p>
        </w:tc>
        <w:tc>
          <w:tcPr>
            <w:tcW w:type="dxa" w:w="2520"/>
            <w:tcW w:w="3500" w:type="dxa"/>
            <w:shd w:val="clear" w:color="auto" w:fill="F1F5F8"/>
          </w:tcPr>
          <w:p>
            <w:pPr>
              <w:spacing w:after="0"/>
            </w:pPr>
            <w:r>
              <w:rPr>
                <w:b w:val="0"/>
                <w:i w:val="0"/>
                <w:sz w:val="19"/>
              </w:rPr>
              <w:t>May a non-Mayo neoadjuvant regimen replace the conventional program?</w:t>
            </w:r>
          </w:p>
        </w:tc>
        <w:tc>
          <w:tcPr>
            <w:tcW w:type="dxa" w:w="2520"/>
            <w:tcW w:w="3780" w:type="dxa"/>
            <w:shd w:val="clear" w:color="auto" w:fill="F1F5F8"/>
          </w:tcPr>
          <w:p>
            <w:pPr>
              <w:spacing w:after="0"/>
            </w:pPr>
            <w:r>
              <w:rPr>
                <w:b w:val="0"/>
                <w:i w:val="0"/>
                <w:sz w:val="19"/>
              </w:rPr>
              <w:t>Keep the established Mayo-style pathway as default; develop GemCis-only and SBRT/capecitabine as separately governed alternatives, without claiming equivalence or superiority.</w:t>
            </w:r>
          </w:p>
        </w:tc>
        <w:tc>
          <w:tcPr>
            <w:tcW w:type="dxa" w:w="2520"/>
            <w:tcW w:w="1500" w:type="dxa"/>
            <w:shd w:val="clear" w:color="auto" w:fill="F1F5F8"/>
          </w:tcPr>
          <w:p>
            <w:pPr>
              <w:spacing w:after="0"/>
            </w:pPr>
            <w:r>
              <w:rPr>
                <w:b w:val="0"/>
                <w:i w:val="0"/>
                <w:color w:val="5A6069"/>
                <w:sz w:val="18"/>
              </w:rPr>
              <w:t>Alternative regimens not activated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pCCA-B1 — Tumor size, biopsy history or previously malignant nodes</w:t>
      </w:r>
    </w:p>
    <w:p>
      <w:pPr>
        <w:spacing w:after="80"/>
      </w:pPr>
      <w:r>
        <w:rPr>
          <w:b w:val="0"/>
          <w:i w:val="0"/>
          <w:color w:val="5A6069"/>
          <w:sz w:val="18"/>
        </w:rPr>
        <w:t>Expansion closed · not activated · High-risk review</w:t>
      </w:r>
    </w:p>
    <w:p>
      <w:pPr>
        <w:spacing w:after="80"/>
      </w:pPr>
      <w:r>
        <w:rPr>
          <w:b/>
          <w:i w:val="0"/>
        </w:rPr>
        <w:t xml:space="preserve">Question: </w:t>
      </w:r>
      <w:r>
        <w:rPr>
          <w:b w:val="0"/>
          <w:i w:val="0"/>
        </w:rPr>
        <w:t>Size, prior biopsy and prior nodes: one exclusion or separate research strata?</w:t>
      </w:r>
    </w:p>
    <w:p>
      <w:pPr>
        <w:spacing w:after="80"/>
      </w:pPr>
      <w:r>
        <w:rPr>
          <w:b/>
          <w:i w:val="0"/>
        </w:rPr>
        <w:t xml:space="preserve">When it applies: </w:t>
      </w:r>
      <w:r>
        <w:rPr>
          <w:b w:val="0"/>
          <w:i w:val="0"/>
        </w:rPr>
        <w:t>Review exact radial size, the route of any primary-tumor biopsy, and the full nodal history. These proposed expansions remain closed. Distant or peritoneal disease at any time ends the route.</w:t>
      </w:r>
    </w:p>
    <w:p>
      <w:pPr>
        <w:spacing w:after="80"/>
      </w:pPr>
      <w:r>
        <w:rPr>
          <w:b/>
          <w:i w:val="0"/>
        </w:rPr>
        <w:t xml:space="preserve">Where it is decided: </w:t>
      </w:r>
      <w:hyperlink r:id="rId6">
        <w:r>
          <w:rPr>
            <w:color w:val="0563C1"/>
            <w:u w:val="single"/>
          </w:rPr>
          <w:t xml:space="preserve">Plan diagnostic sampling</w:t>
        </w:r>
      </w:hyperlink>
      <w:r>
        <w:rPr>
          <w:b w:val="0"/>
          <w:i w:val="0"/>
        </w:rPr>
        <w:t xml:space="preserve"> · </w:t>
      </w:r>
      <w:hyperlink r:id="rId9">
        <w:r>
          <w:rPr>
            <w:color w:val="0563C1"/>
            <w:u w:val="single"/>
          </w:rPr>
          <w:t xml:space="preserve">Check protocol criteria</w:t>
        </w:r>
      </w:hyperlink>
      <w:r>
        <w:rPr>
          <w:b w:val="0"/>
          <w:i w:val="0"/>
        </w:rPr>
        <w:t xml:space="preserve"> · </w:t>
      </w:r>
      <w:hyperlink r:id="rId10">
        <w:r>
          <w:rPr>
            <w:color w:val="0563C1"/>
            <w:u w:val="single"/>
          </w:rPr>
          <w:t xml:space="preserve">Perform operative staging</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“single and less than three cm in radial (perpendicular to the duct) diameter.” Binding standardized-exception mass wording; historical ≤3 cm study definitions are not identical.</w:t>
            </w:r>
          </w:p>
        </w:tc>
        <w:tc>
          <w:tcPr>
            <w:tcW w:type="dxa" w:w="3360"/>
            <w:tcW w:w="2400" w:type="dxa"/>
            <w:shd w:val="clear" w:color="auto" w:fill="F1F5F8"/>
          </w:tcPr>
          <w:p>
            <w:pPr>
              <w:spacing w:after="0"/>
            </w:pPr>
            <w:r>
              <w:rPr>
                <w:b w:val="0"/>
                <w:i w:val="0"/>
                <w:color w:val="5A6069"/>
                <w:sz w:val="18"/>
              </w:rPr>
              <w:t>Policy 9.5.A, printed p191; effective 1 October 2026</w:t>
            </w:r>
          </w:p>
        </w:tc>
      </w:tr>
      <w:tr>
        <w:trPr>
          <w:cantSplit/>
        </w:trPr>
        <w:tc>
          <w:tcPr>
            <w:tcW w:type="dxa" w:w="3360"/>
            <w:tcW w:w="2200" w:type="dxa"/>
            <w:shd w:val="clear" w:color="auto" w:fill="FFFFFF"/>
          </w:tcPr>
          <w:p>
            <w:pPr>
              <w:spacing w:after="0"/>
            </w:pPr>
            <w:r>
              <w:rPr>
                <w:b/>
                <w:i w:val="0"/>
                <w:sz w:val="19"/>
              </w:rPr>
              <w:t>Heimbach 2011 · biopsy</w:t>
            </w:r>
          </w:p>
        </w:tc>
        <w:tc>
          <w:tcPr>
            <w:tcW w:type="dxa" w:w="3360"/>
            <w:tcW w:w="5480" w:type="dxa"/>
            <w:shd w:val="clear" w:color="auto" w:fill="FFFFFF"/>
          </w:tcPr>
          <w:p>
            <w:pPr>
              <w:spacing w:after="0"/>
            </w:pPr>
            <w:r>
              <w:rPr>
                <w:b w:val="0"/>
                <w:i w:val="0"/>
                <w:sz w:val="19"/>
              </w:rPr>
              <w:t>“5/6 (83%) had peritoneal metastases at operative staging.” This was the diagnostic-positive primary-FNA subgroup, not all biopsy-exposed patients.</w:t>
            </w:r>
          </w:p>
        </w:tc>
        <w:tc>
          <w:tcPr>
            <w:tcW w:type="dxa" w:w="3360"/>
            <w:tcW w:w="2400" w:type="dxa"/>
            <w:shd w:val="clear" w:color="auto" w:fill="FFFFFF"/>
          </w:tcPr>
          <w:p>
            <w:pPr>
              <w:spacing w:after="0"/>
            </w:pPr>
            <w:r>
              <w:rPr>
                <w:b w:val="0"/>
                <w:i w:val="0"/>
                <w:color w:val="5A6069"/>
                <w:sz w:val="18"/>
              </w:rPr>
              <w:t>Published PDF p1 / journal p356,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Retrospective 12-US-center NAT-to-LT cohort; 287 entered, 71 dropped out, 214 transplanted. Mostly conventional localized unresectable/PSC-associated pCCA. The expanded subgroup included larger tumors and other departures from eligibility.</w:t>
            </w:r>
          </w:p>
        </w:tc>
        <w:tc>
          <w:tcPr>
            <w:tcW w:type="dxa" w:w="3360"/>
            <w:tcW w:w="4180" w:type="dxa"/>
            <w:shd w:val="clear" w:color="auto" w:fill="F1F5F8"/>
          </w:tcPr>
          <w:p>
            <w:pPr>
              <w:spacing w:after="0"/>
            </w:pPr>
            <w:r>
              <w:rPr>
                <w:b w:val="0"/>
                <w:i w:val="0"/>
                <w:sz w:val="19"/>
              </w:rPr>
              <w:t>From treatment-pathway entry, 2-/5-year OS was 68%/53%; post-LT 2-/5-year recurrence-free survival 78%/65%. Among 21 transplanted patients with masses &gt;3 cm, 5-year RFS was 32% versus 69% for smaller tumors. The combined outside-criteria group had recurrence hazard ratio 2.98. Staging found metastases in 17%; four patients were transplanted with metastatic disease, pooled with the outside-criteria group; one centre accepted N0–N1 nodes within the hepatoduodenal ligament. No separate outcome exists for nodal disease.</w:t>
            </w:r>
          </w:p>
          <w:p>
            <w:pPr>
              <w:spacing w:after="0"/>
            </w:pPr>
            <w:r>
              <w:rPr>
                <w:b w:val="0"/>
                <w:i/>
                <w:sz w:val="19"/>
              </w:rPr>
              <w:t>Limits: Larger tumors were not randomized. Composite outside-criteria effect cannot be assigned separately to size, biopsy or metastasis. Small &gt;3-cm recipient subset; selection and center effects.</w:t>
            </w:r>
          </w:p>
          <w:p>
            <w:pPr>
              <w:spacing w:after="0"/>
            </w:pPr>
            <w:r>
              <w:rPr>
                <w:b w:val="0"/>
                <w:i w:val="0"/>
                <w:color w:val="5A6069"/>
                <w:sz w:val="18"/>
              </w:rPr>
              <w:t>Gastroenterology 2012; 143: 88–98.e 3; Results, patient flow and selection-criteria recurrence analyses; local full PDF.</w:t>
            </w:r>
          </w:p>
        </w:tc>
      </w:tr>
      <w:tr>
        <w:trPr>
          <w:cantSplit/>
        </w:trPr>
        <w:tc>
          <w:tcPr>
            <w:tcW w:type="dxa" w:w="3360"/>
            <w:tcW w:w="2000" w:type="dxa"/>
            <w:shd w:val="clear" w:color="auto" w:fill="FFFFFF"/>
          </w:tcPr>
          <w:p>
            <w:pPr>
              <w:spacing w:after="0"/>
            </w:pPr>
            <w:r>
              <w:rPr>
                <w:b/>
                <w:i w:val="0"/>
                <w:sz w:val="19"/>
              </w:rPr>
              <w:t>Darwish Murad 2012</w:t>
            </w:r>
          </w:p>
        </w:tc>
        <w:tc>
          <w:tcPr>
            <w:tcW w:type="dxa" w:w="3360"/>
            <w:tcW w:w="3900" w:type="dxa"/>
            <w:shd w:val="clear" w:color="auto" w:fill="FFFFFF"/>
          </w:tcPr>
          <w:p>
            <w:pPr>
              <w:spacing w:after="0"/>
            </w:pPr>
            <w:r>
              <w:rPr>
                <w:b w:val="0"/>
                <w:i w:val="0"/>
                <w:sz w:val="19"/>
              </w:rPr>
              <w:t>Mayo 1993–2010; 199 protocol entrants, 62 dropouts, 131 local LT and six elsewhere. Localized unresectable disease; historical size definitions were not identical to current policy.</w:t>
            </w:r>
          </w:p>
        </w:tc>
        <w:tc>
          <w:tcPr>
            <w:tcW w:type="dxa" w:w="3360"/>
            <w:tcW w:w="4180" w:type="dxa"/>
            <w:shd w:val="clear" w:color="auto" w:fill="FFFFFF"/>
          </w:tcPr>
          <w:p>
            <w:pPr>
              <w:spacing w:after="0"/>
            </w:pPr>
            <w:r>
              <w:rPr>
                <w:b w:val="0"/>
                <w:i w:val="0"/>
                <w:sz w:val="19"/>
              </w:rPr>
              <w:t>Dropout predictors included &gt;3-cm mass (adjusted HR 2.14, 95% CI 1.08–4.24), CA19-9≥ 500 (HR 2.29), positive/suspicious intraluminal sampling (HR 3.63) and MELD ≥ 20 (HR 3.48). Of 62 dropouts, 36 had metastases found at operative staging (regional nodes 14, intrahepatic 6, extrahepatic 16). Local recipients had 26 recurrences; 5-year OS 71%, RFS 68% from LT.</w:t>
            </w:r>
          </w:p>
          <w:p>
            <w:pPr>
              <w:spacing w:after="0"/>
            </w:pPr>
            <w:r>
              <w:rPr>
                <w:b w:val="0"/>
                <w:i/>
                <w:sz w:val="19"/>
              </w:rPr>
              <w:t>Limits: Strong overlap with Murad multicenter and Heimbach cohorts; not independent replication. These are prognostic associations, not validated universal exclusion thresholds.</w:t>
            </w:r>
          </w:p>
          <w:p>
            <w:pPr>
              <w:spacing w:after="0"/>
            </w:pPr>
            <w:r>
              <w:rPr>
                <w:b w:val="0"/>
                <w:i w:val="0"/>
                <w:color w:val="5A6069"/>
                <w:sz w:val="18"/>
              </w:rPr>
              <w:t>Hepatology 2012; 56: 972–981; Tables 2–3 and Transplantation/Recurrence sections.</w:t>
            </w:r>
          </w:p>
        </w:tc>
      </w:tr>
      <w:tr>
        <w:trPr>
          <w:cantSplit/>
        </w:trPr>
        <w:tc>
          <w:tcPr>
            <w:tcW w:type="dxa" w:w="3360"/>
            <w:tcW w:w="2000" w:type="dxa"/>
            <w:shd w:val="clear" w:color="auto" w:fill="F1F5F8"/>
          </w:tcPr>
          <w:p>
            <w:pPr>
              <w:spacing w:after="0"/>
            </w:pPr>
            <w:r>
              <w:rPr>
                <w:b/>
                <w:i w:val="0"/>
                <w:sz w:val="19"/>
              </w:rPr>
              <w:t>Heimbach 2011 · biopsy</w:t>
            </w:r>
          </w:p>
        </w:tc>
        <w:tc>
          <w:tcPr>
            <w:tcW w:type="dxa" w:w="3360"/>
            <w:tcW w:w="3900" w:type="dxa"/>
            <w:shd w:val="clear" w:color="auto" w:fill="F1F5F8"/>
          </w:tcPr>
          <w:p>
            <w:pPr>
              <w:spacing w:after="0"/>
            </w:pPr>
            <w:r>
              <w:rPr>
                <w:b w:val="0"/>
                <w:i w:val="0"/>
                <w:sz w:val="19"/>
              </w:rPr>
              <w:t>191 NAT-to-LT protocol entrants; 16 underwent primary-tumor TP-FNA. 13 percutaneous and three EUS primary-tumor biopsies; not EUS nodal staging.</w:t>
            </w:r>
          </w:p>
        </w:tc>
        <w:tc>
          <w:tcPr>
            <w:tcW w:type="dxa" w:w="3360"/>
            <w:tcW w:w="4180" w:type="dxa"/>
            <w:shd w:val="clear" w:color="auto" w:fill="F1F5F8"/>
          </w:tcPr>
          <w:p>
            <w:pPr>
              <w:spacing w:after="0"/>
            </w:pPr>
            <w:r>
              <w:rPr>
                <w:b w:val="0"/>
                <w:i w:val="0"/>
                <w:sz w:val="19"/>
              </w:rPr>
              <w:t>Peritoneal metastases at staging: 5/6 with positive TP-FNA versus 14/175 without TP-FNA; 9 negative TP-FNA patients had none; one result was equivocal.</w:t>
            </w:r>
          </w:p>
          <w:p>
            <w:pPr>
              <w:spacing w:after="0"/>
            </w:pPr>
            <w:r>
              <w:rPr>
                <w:b w:val="0"/>
                <w:i/>
                <w:sz w:val="19"/>
              </w:rPr>
              <w:t>Limits: Only six positive biopsies. Nonrandom sampling and more obvious tumor may confound association. Negative-biopsy subgroup is far too small to establish safety or equivalence.</w:t>
            </w:r>
          </w:p>
          <w:p>
            <w:pPr>
              <w:spacing w:after="0"/>
            </w:pPr>
            <w:r>
              <w:rPr>
                <w:b w:val="0"/>
                <w:i w:val="0"/>
                <w:color w:val="5A6069"/>
                <w:sz w:val="18"/>
              </w:rPr>
              <w:t>HPB 2011; 13: 356–360; Results and biopsy/staging table; local complete PDF.</w:t>
            </w:r>
          </w:p>
        </w:tc>
      </w:tr>
      <w:tr>
        <w:trPr>
          <w:cantSplit/>
        </w:trPr>
        <w:tc>
          <w:tcPr>
            <w:tcW w:type="dxa" w:w="3360"/>
            <w:tcW w:w="2000" w:type="dxa"/>
            <w:shd w:val="clear" w:color="auto" w:fill="FFFFFF"/>
          </w:tcPr>
          <w:p>
            <w:pPr>
              <w:spacing w:after="0"/>
            </w:pPr>
            <w:r>
              <w:rPr>
                <w:b/>
                <w:i w:val="0"/>
                <w:sz w:val="19"/>
              </w:rPr>
              <w:t>Aveson 2022</w:t>
            </w:r>
          </w:p>
        </w:tc>
        <w:tc>
          <w:tcPr>
            <w:tcW w:type="dxa" w:w="3360"/>
            <w:tcW w:w="3900" w:type="dxa"/>
            <w:shd w:val="clear" w:color="auto" w:fill="FFFFFF"/>
          </w:tcPr>
          <w:p>
            <w:pPr>
              <w:spacing w:after="0"/>
            </w:pPr>
            <w:r>
              <w:rPr>
                <w:b w:val="0"/>
                <w:i w:val="0"/>
                <w:sz w:val="19"/>
              </w:rPr>
              <w:t>MSK retrospective planned-resection cohort 1991–2014; 262 patients, 37 TP biopsy versus 225 intraluminal/no biopsy. Resection/exploration setting rather than NAT-to-LT. Median biopsy-to-surgery interval 32 versus 38 days.</w:t>
            </w:r>
          </w:p>
        </w:tc>
        <w:tc>
          <w:tcPr>
            <w:tcW w:type="dxa" w:w="3360"/>
            <w:tcW w:w="4180" w:type="dxa"/>
            <w:shd w:val="clear" w:color="auto" w:fill="FFFFFF"/>
          </w:tcPr>
          <w:p>
            <w:pPr>
              <w:spacing w:after="0"/>
            </w:pPr>
            <w:r>
              <w:rPr>
                <w:b w:val="0"/>
                <w:i w:val="0"/>
                <w:sz w:val="19"/>
              </w:rPr>
              <w:t>Peritoneal metastases at surgery 5.4% versus 7.6%; among 243 initially PM-negative patients, 2-year cumulative PM 20.3% versus 20.1%(p=.7).</w:t>
            </w:r>
          </w:p>
          <w:p>
            <w:pPr>
              <w:spacing w:after="0"/>
            </w:pPr>
            <w:r>
              <w:rPr>
                <w:b w:val="0"/>
                <w:i/>
                <w:sz w:val="19"/>
              </w:rPr>
              <w:t>Limits: Direct counterevidence to universal biopsy-seeding claims, but shorter exposure interval, no LT waiting/immunosuppression comparison and only 37 exposed patients. Does not overturn allocation policy.</w:t>
            </w:r>
          </w:p>
          <w:p>
            <w:pPr>
              <w:spacing w:after="0"/>
            </w:pPr>
            <w:r>
              <w:rPr>
                <w:b w:val="0"/>
                <w:i w:val="0"/>
                <w:color w:val="5A6069"/>
                <w:sz w:val="18"/>
              </w:rPr>
              <w:t>HPB 2022; 24: 942–949; Methods, Results and cumulative-incidence analysis.</w:t>
            </w:r>
          </w:p>
        </w:tc>
      </w:tr>
      <w:tr>
        <w:trPr>
          <w:cantSplit/>
        </w:trPr>
        <w:tc>
          <w:tcPr>
            <w:tcW w:type="dxa" w:w="3360"/>
            <w:tcW w:w="2000" w:type="dxa"/>
            <w:shd w:val="clear" w:color="auto" w:fill="F1F5F8"/>
          </w:tcPr>
          <w:p>
            <w:pPr>
              <w:spacing w:after="0"/>
            </w:pPr>
            <w:r>
              <w:rPr>
                <w:b/>
                <w:i w:val="0"/>
                <w:sz w:val="19"/>
              </w:rPr>
              <w:t>Soliman 2025 · GemCis</w:t>
            </w:r>
          </w:p>
        </w:tc>
        <w:tc>
          <w:tcPr>
            <w:tcW w:type="dxa" w:w="3360"/>
            <w:tcW w:w="3900" w:type="dxa"/>
            <w:shd w:val="clear" w:color="auto" w:fill="F1F5F8"/>
          </w:tcPr>
          <w:p>
            <w:pPr>
              <w:spacing w:after="0"/>
            </w:pPr>
            <w:r>
              <w:rPr>
                <w:b w:val="0"/>
                <w:i w:val="0"/>
                <w:sz w:val="19"/>
              </w:rPr>
              <w:t>Houston recipient-only NAT comparison; 27 LT, 26 analyzed after one treatment-intolerance exclusion. Pre-LT radiological criteria and staging excluded known nodal/extrahepatic disease; six nevertheless had N1/N2 on explant.</w:t>
            </w:r>
          </w:p>
        </w:tc>
        <w:tc>
          <w:tcPr>
            <w:tcW w:type="dxa" w:w="3360"/>
            <w:tcW w:w="4180" w:type="dxa"/>
            <w:shd w:val="clear" w:color="auto" w:fill="F1F5F8"/>
          </w:tcPr>
          <w:p>
            <w:pPr>
              <w:spacing w:after="0"/>
            </w:pPr>
            <w:r>
              <w:rPr>
                <w:b w:val="0"/>
                <w:i w:val="0"/>
                <w:sz w:val="19"/>
              </w:rPr>
              <w:t>Occult positive nodes in 6/26(23.1%); nodal disease associated with worse OS and RFS. Nine recurrences overall; main-text 1-/3-year OS 83.0%/52.3% from LT.</w:t>
            </w:r>
          </w:p>
          <w:p>
            <w:pPr>
              <w:spacing w:after="0"/>
            </w:pPr>
            <w:r>
              <w:rPr>
                <w:b w:val="0"/>
                <w:i/>
                <w:sz w:val="19"/>
              </w:rPr>
              <w:t>Limits: Occult nodes discovered after LT are not evidence supporting knowingly positive nodes cleared by therapy. No all referred or all-treated denominator. Abstract/body OS rounding differs; use full Results values.</w:t>
            </w:r>
          </w:p>
          <w:p>
            <w:pPr>
              <w:spacing w:after="0"/>
            </w:pPr>
            <w:r>
              <w:rPr>
                <w:b w:val="0"/>
                <w:i w:val="0"/>
                <w:color w:val="5A6069"/>
                <w:sz w:val="18"/>
              </w:rPr>
              <w:t>Transplant Direct 2025; 11: e 1760; Tables 2–4, Recipient Posttransplant Outcomes, Figure 2.</w:t>
            </w:r>
          </w:p>
        </w:tc>
      </w:tr>
      <w:tr>
        <w:trPr>
          <w:cantSplit/>
        </w:trPr>
        <w:tc>
          <w:tcPr>
            <w:tcW w:type="dxa" w:w="3360"/>
            <w:tcW w:w="2000" w:type="dxa"/>
            <w:shd w:val="clear" w:color="auto" w:fill="FFFFFF"/>
          </w:tcPr>
          <w:p>
            <w:pPr>
              <w:spacing w:after="0"/>
            </w:pPr>
            <w:r>
              <w:rPr>
                <w:b/>
                <w:i w:val="0"/>
                <w:sz w:val="19"/>
              </w:rPr>
              <w:t>Dong 2026 · resection versus LT</w:t>
            </w:r>
          </w:p>
        </w:tc>
        <w:tc>
          <w:tcPr>
            <w:tcW w:type="dxa" w:w="3360"/>
            <w:tcW w:w="3900" w:type="dxa"/>
            <w:shd w:val="clear" w:color="auto" w:fill="FFFFFF"/>
          </w:tcPr>
          <w:p>
            <w:pPr>
              <w:spacing w:after="0"/>
            </w:pPr>
            <w:r>
              <w:rPr>
                <w:b w:val="0"/>
                <w:i w:val="0"/>
                <w:sz w:val="19"/>
              </w:rPr>
              <w:t>Mayo de-novo pCCA 1993–2023; 127 analyzed LT-pathway entrants, 52 dropouts, 75 LT. Protocol staged localized tumors; PSC excluded.</w:t>
            </w:r>
          </w:p>
        </w:tc>
        <w:tc>
          <w:tcPr>
            <w:tcW w:type="dxa" w:w="3360"/>
            <w:tcW w:w="4180" w:type="dxa"/>
            <w:shd w:val="clear" w:color="auto" w:fill="FFFFFF"/>
          </w:tcPr>
          <w:p>
            <w:pPr>
              <w:spacing w:after="0"/>
            </w:pPr>
            <w:r>
              <w:rPr>
                <w:b w:val="0"/>
                <w:i w:val="0"/>
                <w:sz w:val="19"/>
              </w:rPr>
              <w:t>Dropouts included 15 with regional nodal metastases and 34 with distant metastases; three medical deterioration.</w:t>
            </w:r>
          </w:p>
          <w:p>
            <w:pPr>
              <w:spacing w:after="0"/>
            </w:pPr>
            <w:r>
              <w:rPr>
                <w:b w:val="0"/>
                <w:i/>
                <w:sz w:val="19"/>
              </w:rPr>
              <w:t>Limits: Provides the consequence of detecting nodes, not outcomes of clearing them and transplanting. Overlaps historical Mayo cohorts.</w:t>
            </w:r>
          </w:p>
          <w:p>
            <w:pPr>
              <w:spacing w:after="0"/>
            </w:pPr>
            <w:r>
              <w:rPr>
                <w:b w:val="0"/>
                <w:i w:val="0"/>
                <w:color w:val="5A6069"/>
                <w:sz w:val="18"/>
              </w:rPr>
              <w:t>Hepatology 2026; institutional protocol, patient-flow Figure 1 and Results; local full PDF.</w:t>
            </w:r>
          </w:p>
        </w:tc>
      </w:tr>
      <w:tr>
        <w:trPr>
          <w:cantSplit/>
        </w:trPr>
        <w:tc>
          <w:tcPr>
            <w:tcW w:type="dxa" w:w="3360"/>
            <w:tcW w:w="2000" w:type="dxa"/>
            <w:shd w:val="clear" w:color="auto" w:fill="F1F5F8"/>
          </w:tcPr>
          <w:p>
            <w:pPr>
              <w:spacing w:after="0"/>
            </w:pPr>
            <w:r>
              <w:rPr>
                <w:b/>
                <w:i w:val="0"/>
                <w:sz w:val="19"/>
              </w:rPr>
              <w:t>Wong 2019 · downstaging pilot</w:t>
            </w:r>
          </w:p>
        </w:tc>
        <w:tc>
          <w:tcPr>
            <w:tcW w:type="dxa" w:w="3360"/>
            <w:tcW w:w="3900" w:type="dxa"/>
            <w:shd w:val="clear" w:color="auto" w:fill="F1F5F8"/>
          </w:tcPr>
          <w:p>
            <w:pPr>
              <w:spacing w:after="0"/>
            </w:pPr>
            <w:r>
              <w:rPr>
                <w:b w:val="0"/>
                <w:i w:val="0"/>
                <w:sz w:val="19"/>
              </w:rPr>
              <w:t>Prospective pilot of neoadjuvant therapy before transplantation for locally advanced hilar and intrahepatic cholangiocarcinoma; 18 started treatment. Hilar ≤3.5 cm or intrahepatic ≤8 cm; regional lymphadenopathy allowed, distant metastasis excluded.</w:t>
            </w:r>
          </w:p>
        </w:tc>
        <w:tc>
          <w:tcPr>
            <w:tcW w:type="dxa" w:w="3360"/>
            <w:tcW w:w="4180" w:type="dxa"/>
            <w:shd w:val="clear" w:color="auto" w:fill="F1F5F8"/>
          </w:tcPr>
          <w:p>
            <w:pPr>
              <w:spacing w:after="0"/>
            </w:pPr>
            <w:r>
              <w:rPr>
                <w:b w:val="0"/>
                <w:i w:val="0"/>
                <w:sz w:val="19"/>
              </w:rPr>
              <w:t>Eleven of 18 dropped out; five transplanted, three recurrence-free at 14.5–29.2 months, one isolated portacaval nodal recurrence at 12 months.</w:t>
            </w:r>
          </w:p>
          <w:p>
            <w:pPr>
              <w:spacing w:after="0"/>
            </w:pPr>
            <w:r>
              <w:rPr>
                <w:b w:val="0"/>
                <w:i/>
                <w:sz w:val="19"/>
              </w:rPr>
              <w:t>Limits: Mixed tumour types and tiny numbers; nodal pathology not reported in the abstract.</w:t>
            </w:r>
          </w:p>
          <w:p>
            <w:pPr>
              <w:spacing w:after="0"/>
            </w:pPr>
            <w:r>
              <w:rPr>
                <w:b w:val="0"/>
                <w:i w:val="0"/>
                <w:color w:val="5A6069"/>
                <w:sz w:val="18"/>
              </w:rPr>
              <w:t>J Surg Res 2019; abstract.</w:t>
            </w:r>
          </w:p>
        </w:tc>
      </w:tr>
      <w:tr>
        <w:trPr>
          <w:cantSplit/>
        </w:trPr>
        <w:tc>
          <w:tcPr>
            <w:tcW w:type="dxa" w:w="3360"/>
            <w:tcW w:w="2000" w:type="dxa"/>
            <w:shd w:val="clear" w:color="auto" w:fill="FFFFFF"/>
          </w:tcPr>
          <w:p>
            <w:pPr>
              <w:spacing w:after="0"/>
            </w:pPr>
            <w:r>
              <w:rPr>
                <w:b/>
                <w:i w:val="0"/>
                <w:sz w:val="19"/>
              </w:rPr>
              <w:t>Sio 2016 · Mayo protocol fall-out</w:t>
            </w:r>
          </w:p>
        </w:tc>
        <w:tc>
          <w:tcPr>
            <w:tcW w:type="dxa" w:w="3360"/>
            <w:tcW w:w="3900" w:type="dxa"/>
            <w:shd w:val="clear" w:color="auto" w:fill="FFFFFF"/>
          </w:tcPr>
          <w:p>
            <w:pPr>
              <w:spacing w:after="0"/>
            </w:pPr>
            <w:r>
              <w:rPr>
                <w:b w:val="0"/>
                <w:i w:val="0"/>
                <w:sz w:val="19"/>
              </w:rPr>
              <w:t>Mayo protocol; 215 started neoadjuvant treatment, 63 fell out. EUS-FNA of regional nodes before chemoradiation since 2003; operative staging with hepatic-artery and pericholedochal node biopsy.</w:t>
            </w:r>
          </w:p>
        </w:tc>
        <w:tc>
          <w:tcPr>
            <w:tcW w:type="dxa" w:w="3360"/>
            <w:tcW w:w="4180" w:type="dxa"/>
            <w:shd w:val="clear" w:color="auto" w:fill="FFFFFF"/>
          </w:tcPr>
          <w:p>
            <w:pPr>
              <w:spacing w:after="0"/>
            </w:pPr>
            <w:r>
              <w:rPr>
                <w:b w:val="0"/>
                <w:i w:val="0"/>
                <w:sz w:val="19"/>
              </w:rPr>
              <w:t>At staging: positive nodes 19, peritoneal metastases 14, local extension 11 (overlapping); median survival after the staging operation 6.0 months; EUS-FNA before chemoradiation lowered the positive-staging rate to 15%.</w:t>
            </w:r>
          </w:p>
          <w:p>
            <w:pPr>
              <w:spacing w:after="0"/>
            </w:pPr>
            <w:r>
              <w:rPr>
                <w:b w:val="0"/>
                <w:i/>
                <w:sz w:val="19"/>
              </w:rPr>
              <w:t>Limits: Survival not reported by finding.</w:t>
            </w:r>
          </w:p>
          <w:p>
            <w:pPr>
              <w:spacing w:after="0"/>
            </w:pPr>
            <w:r>
              <w:rPr>
                <w:b w:val="0"/>
                <w:i w:val="0"/>
                <w:color w:val="5A6069"/>
                <w:sz w:val="18"/>
              </w:rPr>
              <w:t>Am J Clin Oncol 2016; Results (full text).</w:t>
            </w:r>
          </w:p>
        </w:tc>
      </w:tr>
      <w:tr>
        <w:trPr>
          <w:cantSplit/>
        </w:trPr>
        <w:tc>
          <w:tcPr>
            <w:tcW w:type="dxa" w:w="3360"/>
            <w:tcW w:w="2000" w:type="dxa"/>
            <w:shd w:val="clear" w:color="auto" w:fill="F1F5F8"/>
          </w:tcPr>
          <w:p>
            <w:pPr>
              <w:spacing w:after="0"/>
            </w:pPr>
            <w:r>
              <w:rPr>
                <w:b/>
                <w:i w:val="0"/>
                <w:sz w:val="19"/>
              </w:rPr>
              <w:t>AHPBA 2015 hilar CCA consensus</w:t>
            </w:r>
          </w:p>
        </w:tc>
        <w:tc>
          <w:tcPr>
            <w:tcW w:type="dxa" w:w="3360"/>
            <w:tcW w:w="3900" w:type="dxa"/>
            <w:shd w:val="clear" w:color="auto" w:fill="F1F5F8"/>
          </w:tcPr>
          <w:p>
            <w:pPr>
              <w:spacing w:after="0"/>
            </w:pPr>
            <w:r>
              <w:rPr>
                <w:b w:val="0"/>
                <w:i w:val="0"/>
                <w:sz w:val="19"/>
              </w:rPr>
              <w:t>AHPBA 2015 expert consensus on hilar cholangiocarcinoma. Suspicious regional nodes: EUS or laparoscopic FNA; transplant excluded with metastases; operative biopsy of hepatic artery and pericholedochal nodes.</w:t>
            </w:r>
          </w:p>
        </w:tc>
        <w:tc>
          <w:tcPr>
            <w:tcW w:type="dxa" w:w="3360"/>
            <w:tcW w:w="4180" w:type="dxa"/>
            <w:shd w:val="clear" w:color="auto" w:fill="F1F5F8"/>
          </w:tcPr>
          <w:p>
            <w:pPr>
              <w:spacing w:after="0"/>
            </w:pPr>
            <w:r>
              <w:rPr>
                <w:b w:val="0"/>
                <w:i w:val="0"/>
                <w:sz w:val="19"/>
              </w:rPr>
              <w:t>No outcome data.</w:t>
            </w:r>
          </w:p>
          <w:p>
            <w:pPr>
              <w:spacing w:after="0"/>
            </w:pPr>
            <w:r>
              <w:rPr>
                <w:b w:val="0"/>
                <w:i/>
                <w:sz w:val="19"/>
              </w:rPr>
              <w:t>Limits: Consensus from 2014.</w:t>
            </w:r>
          </w:p>
          <w:p>
            <w:pPr>
              <w:spacing w:after="0"/>
            </w:pPr>
            <w:r>
              <w:rPr>
                <w:b w:val="0"/>
                <w:i w:val="0"/>
                <w:color w:val="5A6069"/>
                <w:sz w:val="18"/>
              </w:rPr>
              <w:t>HPB 2015; transplant and staging sections (full text).</w:t>
            </w:r>
          </w:p>
        </w:tc>
      </w:tr>
      <w:tr>
        <w:trPr>
          <w:cantSplit/>
        </w:trPr>
        <w:tc>
          <w:tcPr>
            <w:tcW w:type="dxa" w:w="3360"/>
            <w:tcW w:w="2000" w:type="dxa"/>
            <w:shd w:val="clear" w:color="auto" w:fill="FFFFFF"/>
          </w:tcPr>
          <w:p>
            <w:pPr>
              <w:spacing w:after="0"/>
            </w:pPr>
            <w:r>
              <w:rPr>
                <w:b/>
                <w:i w:val="0"/>
                <w:sz w:val="19"/>
              </w:rPr>
              <w:t>Campbell 2026 · biliary cancer LT, single centre</w:t>
            </w:r>
          </w:p>
        </w:tc>
        <w:tc>
          <w:tcPr>
            <w:tcW w:type="dxa" w:w="3360"/>
            <w:tcW w:w="3900" w:type="dxa"/>
            <w:shd w:val="clear" w:color="auto" w:fill="FFFFFF"/>
          </w:tcPr>
          <w:p>
            <w:pPr>
              <w:spacing w:after="0"/>
            </w:pPr>
            <w:r>
              <w:rPr>
                <w:b w:val="0"/>
                <w:i w:val="0"/>
                <w:sz w:val="19"/>
              </w:rPr>
              <w:t>Single-centre series, 98 transplants for biliary cancers. Explant nodal status.</w:t>
            </w:r>
          </w:p>
        </w:tc>
        <w:tc>
          <w:tcPr>
            <w:tcW w:type="dxa" w:w="3360"/>
            <w:tcW w:w="4180" w:type="dxa"/>
            <w:shd w:val="clear" w:color="auto" w:fill="FFFFFF"/>
          </w:tcPr>
          <w:p>
            <w:pPr>
              <w:spacing w:after="0"/>
            </w:pPr>
            <w:r>
              <w:rPr>
                <w:b w:val="0"/>
                <w:i w:val="0"/>
                <w:sz w:val="19"/>
              </w:rPr>
              <w:t>Node positivity predicted recurrence (HR 3.27) but not overall survival (p=0.14); not significant in the intentional pCCA/iCCA subset (HR 2.48, p=0.17).</w:t>
            </w:r>
          </w:p>
          <w:p>
            <w:pPr>
              <w:spacing w:after="0"/>
            </w:pPr>
            <w:r>
              <w:rPr>
                <w:b w:val="0"/>
                <w:i/>
                <w:sz w:val="19"/>
              </w:rPr>
              <w:t>Limits: Mixed subtypes; nodes found on explant.</w:t>
            </w:r>
          </w:p>
          <w:p>
            <w:pPr>
              <w:spacing w:after="0"/>
            </w:pPr>
            <w:r>
              <w:rPr>
                <w:b w:val="0"/>
                <w:i w:val="0"/>
                <w:color w:val="5A6069"/>
                <w:sz w:val="18"/>
              </w:rPr>
              <w:t>Ann Surg Oncol 2026 (full text).</w:t>
            </w:r>
          </w:p>
        </w:tc>
      </w:tr>
    </w:tbl>
    <w:p>
      <w:pPr>
        <w:spacing w:after="40"/>
      </w:pPr>
    </w:p>
    <w:p>
      <w:pPr>
        <w:pStyle w:val="Heading3"/>
        <w:keepNext/>
        <w:spacing w:before="120" w:after="80"/>
      </w:pPr>
      <w:r>
        <w:rPr>
          <w:b w:val="0"/>
          <w:i w:val="0"/>
        </w:rPr>
        <w:t>Our proposed selection (OPEN)</w:t>
      </w:r>
    </w:p>
    <w:p>
      <w:pPr>
        <w:spacing w:after="80"/>
      </w:pPr>
      <w:r>
        <w:rPr>
          <w:b w:val="0"/>
          <w:i w:val="0"/>
        </w:rPr>
        <w:t>Keep size expansion, primary transperitoneal-biopsy exposure and cleared malignant nodes as three separate closed transplant strata. Distant or peritoneal metastasis, even after response, ends the transplant route.</w:t>
      </w:r>
    </w:p>
    <w:p>
      <w:pPr>
        <w:numPr>
          <w:ilvl w:val="0"/>
          <w:numId w:val="5"/>
        </w:numPr>
        <w:spacing w:after="40"/>
      </w:pPr>
      <w:r>
        <w:rPr>
          <w:b w:val="0"/>
          <w:i w:val="0"/>
        </w:rPr>
        <w:t>For the conventional standardized-exception mass criterion, retain a single mass &lt;3.0 cm in radial diameter. Exactly 3.0 cm is not rounded down; obtain central measurement review. Do not activate a 3–5 cm expansion.</w:t>
      </w:r>
    </w:p>
    <w:p>
      <w:pPr>
        <w:numPr>
          <w:ilvl w:val="0"/>
          <w:numId w:val="5"/>
        </w:numPr>
        <w:spacing w:after="40"/>
      </w:pPr>
      <w:r>
        <w:rPr>
          <w:b w:val="0"/>
          <w:i w:val="0"/>
        </w:rPr>
        <w:t>Exclude any prior transperitoneal primary-tumor biopsy exposure from the initial transplanting study. Record trajectory and whether pathology was positive, negative or nondiagnostic; this is a conservative selection rule, not proof of dissemination in every exposed patient.</w:t>
      </w:r>
    </w:p>
    <w:p>
      <w:pPr>
        <w:numPr>
          <w:ilvl w:val="0"/>
          <w:numId w:val="5"/>
        </w:numPr>
        <w:spacing w:after="40"/>
      </w:pPr>
      <w:r>
        <w:rPr>
          <w:b w:val="0"/>
          <w:i w:val="0"/>
        </w:rPr>
        <w:t>Exclude previously proven malignant nodes from the initial transplant cohort even after radiographic/pathologic clearance. Nodal EUS sampling that does not traverse the primary is distinct from primary-tumor biopsy. Do not combine these excluded categories in one expansion cohort.</w:t>
      </w:r>
    </w:p>
    <w:p>
      <w:pPr>
        <w:numPr>
          <w:ilvl w:val="0"/>
          <w:numId w:val="5"/>
        </w:numPr>
        <w:spacing w:after="40"/>
      </w:pPr>
      <w:r>
        <w:rPr>
          <w:b w:val="0"/>
          <w:i w:val="0"/>
        </w:rPr>
        <w:t>Distant or peritoneal metastasis, or nodal disease beyond the regional field, found at any time (including at operative staging) ends the transplant route for this protocol, even after response to chemoradiation or chemotherapy. There is no proposed stratum.</w:t>
      </w:r>
    </w:p>
    <w:p>
      <w:pPr>
        <w:spacing w:after="80"/>
      </w:pPr>
      <w:r>
        <w:rPr>
          <w:b/>
          <w:i w:val="0"/>
        </w:rPr>
        <w:t xml:space="preserve">Why: </w:t>
      </w:r>
      <w:r>
        <w:rPr>
          <w:b w:val="0"/>
          <w:i w:val="0"/>
        </w:rPr>
        <w:t>Size, biopsy exposure and nodal biology must remain separate. Larger-mass LT has directly unfavorable recurrence data. Biopsy evidence is conflicting across settings, so the mechanism is plausible and current policy is restrictive, but an inevitable-seeding claim is unjustified. No reviewed study validates a cleared-node rescue stratum. Imaging-negative nodes do not equal pathological clearance. Operative staging is where most of this disease is found: in the Mayo series, 36 of 199 patients left the protocol with metastases found at staging (regional nodes 14, intrahepatic 6, extrahepatic 16).</w:t>
      </w:r>
    </w:p>
    <w:p>
      <w:pPr>
        <w:spacing w:after="80"/>
      </w:pPr>
      <w:r>
        <w:rPr>
          <w:b/>
          <w:i w:val="0"/>
        </w:rPr>
        <w:t xml:space="preserve">Against, or uncertain: </w:t>
      </w:r>
      <w:r>
        <w:rPr>
          <w:b w:val="0"/>
          <w:i w:val="0"/>
        </w:rPr>
        <w:t>Aveson challenges a universal causal inference from Heimbach. Absence of PM in nine negative TP-FNA cases does not establish safety. Soliman's occult-node recipients do not validate deliberate nodal expansion. One prospective pilot admitted regional lymphadenopathy in locally advanced hilar and intrahepatic cholangiocarcinoma; five of 18 reached transplantation and one had an isolated portacaval nodal recurrence at 12 months. Whether the nodes were proven malignant is not reported in the abstract, and it cannot validate a cleared-node stratum. The exact 3.0-cm boundary is a current policy boundary, not a biological discontinuity proven by these studies.</w:t>
      </w:r>
    </w:p>
    <w:p>
      <w:pPr>
        <w:spacing w:after="80"/>
      </w:pPr>
      <w:r>
        <w:rPr>
          <w:b/>
          <w:i w:val="0"/>
        </w:rPr>
        <w:t xml:space="preserve">Certainty: </w:t>
      </w:r>
      <w:r>
        <w:rPr>
          <w:b w:val="0"/>
          <w:i w:val="0"/>
        </w:rPr>
        <w:t>Moderate confidence that conventional selection yields better observed outcomes; low certainty for causal effects of size and biopsy; very low/no direct evidence for a previously positive-node clearance pathway.</w:t>
      </w:r>
    </w:p>
    <w:p>
      <w:pPr>
        <w:spacing w:after="80"/>
      </w:pPr>
      <w:r>
        <w:rPr>
          <w:b/>
          <w:i w:val="0"/>
        </w:rPr>
        <w:t xml:space="preserve">Tests and records: </w:t>
      </w:r>
      <w:r>
        <w:rPr>
          <w:b w:val="0"/>
          <w:i w:val="0"/>
        </w:rPr>
        <w:t>Original MRI/MRCP or CT with perpendicular radial measurement; full biopsy reports/needle trajectory; node station and original pathology; operative staging plan; resection assessment. Record whether EUS sampled a regional node or traversed the primary mass, the route, pathology result and date. These are not equivalent exposures. Record any distant or peritoneal finding at staging with its pathology.</w:t>
      </w:r>
    </w:p>
    <w:p>
      <w:pPr>
        <w:spacing w:after="80"/>
      </w:pPr>
      <w:r>
        <w:rPr>
          <w:b/>
          <w:i w:val="0"/>
        </w:rPr>
        <w:t xml:space="preserve">Allocation: </w:t>
      </w:r>
      <w:r>
        <w:rPr>
          <w:b w:val="0"/>
          <w:i w:val="0"/>
        </w:rPr>
        <w:t>Clinical review, standardized exception eligibility and research expansion are separate. A favorable response or living donor does not erase the original size/biopsy/node history.</w:t>
      </w:r>
    </w:p>
    <w:p>
      <w:pPr>
        <w:spacing w:after="40"/>
      </w:pPr>
      <w:r>
        <w:rPr>
          <w:b/>
          <w:i w:val="0"/>
        </w:rPr>
        <w:t xml:space="preserve">Basis for the proposed thresholds: </w:t>
      </w:r>
    </w:p>
    <w:p>
      <w:pPr>
        <w:numPr>
          <w:ilvl w:val="0"/>
          <w:numId w:val="5"/>
        </w:numPr>
        <w:spacing w:after="40"/>
      </w:pPr>
      <w:r>
        <w:rPr>
          <w:b w:val="0"/>
          <w:i w:val="0"/>
        </w:rPr>
        <w:t>POLICY: OPTN 9.5. A specifies radial mass &lt; 3 cm, unresectability, NAT and staging; primary TP-biopsy must be avoided. STUDY: &gt;3 cm associated with lower RFS; positive TP-FNA associated with PM in a very small LT cohort. LOCAL: closing all prior-biopsy and cleared-node strata is a conservative first-study choice, not proof of universal futility.</w:t>
      </w:r>
    </w:p>
    <w:p>
      <w:pPr>
        <w:pStyle w:val="Heading3"/>
        <w:keepNext/>
        <w:spacing w:before="120" w:after="80"/>
      </w:pPr>
      <w:r>
        <w:rPr>
          <w:b w:val="0"/>
          <w:i w:val="0"/>
        </w:rPr>
        <w:t>pCCA-B1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pCCA-B2 — Resection remains a potentially curative option</w:t>
      </w:r>
    </w:p>
    <w:p>
      <w:pPr>
        <w:spacing w:after="80"/>
      </w:pPr>
      <w:r>
        <w:rPr>
          <w:b w:val="0"/>
          <w:i w:val="0"/>
          <w:color w:val="5A6069"/>
          <w:sz w:val="18"/>
        </w:rPr>
        <w:t>Review the standard treatment · not activated · High-risk review</w:t>
      </w:r>
    </w:p>
    <w:p>
      <w:pPr>
        <w:spacing w:after="80"/>
      </w:pPr>
      <w:r>
        <w:rPr>
          <w:b/>
          <w:i w:val="0"/>
        </w:rPr>
        <w:t xml:space="preserve">Question: </w:t>
      </w:r>
      <w:r>
        <w:rPr>
          <w:b w:val="0"/>
          <w:i w:val="0"/>
        </w:rPr>
        <w:t>When is resection a genuine competing curative option?</w:t>
      </w:r>
    </w:p>
    <w:p>
      <w:pPr>
        <w:spacing w:after="80"/>
      </w:pPr>
      <w:r>
        <w:rPr>
          <w:b/>
          <w:i w:val="0"/>
        </w:rPr>
        <w:t xml:space="preserve">When it applies: </w:t>
      </w:r>
      <w:r>
        <w:rPr>
          <w:b w:val="0"/>
          <w:i w:val="0"/>
        </w:rPr>
        <w:t>If complete resection may be feasible, compare it with the transplant strategy before entering a transplant study.</w:t>
      </w:r>
    </w:p>
    <w:p>
      <w:pPr>
        <w:spacing w:after="80"/>
      </w:pPr>
      <w:r>
        <w:rPr>
          <w:b/>
          <w:i w:val="0"/>
        </w:rPr>
        <w:t xml:space="preserve">Where it is decided: </w:t>
      </w:r>
      <w:hyperlink r:id="rId9">
        <w:r>
          <w:rPr>
            <w:color w:val="0563C1"/>
            <w:u w:val="single"/>
          </w:rPr>
          <w:t xml:space="preserve">Check protocol criteria</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Dong 2026 · resection versus LT</w:t>
            </w:r>
          </w:p>
        </w:tc>
        <w:tc>
          <w:tcPr>
            <w:tcW w:type="dxa" w:w="3360"/>
            <w:tcW w:w="5480" w:type="dxa"/>
            <w:shd w:val="clear" w:color="auto" w:fill="F1F5F8"/>
          </w:tcPr>
          <w:p>
            <w:pPr>
              <w:spacing w:after="0"/>
            </w:pPr>
            <w:r>
              <w:rPr>
                <w:b w:val="0"/>
                <w:i w:val="0"/>
                <w:sz w:val="19"/>
              </w:rPr>
              <w:t>“If the future liver remnant was insufficient, preoperative portal vein embolization was conducted to enhance hepatic reserve.” Resection optimization is part of the comparator, not a failure of transplant selection.</w:t>
            </w:r>
          </w:p>
        </w:tc>
        <w:tc>
          <w:tcPr>
            <w:tcW w:type="dxa" w:w="3360"/>
            <w:tcW w:w="2400" w:type="dxa"/>
            <w:shd w:val="clear" w:color="auto" w:fill="F1F5F8"/>
          </w:tcPr>
          <w:p>
            <w:pPr>
              <w:spacing w:after="0"/>
            </w:pPr>
            <w:r>
              <w:rPr>
                <w:b w:val="0"/>
                <w:i w:val="0"/>
                <w:color w:val="5A6069"/>
                <w:sz w:val="18"/>
              </w:rPr>
              <w:t>Published PDF p3 / journal p1130, institutional protocols</w:t>
            </w:r>
          </w:p>
        </w:tc>
      </w:tr>
      <w:tr>
        <w:trPr>
          <w:cantSplit/>
        </w:trPr>
        <w:tc>
          <w:tcPr>
            <w:tcW w:type="dxa" w:w="3360"/>
            <w:tcW w:w="2200" w:type="dxa"/>
            <w:shd w:val="clear" w:color="auto" w:fill="FFFFFF"/>
          </w:tcPr>
          <w:p>
            <w:pPr>
              <w:spacing w:after="0"/>
            </w:pPr>
            <w:r>
              <w:rPr>
                <w:b/>
                <w:i w:val="0"/>
                <w:sz w:val="19"/>
              </w:rPr>
              <w:t>Bilhim 2024</w:t>
            </w:r>
          </w:p>
        </w:tc>
        <w:tc>
          <w:tcPr>
            <w:tcW w:type="dxa" w:w="3360"/>
            <w:tcW w:w="5480" w:type="dxa"/>
            <w:shd w:val="clear" w:color="auto" w:fill="FFFFFF"/>
          </w:tcPr>
          <w:p>
            <w:pPr>
              <w:spacing w:after="0"/>
            </w:pPr>
            <w:r>
              <w:rPr>
                <w:b w:val="0"/>
                <w:i w:val="0"/>
                <w:sz w:val="19"/>
              </w:rPr>
              <w:t>“&gt;40% for cirrhotic or cholestatic livers” Specialist practice guidance supporting a planning target, not a guaranteed safety threshold.</w:t>
            </w:r>
          </w:p>
        </w:tc>
        <w:tc>
          <w:tcPr>
            <w:tcW w:type="dxa" w:w="3360"/>
            <w:tcW w:w="2400" w:type="dxa"/>
            <w:shd w:val="clear" w:color="auto" w:fill="FFFFFF"/>
          </w:tcPr>
          <w:p>
            <w:pPr>
              <w:spacing w:after="0"/>
            </w:pPr>
            <w:r>
              <w:rPr>
                <w:b w:val="0"/>
                <w:i w:val="0"/>
                <w:color w:val="5A6069"/>
                <w:sz w:val="18"/>
              </w:rPr>
              <w:t>CIRSE 2024, Table 2; spacing normalized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Dong 2026 · resection versus LT</w:t>
            </w:r>
          </w:p>
        </w:tc>
        <w:tc>
          <w:tcPr>
            <w:tcW w:type="dxa" w:w="3360"/>
            <w:tcW w:w="3900" w:type="dxa"/>
            <w:shd w:val="clear" w:color="auto" w:fill="F1F5F8"/>
          </w:tcPr>
          <w:p>
            <w:pPr>
              <w:spacing w:after="0"/>
            </w:pPr>
            <w:r>
              <w:rPr>
                <w:b w:val="0"/>
                <w:i w:val="0"/>
                <w:sz w:val="19"/>
              </w:rPr>
              <w:t>Single-center 1993–2023 de-novo pCCA; 288 intended resection (207 resected, 81 dropout) and 127 intended NAT/LT(75 LT, 52 dropout). Resection required attainable R 0 and sufficient FLR; PVE and vascular reconstruction were used. LT recipients were selected for unresectability and conventional tumor biology.</w:t>
            </w:r>
          </w:p>
        </w:tc>
        <w:tc>
          <w:tcPr>
            <w:tcW w:type="dxa" w:w="3360"/>
            <w:tcW w:w="4180" w:type="dxa"/>
            <w:shd w:val="clear" w:color="auto" w:fill="F1F5F8"/>
          </w:tcPr>
          <w:p>
            <w:pPr>
              <w:spacing w:after="0"/>
            </w:pPr>
            <w:r>
              <w:rPr>
                <w:b w:val="0"/>
                <w:i w:val="0"/>
                <w:sz w:val="19"/>
              </w:rPr>
              <w:t>As-treated median OS: LT 78 months, resection without vascular resection 58.2, with vascular resection 25.8; 5-year 58.6%, 49.6%, 26.7%. ITT median OS 38.5 months LT versus 31.7 resection (p=.19).</w:t>
            </w:r>
          </w:p>
          <w:p>
            <w:pPr>
              <w:spacing w:after="0"/>
            </w:pPr>
            <w:r>
              <w:rPr>
                <w:b w:val="0"/>
                <w:i/>
                <w:sz w:val="19"/>
              </w:rPr>
              <w:t>Limits: Not equivalence and not proof resection is superior. Historical era, selection and dropout differ. Methods measure LT time from NAT enrollment but resection time from surgery, so even ITT clocks are not perfectly aligned; as-treated LT percentages must not be called purely post-LT.</w:t>
            </w:r>
          </w:p>
          <w:p>
            <w:pPr>
              <w:spacing w:after="0"/>
            </w:pPr>
            <w:r>
              <w:rPr>
                <w:b w:val="0"/>
                <w:i w:val="0"/>
                <w:color w:val="5A6069"/>
                <w:sz w:val="18"/>
              </w:rPr>
              <w:t>Hepatology 2026; 1128–1140; Methods Statistics, Figure 1 and OS/ITT analyses; PDFpp 3–8.</w:t>
            </w:r>
          </w:p>
        </w:tc>
      </w:tr>
      <w:tr>
        <w:trPr>
          <w:cantSplit/>
        </w:trPr>
        <w:tc>
          <w:tcPr>
            <w:tcW w:type="dxa" w:w="3360"/>
            <w:tcW w:w="2000" w:type="dxa"/>
            <w:shd w:val="clear" w:color="auto" w:fill="FFFFFF"/>
          </w:tcPr>
          <w:p>
            <w:pPr>
              <w:spacing w:after="0"/>
            </w:pPr>
            <w:r>
              <w:rPr>
                <w:b/>
                <w:i w:val="0"/>
                <w:sz w:val="19"/>
              </w:rPr>
              <w:t>Ethun 2018</w:t>
            </w:r>
          </w:p>
        </w:tc>
        <w:tc>
          <w:tcPr>
            <w:tcW w:type="dxa" w:w="3360"/>
            <w:tcW w:w="3900" w:type="dxa"/>
            <w:shd w:val="clear" w:color="auto" w:fill="FFFFFF"/>
          </w:tcPr>
          <w:p>
            <w:pPr>
              <w:spacing w:after="0"/>
            </w:pPr>
            <w:r>
              <w:rPr>
                <w:b w:val="0"/>
                <w:i w:val="0"/>
                <w:sz w:val="19"/>
              </w:rPr>
              <w:t>Multicenter 2000–2015; 234 attempted resections and 70 entered LT protocols; 191 curative-intent resections and 41 confirmed-CCA LT in recipient analysis. LT patients were younger (52 vs 65), more often PSC(61% vs 2%), and more often treated with chemo/RT(98% vs 57%).</w:t>
            </w:r>
          </w:p>
        </w:tc>
        <w:tc>
          <w:tcPr>
            <w:tcW w:type="dxa" w:w="3360"/>
            <w:tcW w:w="4180" w:type="dxa"/>
            <w:shd w:val="clear" w:color="auto" w:fill="FFFFFF"/>
          </w:tcPr>
          <w:p>
            <w:pPr>
              <w:spacing w:after="0"/>
            </w:pPr>
            <w:r>
              <w:rPr>
                <w:b w:val="0"/>
                <w:i w:val="0"/>
                <w:sz w:val="19"/>
              </w:rPr>
              <w:t>Recipient 3-/5-year OS 72%/64% LT versus 33%/18% resection. Restricted non-PSC,&lt;3 cm, node-negative comparison favored LT at 5 years 54% vs 29%(p=.03); adjusted/restricted ITT comparison remained significant (p=.049).</w:t>
            </w:r>
          </w:p>
          <w:p>
            <w:pPr>
              <w:spacing w:after="0"/>
            </w:pPr>
            <w:r>
              <w:rPr>
                <w:b w:val="0"/>
                <w:i/>
                <w:sz w:val="19"/>
              </w:rPr>
              <w:t>Limits: Conflicting observational evidence versus Dong; major selection/era/therapy confounding. Exact ITT exclusions and time origin require full-PDF recheck; no unsupported ITT rate is reproduced here.</w:t>
            </w:r>
          </w:p>
          <w:p>
            <w:pPr>
              <w:spacing w:after="0"/>
            </w:pPr>
            <w:r>
              <w:rPr>
                <w:b w:val="0"/>
                <w:i w:val="0"/>
                <w:color w:val="5A6069"/>
                <w:sz w:val="18"/>
              </w:rPr>
              <w:t>Ann Surg 2018; 267: 797–805; primary abstract and indexed Results/Discussion.</w:t>
            </w:r>
          </w:p>
        </w:tc>
      </w:tr>
      <w:tr>
        <w:trPr>
          <w:cantSplit/>
        </w:trPr>
        <w:tc>
          <w:tcPr>
            <w:tcW w:type="dxa" w:w="3360"/>
            <w:tcW w:w="2000" w:type="dxa"/>
            <w:shd w:val="clear" w:color="auto" w:fill="F1F5F8"/>
          </w:tcPr>
          <w:p>
            <w:pPr>
              <w:spacing w:after="0"/>
            </w:pPr>
            <w:r>
              <w:rPr>
                <w:b/>
                <w:i w:val="0"/>
                <w:sz w:val="19"/>
              </w:rPr>
              <w:t>Vugts 2021</w:t>
            </w:r>
          </w:p>
        </w:tc>
        <w:tc>
          <w:tcPr>
            <w:tcW w:type="dxa" w:w="3360"/>
            <w:tcW w:w="3900" w:type="dxa"/>
            <w:shd w:val="clear" w:color="auto" w:fill="F1F5F8"/>
          </w:tcPr>
          <w:p>
            <w:pPr>
              <w:spacing w:after="0"/>
            </w:pPr>
            <w:r>
              <w:rPr>
                <w:b w:val="0"/>
                <w:i w:val="0"/>
                <w:sz w:val="19"/>
              </w:rPr>
              <w:t>732 consecutive Dutch pCCA presentations 2002–2014; retrospective application of Mayo eligibility. Only 34(5%) potentially LT-eligible after resection/biology/fitness/age screening; not an LT-treated cohort.</w:t>
            </w:r>
          </w:p>
        </w:tc>
        <w:tc>
          <w:tcPr>
            <w:tcW w:type="dxa" w:w="3360"/>
            <w:tcW w:w="4180" w:type="dxa"/>
            <w:shd w:val="clear" w:color="auto" w:fill="F1F5F8"/>
          </w:tcPr>
          <w:p>
            <w:pPr>
              <w:spacing w:after="0"/>
            </w:pPr>
            <w:r>
              <w:rPr>
                <w:b w:val="0"/>
                <w:i w:val="0"/>
                <w:sz w:val="19"/>
              </w:rPr>
              <w:t>Without LT, median survival 13 months (95% CI 3–23) from diagnosis/presentation. This shows unmet need among unresectable selected patients, not benefit over R 0 resection.</w:t>
            </w:r>
          </w:p>
          <w:p>
            <w:pPr>
              <w:spacing w:after="0"/>
            </w:pPr>
            <w:r>
              <w:rPr>
                <w:b w:val="0"/>
                <w:i/>
                <w:sz w:val="19"/>
              </w:rPr>
              <w:t>Limits: Historical non-LT care; no matched LT comparator, suspected/confirmed nodes pooled and infection criterion incompletely reconstructible. Abstract 24 PSC versus body 29 PSC inconsistency is irrelevant to the decision and not propagated.</w:t>
            </w:r>
          </w:p>
          <w:p>
            <w:pPr>
              <w:spacing w:after="0"/>
            </w:pPr>
            <w:r>
              <w:rPr>
                <w:b w:val="0"/>
                <w:i w:val="0"/>
                <w:color w:val="5A6069"/>
                <w:sz w:val="18"/>
              </w:rPr>
              <w:t>Ann Surg Oncol 2021; 28: 1483–1492; Methods Eligibility/Statistical Analyses and Results; complete 10-pagePDF.</w:t>
            </w:r>
          </w:p>
        </w:tc>
      </w:tr>
      <w:tr>
        <w:trPr>
          <w:cantSplit/>
        </w:trPr>
        <w:tc>
          <w:tcPr>
            <w:tcW w:type="dxa" w:w="3360"/>
            <w:tcW w:w="2000" w:type="dxa"/>
            <w:shd w:val="clear" w:color="auto" w:fill="FFFFFF"/>
          </w:tcPr>
          <w:p>
            <w:pPr>
              <w:spacing w:after="0"/>
            </w:pPr>
            <w:r>
              <w:rPr>
                <w:b/>
                <w:i w:val="0"/>
                <w:sz w:val="19"/>
              </w:rPr>
              <w:t>Olthof 2020</w:t>
            </w:r>
          </w:p>
        </w:tc>
        <w:tc>
          <w:tcPr>
            <w:tcW w:type="dxa" w:w="3360"/>
            <w:tcW w:w="3900" w:type="dxa"/>
            <w:shd w:val="clear" w:color="auto" w:fill="FFFFFF"/>
          </w:tcPr>
          <w:p>
            <w:pPr>
              <w:spacing w:after="0"/>
            </w:pPr>
            <w:r>
              <w:rPr>
                <w:b w:val="0"/>
                <w:i w:val="0"/>
                <w:sz w:val="19"/>
              </w:rPr>
              <w:t>20-center retrospective 1667 patients; 1484 combined liver/bile-duct resections analyzed; 298 PVE. Complete-data propensity analysis 98 PVE versus 98 controls. High-risk major resections; exploration-only and LT excluded.</w:t>
            </w:r>
          </w:p>
        </w:tc>
        <w:tc>
          <w:tcPr>
            <w:tcW w:type="dxa" w:w="3360"/>
            <w:tcW w:w="4180" w:type="dxa"/>
            <w:shd w:val="clear" w:color="auto" w:fill="FFFFFF"/>
          </w:tcPr>
          <w:p>
            <w:pPr>
              <w:spacing w:after="0"/>
            </w:pPr>
            <w:r>
              <w:rPr>
                <w:b w:val="0"/>
                <w:i w:val="0"/>
                <w:sz w:val="19"/>
              </w:rPr>
              <w:t>Matched PVE versus noPVE: ISGLS B/C liver failure 8% vs 36%; 90-day mortality 7% vs 18%; bile leak 10% vs 35%. Median remnant-volume gain 42% after 22 days.</w:t>
            </w:r>
          </w:p>
          <w:p>
            <w:pPr>
              <w:spacing w:after="0"/>
            </w:pPr>
            <w:r>
              <w:rPr>
                <w:b w:val="0"/>
                <w:i/>
                <w:sz w:val="19"/>
              </w:rPr>
              <w:t>Limits: Unmatched outcomes were worse in PVE patients because they were higher risk. Matching omits unmeasured confounding and excludes missing volumetry; does not prove one FLR cutoff. Operated-only denominator omits patients failing to reach surgery.</w:t>
            </w:r>
          </w:p>
          <w:p>
            <w:pPr>
              <w:spacing w:after="0"/>
            </w:pPr>
            <w:r>
              <w:rPr>
                <w:b w:val="0"/>
                <w:i w:val="0"/>
                <w:color w:val="5A6069"/>
                <w:sz w:val="18"/>
              </w:rPr>
              <w:t>Ann Surg Oncol 2020; 27: 2311–2318; Methods, Matched Cohort and Table 3; complete 8-pagePDF.</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287 NAT/LT entrants across 12 US centers; 214 transplanted. Localized unresectable or PSC-associated disease, not a trial in patients eligible for both R 0 resection and LT.</w:t>
            </w:r>
          </w:p>
        </w:tc>
        <w:tc>
          <w:tcPr>
            <w:tcW w:type="dxa" w:w="3360"/>
            <w:tcW w:w="4180" w:type="dxa"/>
            <w:shd w:val="clear" w:color="auto" w:fill="F1F5F8"/>
          </w:tcPr>
          <w:p>
            <w:pPr>
              <w:spacing w:after="0"/>
            </w:pPr>
            <w:r>
              <w:rPr>
                <w:b w:val="0"/>
                <w:i w:val="0"/>
                <w:sz w:val="19"/>
              </w:rPr>
              <w:t>5-year pathway-entry OS 53% and post-LT RFS 65% are useful feasibility benchmarks, but answer a different question from randomized LT-versus-resection benefit.</w:t>
            </w:r>
          </w:p>
          <w:p>
            <w:pPr>
              <w:spacing w:after="0"/>
            </w:pPr>
            <w:r>
              <w:rPr>
                <w:b w:val="0"/>
                <w:i/>
                <w:sz w:val="19"/>
              </w:rPr>
              <w:t>Limits: Substantial overlap with Mayo comparisons; do not count as an independent comparative test.</w:t>
            </w:r>
          </w:p>
          <w:p>
            <w:pPr>
              <w:spacing w:after="0"/>
            </w:pPr>
            <w:r>
              <w:rPr>
                <w:b w:val="0"/>
                <w:i w:val="0"/>
                <w:color w:val="5A6069"/>
                <w:sz w:val="18"/>
              </w:rPr>
              <w:t>Gastroenterology 2012; Results and survival figures; full PDF.</w:t>
            </w:r>
          </w:p>
        </w:tc>
      </w:tr>
    </w:tbl>
    <w:p>
      <w:pPr>
        <w:spacing w:after="40"/>
      </w:pPr>
    </w:p>
    <w:p>
      <w:pPr>
        <w:pStyle w:val="Heading3"/>
        <w:keepNext/>
        <w:spacing w:before="120" w:after="80"/>
      </w:pPr>
      <w:r>
        <w:rPr>
          <w:b w:val="0"/>
          <w:i w:val="0"/>
        </w:rPr>
        <w:t>Our proposed selection (OPEN)</w:t>
      </w:r>
    </w:p>
    <w:p>
      <w:pPr>
        <w:spacing w:after="80"/>
      </w:pPr>
      <w:r>
        <w:rPr>
          <w:b w:val="0"/>
          <w:i w:val="0"/>
        </w:rPr>
        <w:t>Use resection first when an R0 operation and an adequate functional remnant are feasible.</w:t>
      </w:r>
    </w:p>
    <w:p>
      <w:pPr>
        <w:numPr>
          <w:ilvl w:val="0"/>
          <w:numId w:val="5"/>
        </w:numPr>
        <w:spacing w:after="40"/>
      </w:pPr>
      <w:r>
        <w:rPr>
          <w:b w:val="0"/>
          <w:i w:val="0"/>
        </w:rPr>
        <w:t>Proposed planning target for cholestatic/cirrhotic liver: FLR/TLV &gt;40%, combined with function, drainage and infection assessment. Volume alone never establishes operative safety; 40% is not an OPTN requirement.</w:t>
      </w:r>
    </w:p>
    <w:p>
      <w:pPr>
        <w:numPr>
          <w:ilvl w:val="0"/>
          <w:numId w:val="5"/>
        </w:numPr>
        <w:spacing w:after="40"/>
      </w:pPr>
      <w:r>
        <w:rPr>
          <w:b w:val="0"/>
          <w:i w:val="0"/>
        </w:rPr>
        <w:t>If insufficient remnant is the only barrier, assess selective drainage and augmentation/PVE; reassess remnant volume and function about 2–4 weeks after PVE. Vascular reconstruction or PVE need alone does not prove unresectability.</w:t>
      </w:r>
    </w:p>
    <w:p>
      <w:pPr>
        <w:numPr>
          <w:ilvl w:val="0"/>
          <w:numId w:val="5"/>
        </w:numPr>
        <w:spacing w:after="40"/>
      </w:pPr>
      <w:r>
        <w:rPr>
          <w:b w:val="0"/>
          <w:i w:val="0"/>
        </w:rPr>
        <w:t>Return to LT eligibility review only if an R0 resection remains infeasible or unsafe after reasonable optimization. Do not transplant otherwise resectable de novo pCCA outside a specifically approved comparative study.</w:t>
      </w:r>
    </w:p>
    <w:p>
      <w:pPr>
        <w:spacing w:after="80"/>
      </w:pPr>
      <w:r>
        <w:rPr>
          <w:b/>
          <w:i w:val="0"/>
        </w:rPr>
        <w:t xml:space="preserve">Why: </w:t>
      </w:r>
      <w:r>
        <w:rPr>
          <w:b w:val="0"/>
          <w:i w:val="0"/>
        </w:rPr>
        <w:t>Evidence supports LT as a serious option for carefully selected unresectable pCCA. It does not resolve LT versus feasible optimized R 0 resection. Ethun favors LT even after restricted ITT analysis, whereas Dong loses statistical advantage when dropout is counted. Neither randomization nor comparable entry clocks remove the confounding. PVE can materially change the surgical risk assessment.</w:t>
      </w:r>
    </w:p>
    <w:p>
      <w:pPr>
        <w:spacing w:after="80"/>
      </w:pPr>
      <w:r>
        <w:rPr>
          <w:b/>
          <w:i w:val="0"/>
        </w:rPr>
        <w:t xml:space="preserve">Against, or uncertain: </w:t>
      </w:r>
      <w:r>
        <w:rPr>
          <w:b w:val="0"/>
          <w:i w:val="0"/>
        </w:rPr>
        <w:t>Do not cite Dong's nonsignificant ITT p-value as equivalence or proof that resection must always be better. Conversely, recipient-only LT survival cannot erase donor opportunity cost, NAT dropout and wait-list hazards. Reconstructible vascular involvement or a correctable small FLR alone is not proof of permanent unresectability.</w:t>
      </w:r>
    </w:p>
    <w:p>
      <w:pPr>
        <w:spacing w:after="80"/>
      </w:pPr>
      <w:r>
        <w:rPr>
          <w:b/>
          <w:i w:val="0"/>
        </w:rPr>
        <w:t xml:space="preserve">Certainty: </w:t>
      </w:r>
      <w:r>
        <w:rPr>
          <w:b w:val="0"/>
          <w:i w:val="0"/>
        </w:rPr>
        <w:t>Low comparative certainty; stronger but still nonrandomized evidence for FLR optimization before declaring resection unsafe.</w:t>
      </w:r>
    </w:p>
    <w:p>
      <w:pPr>
        <w:spacing w:after="80"/>
      </w:pPr>
      <w:r>
        <w:rPr>
          <w:b/>
          <w:i w:val="0"/>
        </w:rPr>
        <w:t xml:space="preserve">Tests and records: </w:t>
      </w:r>
      <w:r>
        <w:rPr>
          <w:b w:val="0"/>
          <w:i w:val="0"/>
        </w:rPr>
        <w:t>Two specialist HPB/transplant reviews; vascular/ductal map; CT volumetry; functional assessment where available; cholangitis/drainage status; PVE response and reconstruction plan.</w:t>
      </w:r>
    </w:p>
    <w:p>
      <w:pPr>
        <w:spacing w:after="80"/>
      </w:pPr>
      <w:r>
        <w:rPr>
          <w:b/>
          <w:i w:val="0"/>
        </w:rPr>
        <w:t xml:space="preserve">Allocation: </w:t>
      </w:r>
      <w:r>
        <w:rPr>
          <w:b w:val="0"/>
          <w:i w:val="0"/>
        </w:rPr>
        <w:t>Policy 9.5.A requires unresectability from technical considerations or underlying liver disease; comparative recipient survival alone does not satisfy this requirement.</w:t>
      </w:r>
    </w:p>
    <w:p>
      <w:pPr>
        <w:spacing w:after="40"/>
      </w:pPr>
      <w:r>
        <w:rPr>
          <w:b/>
          <w:i w:val="0"/>
        </w:rPr>
        <w:t xml:space="preserve">Basis for the proposed thresholds: </w:t>
      </w:r>
    </w:p>
    <w:p>
      <w:pPr>
        <w:numPr>
          <w:ilvl w:val="0"/>
          <w:numId w:val="5"/>
        </w:numPr>
        <w:spacing w:after="40"/>
      </w:pPr>
      <w:r>
        <w:rPr>
          <w:b w:val="0"/>
          <w:i w:val="0"/>
        </w:rPr>
        <w:t>POLICY: standardized pCCA exception requires unresectability or underlying liver disease. STUDY: PVE growth was assessed at median 22 days in the matched study; comparisons remain observational. GUIDANCE: CIRSE supports higher remnant targets in cholestatic/cirrhotic liver. LOCAL: &gt;40% planning target, reassessment 2–4 weeks and required expert review are workflow proposals; inadequate function/infection can prevent surgery despite adequate volume.</w:t>
      </w:r>
    </w:p>
    <w:p>
      <w:pPr>
        <w:pStyle w:val="Heading3"/>
        <w:keepNext/>
        <w:spacing w:before="120" w:after="80"/>
      </w:pPr>
      <w:r>
        <w:rPr>
          <w:b w:val="0"/>
          <w:i w:val="0"/>
        </w:rPr>
        <w:t>pCCA-B2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pCCA-B3 — Alternative treatment before transplantation</w:t>
      </w:r>
    </w:p>
    <w:p>
      <w:pPr>
        <w:spacing w:after="80"/>
      </w:pPr>
      <w:r>
        <w:rPr>
          <w:b w:val="0"/>
          <w:i w:val="0"/>
          <w:color w:val="5A6069"/>
          <w:sz w:val="18"/>
        </w:rPr>
        <w:t>Alternative regimens not activated · not activated · High-risk review</w:t>
      </w:r>
    </w:p>
    <w:p>
      <w:pPr>
        <w:spacing w:after="80"/>
      </w:pPr>
      <w:r>
        <w:rPr>
          <w:b/>
          <w:i w:val="0"/>
        </w:rPr>
        <w:t xml:space="preserve">Question: </w:t>
      </w:r>
      <w:r>
        <w:rPr>
          <w:b w:val="0"/>
          <w:i w:val="0"/>
        </w:rPr>
        <w:t>May a non-Mayo neoadjuvant regimen replace the conventional program?</w:t>
      </w:r>
    </w:p>
    <w:p>
      <w:pPr>
        <w:spacing w:after="80"/>
      </w:pPr>
      <w:r>
        <w:rPr>
          <w:b/>
          <w:i w:val="0"/>
        </w:rPr>
        <w:t xml:space="preserve">When it applies: </w:t>
      </w:r>
      <w:r>
        <w:rPr>
          <w:b w:val="0"/>
          <w:i w:val="0"/>
        </w:rPr>
        <w:t>Alternative neoadjuvant regimens require their own approval and cannot be substituted into the standard protocol automatically.</w:t>
      </w:r>
    </w:p>
    <w:p>
      <w:pPr>
        <w:spacing w:after="80"/>
      </w:pPr>
      <w:r>
        <w:rPr>
          <w:b/>
          <w:i w:val="0"/>
        </w:rPr>
        <w:t xml:space="preserve">Where it is decided: </w:t>
      </w:r>
      <w:hyperlink r:id="rId13">
        <w:r>
          <w:rPr>
            <w:color w:val="0563C1"/>
            <w:u w:val="single"/>
          </w:rPr>
          <w:t xml:space="preserve">Deliver approved neoadjuvant therapy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Welling 2014 · SBRT</w:t>
            </w:r>
          </w:p>
        </w:tc>
        <w:tc>
          <w:tcPr>
            <w:tcW w:type="dxa" w:w="3360"/>
            <w:tcW w:w="5480" w:type="dxa"/>
            <w:shd w:val="clear" w:color="auto" w:fill="F1F5F8"/>
          </w:tcPr>
          <w:p>
            <w:pPr>
              <w:spacing w:after="0"/>
            </w:pPr>
            <w:r>
              <w:rPr>
                <w:b w:val="0"/>
                <w:i w:val="0"/>
                <w:sz w:val="19"/>
              </w:rPr>
              <w:t>“treated with SBRT (50–60 Gy, 3–5 fractions over two weeks)” Small pilot experience supports study development, not noninferiority or interchangeability.</w:t>
            </w:r>
          </w:p>
        </w:tc>
        <w:tc>
          <w:tcPr>
            <w:tcW w:type="dxa" w:w="3360"/>
            <w:tcW w:w="2400" w:type="dxa"/>
            <w:shd w:val="clear" w:color="auto" w:fill="F1F5F8"/>
          </w:tcPr>
          <w:p>
            <w:pPr>
              <w:spacing w:after="0"/>
            </w:pPr>
            <w:r>
              <w:rPr>
                <w:b w:val="0"/>
                <w:i w:val="0"/>
                <w:color w:val="5A6069"/>
                <w:sz w:val="18"/>
              </w:rPr>
              <w:t>Published PDF p1 abstract; protocol details p3</w:t>
            </w:r>
          </w:p>
        </w:tc>
      </w:tr>
      <w:tr>
        <w:trPr>
          <w:cantSplit/>
        </w:trPr>
        <w:tc>
          <w:tcPr>
            <w:tcW w:type="dxa" w:w="3360"/>
            <w:tcW w:w="2200" w:type="dxa"/>
            <w:shd w:val="clear" w:color="auto" w:fill="FFFFFF"/>
          </w:tcPr>
          <w:p>
            <w:pPr>
              <w:spacing w:after="0"/>
            </w:pPr>
            <w:r>
              <w:rPr>
                <w:b/>
                <w:i w:val="0"/>
                <w:sz w:val="19"/>
              </w:rPr>
              <w:t>Hoogwater 2023 · radiation</w:t>
            </w:r>
          </w:p>
        </w:tc>
        <w:tc>
          <w:tcPr>
            <w:tcW w:type="dxa" w:w="3360"/>
            <w:tcW w:w="5480" w:type="dxa"/>
            <w:shd w:val="clear" w:color="auto" w:fill="FFFFFF"/>
          </w:tcPr>
          <w:p>
            <w:pPr>
              <w:spacing w:after="0"/>
            </w:pPr>
            <w:r>
              <w:rPr>
                <w:b w:val="0"/>
                <w:i w:val="0"/>
                <w:sz w:val="19"/>
              </w:rPr>
              <w:t>“associated with a higher rate of early hepatic vascular complications” The recurrence signal must be weighed against vascular/graft harm; observational comparison is confounded.</w:t>
            </w:r>
          </w:p>
        </w:tc>
        <w:tc>
          <w:tcPr>
            <w:tcW w:type="dxa" w:w="3360"/>
            <w:tcW w:w="2400" w:type="dxa"/>
            <w:shd w:val="clear" w:color="auto" w:fill="FFFFFF"/>
          </w:tcPr>
          <w:p>
            <w:pPr>
              <w:spacing w:after="0"/>
            </w:pPr>
            <w:r>
              <w:rPr>
                <w:b w:val="0"/>
                <w:i w:val="0"/>
                <w:color w:val="5A6069"/>
                <w:sz w:val="18"/>
              </w:rPr>
              <w:t>Published PDF p1, abstract Conclusion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Darwish Murad 2012</w:t>
            </w:r>
          </w:p>
        </w:tc>
        <w:tc>
          <w:tcPr>
            <w:tcW w:type="dxa" w:w="3360"/>
            <w:tcW w:w="3900" w:type="dxa"/>
            <w:shd w:val="clear" w:color="auto" w:fill="F1F5F8"/>
          </w:tcPr>
          <w:p>
            <w:pPr>
              <w:spacing w:after="0"/>
            </w:pPr>
            <w:r>
              <w:rPr>
                <w:b w:val="0"/>
                <w:i w:val="0"/>
                <w:sz w:val="19"/>
              </w:rPr>
              <w:t>287 entrants/214 LT across 12 US centers. Localized unresectable/PSC-associated pCCA; 99% EBRT, 98% fluoropyrimidine, 75% brachytherapy.</w:t>
            </w:r>
          </w:p>
        </w:tc>
        <w:tc>
          <w:tcPr>
            <w:tcW w:type="dxa" w:w="3360"/>
            <w:tcW w:w="4180" w:type="dxa"/>
            <w:shd w:val="clear" w:color="auto" w:fill="F1F5F8"/>
          </w:tcPr>
          <w:p>
            <w:pPr>
              <w:spacing w:after="0"/>
            </w:pPr>
            <w:r>
              <w:rPr>
                <w:b w:val="0"/>
                <w:i w:val="0"/>
                <w:sz w:val="19"/>
              </w:rPr>
              <w:t>5-year entry OS 53%; post-LT RFS 65%. No clear RFS difference by brachytherapy receipt was detected.</w:t>
            </w:r>
          </w:p>
          <w:p>
            <w:pPr>
              <w:spacing w:after="0"/>
            </w:pPr>
            <w:r>
              <w:rPr>
                <w:b w:val="0"/>
                <w:i/>
                <w:sz w:val="19"/>
              </w:rPr>
              <w:t>Limits: Strongest mature multi-center pathway benchmark, but no randomized regimen comparison; lack of detected brachytherapy effect does not establish interchangeability.</w:t>
            </w:r>
          </w:p>
          <w:p>
            <w:pPr>
              <w:spacing w:after="0"/>
            </w:pPr>
            <w:r>
              <w:rPr>
                <w:b w:val="0"/>
                <w:i w:val="0"/>
                <w:color w:val="5A6069"/>
                <w:sz w:val="18"/>
              </w:rPr>
              <w:t>Gastroenterology 2012; Treatment Characteristics and Outcomes; full PDF.</w:t>
            </w:r>
          </w:p>
        </w:tc>
      </w:tr>
      <w:tr>
        <w:trPr>
          <w:cantSplit/>
        </w:trPr>
        <w:tc>
          <w:tcPr>
            <w:tcW w:type="dxa" w:w="3360"/>
            <w:tcW w:w="2000" w:type="dxa"/>
            <w:shd w:val="clear" w:color="auto" w:fill="FFFFFF"/>
          </w:tcPr>
          <w:p>
            <w:pPr>
              <w:spacing w:after="0"/>
            </w:pPr>
            <w:r>
              <w:rPr>
                <w:b/>
                <w:i w:val="0"/>
                <w:sz w:val="19"/>
              </w:rPr>
              <w:t>Welling 2014 · SBRT</w:t>
            </w:r>
          </w:p>
        </w:tc>
        <w:tc>
          <w:tcPr>
            <w:tcW w:type="dxa" w:w="3360"/>
            <w:tcW w:w="3900" w:type="dxa"/>
            <w:shd w:val="clear" w:color="auto" w:fill="FFFFFF"/>
          </w:tcPr>
          <w:p>
            <w:pPr>
              <w:spacing w:after="0"/>
            </w:pPr>
            <w:r>
              <w:rPr>
                <w:b w:val="0"/>
                <w:i w:val="0"/>
                <w:sz w:val="19"/>
              </w:rPr>
              <w:t>Single-center pilot; 17 evaluated, 12 NAT, 9 listed, 6 LT. Unresectable localized pCCA under historical conventional size/staging criteria.</w:t>
            </w:r>
          </w:p>
        </w:tc>
        <w:tc>
          <w:tcPr>
            <w:tcW w:type="dxa" w:w="3360"/>
            <w:tcW w:w="4180" w:type="dxa"/>
            <w:shd w:val="clear" w:color="auto" w:fill="FFFFFF"/>
          </w:tcPr>
          <w:p>
            <w:pPr>
              <w:spacing w:after="0"/>
            </w:pPr>
            <w:r>
              <w:rPr>
                <w:b w:val="0"/>
                <w:i w:val="0"/>
                <w:sz w:val="19"/>
              </w:rPr>
              <w:t>SBRT 50–60 Gy in 3–5 fractions over 2 weeks, followed by capecitabine; 6 LT with 1-year OS 83%.35 pre-LT adverse events and 11 post-LT complications were reported.</w:t>
            </w:r>
          </w:p>
          <w:p>
            <w:pPr>
              <w:spacing w:after="0"/>
            </w:pPr>
            <w:r>
              <w:rPr>
                <w:b w:val="0"/>
                <w:i/>
                <w:sz w:val="19"/>
              </w:rPr>
              <w:t>Limits: Very small feasibility cohort, short oncologic follow-up, no randomized comparator. Regimen is a study description, not a universal radiation prescription or proof SBRT is the preferred alternative.</w:t>
            </w:r>
          </w:p>
          <w:p>
            <w:pPr>
              <w:spacing w:after="0"/>
            </w:pPr>
            <w:r>
              <w:rPr>
                <w:b w:val="0"/>
                <w:i w:val="0"/>
                <w:color w:val="5A6069"/>
                <w:sz w:val="18"/>
              </w:rPr>
              <w:t>Liver Transpl 2014; 20: 81–88; Methods, patient flow and adverse-event tables; local PDF.</w:t>
            </w:r>
          </w:p>
        </w:tc>
      </w:tr>
      <w:tr>
        <w:trPr>
          <w:cantSplit/>
        </w:trPr>
        <w:tc>
          <w:tcPr>
            <w:tcW w:type="dxa" w:w="3360"/>
            <w:tcW w:w="2000" w:type="dxa"/>
            <w:shd w:val="clear" w:color="auto" w:fill="F1F5F8"/>
          </w:tcPr>
          <w:p>
            <w:pPr>
              <w:spacing w:after="0"/>
            </w:pPr>
            <w:r>
              <w:rPr>
                <w:b/>
                <w:i w:val="0"/>
                <w:sz w:val="19"/>
              </w:rPr>
              <w:t>Soliman 2025 · GemCis</w:t>
            </w:r>
          </w:p>
        </w:tc>
        <w:tc>
          <w:tcPr>
            <w:tcW w:type="dxa" w:w="3360"/>
            <w:tcW w:w="3900" w:type="dxa"/>
            <w:shd w:val="clear" w:color="auto" w:fill="F1F5F8"/>
          </w:tcPr>
          <w:p>
            <w:pPr>
              <w:spacing w:after="0"/>
            </w:pPr>
            <w:r>
              <w:rPr>
                <w:b w:val="0"/>
                <w:i w:val="0"/>
                <w:sz w:val="19"/>
              </w:rPr>
              <w:t>Recipient-only retrospective 2008–2023; 26 analyzed LT, 12 GemCis-only, 14 RT-based including six also receiving GemCis. Localized radiologically eligible pCCA; known metastatic disease excluded.</w:t>
            </w:r>
          </w:p>
        </w:tc>
        <w:tc>
          <w:tcPr>
            <w:tcW w:type="dxa" w:w="3360"/>
            <w:tcW w:w="4180" w:type="dxa"/>
            <w:shd w:val="clear" w:color="auto" w:fill="F1F5F8"/>
          </w:tcPr>
          <w:p>
            <w:pPr>
              <w:spacing w:after="0"/>
            </w:pPr>
            <w:r>
              <w:rPr>
                <w:b w:val="0"/>
                <w:i w:val="0"/>
                <w:sz w:val="19"/>
              </w:rPr>
              <w:t>Main-text 1-/3-year OS 83.0%/52.3%; 9/26 recurrences; 1-/3-year RFS 77.8%/59.0%. No statistically significant OS or explant-response difference between treatment strata; RT had more operative blood-loss/transfusion signals.</w:t>
            </w:r>
          </w:p>
          <w:p>
            <w:pPr>
              <w:spacing w:after="0"/>
            </w:pPr>
            <w:r>
              <w:rPr>
                <w:b w:val="0"/>
                <w:i/>
                <w:sz w:val="19"/>
              </w:rPr>
              <w:t>Limits: No pretreatment denominator or differential dropout data; small nonrandom groups, era/selection confounding and occult nodal disease. Supports studying omission, not equivalence. Use main-text values rather than abstract 84%/55%.</w:t>
            </w:r>
          </w:p>
          <w:p>
            <w:pPr>
              <w:spacing w:after="0"/>
            </w:pPr>
            <w:r>
              <w:rPr>
                <w:b w:val="0"/>
                <w:i w:val="0"/>
                <w:color w:val="5A6069"/>
                <w:sz w:val="18"/>
              </w:rPr>
              <w:t>Transplant Direct 2025; 11: e 1760; Tables 1–4, Figure 2, Discussion; full PDF.</w:t>
            </w:r>
          </w:p>
        </w:tc>
      </w:tr>
      <w:tr>
        <w:trPr>
          <w:cantSplit/>
        </w:trPr>
        <w:tc>
          <w:tcPr>
            <w:tcW w:type="dxa" w:w="3360"/>
            <w:tcW w:w="2000" w:type="dxa"/>
            <w:shd w:val="clear" w:color="auto" w:fill="FFFFFF"/>
          </w:tcPr>
          <w:p>
            <w:pPr>
              <w:spacing w:after="0"/>
            </w:pPr>
            <w:r>
              <w:rPr>
                <w:b/>
                <w:i w:val="0"/>
                <w:sz w:val="19"/>
              </w:rPr>
              <w:t>Hoogwater 2023 · radiation</w:t>
            </w:r>
          </w:p>
        </w:tc>
        <w:tc>
          <w:tcPr>
            <w:tcW w:type="dxa" w:w="3360"/>
            <w:tcW w:w="3900" w:type="dxa"/>
            <w:shd w:val="clear" w:color="auto" w:fill="FFFFFF"/>
          </w:tcPr>
          <w:p>
            <w:pPr>
              <w:spacing w:after="0"/>
            </w:pPr>
            <w:r>
              <w:rPr>
                <w:b w:val="0"/>
                <w:i w:val="0"/>
                <w:sz w:val="19"/>
              </w:rPr>
              <w:t>Multicenter 2011–2020; 49 LT, 27 with NAT, 22 without. Similar broad transplant selection but nonrandom center-specific NAT and PSC distributions.</w:t>
            </w:r>
          </w:p>
        </w:tc>
        <w:tc>
          <w:tcPr>
            <w:tcW w:type="dxa" w:w="3360"/>
            <w:tcW w:w="4180" w:type="dxa"/>
            <w:shd w:val="clear" w:color="auto" w:fill="FFFFFF"/>
          </w:tcPr>
          <w:p>
            <w:pPr>
              <w:spacing w:after="0"/>
            </w:pPr>
            <w:r>
              <w:rPr>
                <w:b w:val="0"/>
                <w:i w:val="0"/>
                <w:sz w:val="19"/>
              </w:rPr>
              <w:t>Post-LT 5-year OS 41% NAT versus 53% no NAT(not significant); NAT associated with less recurrence (adjusted HR 0.30, 95% CI 0.09–0.97). Major vascular complications 11/27 vs 3/22; hepatic-artery complications 9/27 vs 2/22.</w:t>
            </w:r>
          </w:p>
          <w:p>
            <w:pPr>
              <w:spacing w:after="0"/>
            </w:pPr>
            <w:r>
              <w:rPr>
                <w:b w:val="0"/>
                <w:i/>
                <w:sz w:val="19"/>
              </w:rPr>
              <w:t>Limits: Competing recurrence benefit and treatment harm, not proof RT can routinely be omitted. Abstract 9 vs 2 vascular wording should not replace Table 3's broader 11 vs 3 major-vascular count.</w:t>
            </w:r>
          </w:p>
          <w:p>
            <w:pPr>
              <w:spacing w:after="0"/>
            </w:pPr>
            <w:r>
              <w:rPr>
                <w:b w:val="0"/>
                <w:i w:val="0"/>
                <w:color w:val="5A6069"/>
                <w:sz w:val="18"/>
              </w:rPr>
              <w:t>BJSOpen 2023; 7: zrad 025; Table 3, adjusted recurrence analysis and mortality discussion; full PDF.</w:t>
            </w:r>
          </w:p>
        </w:tc>
      </w:tr>
      <w:tr>
        <w:trPr>
          <w:cantSplit/>
        </w:trPr>
        <w:tc>
          <w:tcPr>
            <w:tcW w:type="dxa" w:w="3360"/>
            <w:tcW w:w="2000" w:type="dxa"/>
            <w:shd w:val="clear" w:color="auto" w:fill="F1F5F8"/>
          </w:tcPr>
          <w:p>
            <w:pPr>
              <w:spacing w:after="0"/>
            </w:pPr>
            <w:r>
              <w:rPr>
                <w:b/>
                <w:i w:val="0"/>
                <w:sz w:val="19"/>
              </w:rPr>
              <w:t>Ito 2025 · LDLT</w:t>
            </w:r>
          </w:p>
        </w:tc>
        <w:tc>
          <w:tcPr>
            <w:tcW w:type="dxa" w:w="3360"/>
            <w:tcW w:w="3900" w:type="dxa"/>
            <w:shd w:val="clear" w:color="auto" w:fill="F1F5F8"/>
          </w:tcPr>
          <w:p>
            <w:pPr>
              <w:spacing w:after="0"/>
            </w:pPr>
            <w:r>
              <w:rPr>
                <w:b w:val="0"/>
                <w:i w:val="0"/>
                <w:sz w:val="19"/>
              </w:rPr>
              <w:t>Prospective Kyoto pilot; 10 enrolled, 5 LDLT, 5 dropout. Unresectable localized pCCA; GemCisS 1 induction plus EBRT, typically 56 Gy/28 fractions.</w:t>
            </w:r>
          </w:p>
        </w:tc>
        <w:tc>
          <w:tcPr>
            <w:tcW w:type="dxa" w:w="3360"/>
            <w:tcW w:w="4180" w:type="dxa"/>
            <w:shd w:val="clear" w:color="auto" w:fill="F1F5F8"/>
          </w:tcPr>
          <w:p>
            <w:pPr>
              <w:spacing w:after="0"/>
            </w:pPr>
            <w:r>
              <w:rPr>
                <w:b w:val="0"/>
                <w:i w:val="0"/>
                <w:sz w:val="19"/>
              </w:rPr>
              <w:t>All 5 recipients alive at 1 year, median follow-up 23.7 months; one recurrence and 2/5 hepatic-artery thromboses. Dropouts included progression, positive nodes, toxicity/complication, financial withdrawal and one conversion to resection.</w:t>
            </w:r>
          </w:p>
          <w:p>
            <w:pPr>
              <w:spacing w:after="0"/>
            </w:pPr>
            <w:r>
              <w:rPr>
                <w:b w:val="0"/>
                <w:i/>
                <w:sz w:val="19"/>
              </w:rPr>
              <w:t>Limits: Five recipients cannot establish long-term oncologic safety; different allocation/LDLT setting and demanding regimen. This is not support for adding immunotherapy.</w:t>
            </w:r>
          </w:p>
          <w:p>
            <w:pPr>
              <w:spacing w:after="0"/>
            </w:pPr>
            <w:r>
              <w:rPr>
                <w:b w:val="0"/>
                <w:i w:val="0"/>
                <w:color w:val="5A6069"/>
                <w:sz w:val="18"/>
              </w:rPr>
              <w:t>J Hepatobiliary Pancreat Sci 2025; 32: 276–286; patient flow, Tables and Discussion; full HTML.</w:t>
            </w:r>
          </w:p>
        </w:tc>
      </w:tr>
      <w:tr>
        <w:trPr>
          <w:cantSplit/>
        </w:trPr>
        <w:tc>
          <w:tcPr>
            <w:tcW w:type="dxa" w:w="3360"/>
            <w:tcW w:w="2000" w:type="dxa"/>
            <w:shd w:val="clear" w:color="auto" w:fill="FFFFFF"/>
          </w:tcPr>
          <w:p>
            <w:pPr>
              <w:spacing w:after="0"/>
            </w:pPr>
            <w:r>
              <w:rPr>
                <w:b/>
                <w:i w:val="0"/>
                <w:sz w:val="19"/>
              </w:rPr>
              <w:t>Darwish Murad 2012</w:t>
            </w:r>
          </w:p>
        </w:tc>
        <w:tc>
          <w:tcPr>
            <w:tcW w:type="dxa" w:w="3360"/>
            <w:tcW w:w="3900" w:type="dxa"/>
            <w:shd w:val="clear" w:color="auto" w:fill="FFFFFF"/>
          </w:tcPr>
          <w:p>
            <w:pPr>
              <w:spacing w:after="0"/>
            </w:pPr>
            <w:r>
              <w:rPr>
                <w:b w:val="0"/>
                <w:i w:val="0"/>
                <w:sz w:val="19"/>
              </w:rPr>
              <w:t>131 local LT within 199 protocol entrants. Mayo conventional NAT; historical exposure overlaps other Mayo reports.</w:t>
            </w:r>
          </w:p>
        </w:tc>
        <w:tc>
          <w:tcPr>
            <w:tcW w:type="dxa" w:w="3360"/>
            <w:tcW w:w="4180" w:type="dxa"/>
            <w:shd w:val="clear" w:color="auto" w:fill="FFFFFF"/>
          </w:tcPr>
          <w:p>
            <w:pPr>
              <w:spacing w:after="0"/>
            </w:pPr>
            <w:r>
              <w:rPr>
                <w:b w:val="0"/>
                <w:i w:val="0"/>
                <w:sz w:val="19"/>
              </w:rPr>
              <w:t>11/131 required retransplantation, including six for HAT; 5-year post-LT OS 71%, RFS 68%.</w:t>
            </w:r>
          </w:p>
          <w:p>
            <w:pPr>
              <w:spacing w:after="0"/>
            </w:pPr>
            <w:r>
              <w:rPr>
                <w:b w:val="0"/>
                <w:i/>
                <w:sz w:val="19"/>
              </w:rPr>
              <w:t>Limits: Illustrates clinically significant graft risk; not an independent estimate additive to the multicenter series.</w:t>
            </w:r>
          </w:p>
          <w:p>
            <w:pPr>
              <w:spacing w:after="0"/>
            </w:pPr>
            <w:r>
              <w:rPr>
                <w:b w:val="0"/>
                <w:i w:val="0"/>
                <w:color w:val="5A6069"/>
                <w:sz w:val="18"/>
              </w:rPr>
              <w:t>Hepatology 2012; Transplantation and Recurrence sections.</w:t>
            </w:r>
          </w:p>
        </w:tc>
      </w:tr>
    </w:tbl>
    <w:p>
      <w:pPr>
        <w:spacing w:after="40"/>
      </w:pPr>
    </w:p>
    <w:p>
      <w:pPr>
        <w:pStyle w:val="Heading3"/>
        <w:keepNext/>
        <w:spacing w:before="120" w:after="80"/>
      </w:pPr>
      <w:r>
        <w:rPr>
          <w:b w:val="0"/>
          <w:i w:val="0"/>
        </w:rPr>
        <w:t>Our proposed selection (OPEN)</w:t>
      </w:r>
    </w:p>
    <w:p>
      <w:pPr>
        <w:spacing w:after="80"/>
      </w:pPr>
      <w:r>
        <w:rPr>
          <w:b w:val="0"/>
          <w:i w:val="0"/>
        </w:rPr>
        <w:t>Keep the established Mayo-style pathway as default; develop GemCis-only and SBRT/capecitabine as separately governed alternatives, without claiming equivalence or superiority.</w:t>
      </w:r>
    </w:p>
    <w:p>
      <w:pPr>
        <w:numPr>
          <w:ilvl w:val="0"/>
          <w:numId w:val="5"/>
        </w:numPr>
        <w:spacing w:after="40"/>
      </w:pPr>
      <w:r>
        <w:rPr>
          <w:b w:val="0"/>
          <w:i w:val="0"/>
        </w:rPr>
        <w:t>Default to the established fluoropyrimidine/EBRT-based pathway under the approved radiation and pharmacy protocol. Do not treat a pilot dose/fractionation or cycle count as a universal order.</w:t>
      </w:r>
    </w:p>
    <w:p>
      <w:pPr>
        <w:numPr>
          <w:ilvl w:val="0"/>
          <w:numId w:val="5"/>
        </w:numPr>
        <w:spacing w:after="40"/>
      </w:pPr>
      <w:r>
        <w:rPr>
          <w:b w:val="0"/>
          <w:i w:val="0"/>
        </w:rPr>
        <w:t>Develop a separately governed prospective GemCis-only feasibility/comparative arm for otherwise conventionally selected pCCA. Retain SBRT/capecitabine as another documented pilot option, not the uniquely evidence-preferred alternative. Neither arm is activated by this document.</w:t>
      </w:r>
    </w:p>
    <w:p>
      <w:pPr>
        <w:numPr>
          <w:ilvl w:val="0"/>
          <w:numId w:val="5"/>
        </w:numPr>
        <w:spacing w:after="40"/>
      </w:pPr>
      <w:r>
        <w:rPr>
          <w:b w:val="0"/>
          <w:i w:val="0"/>
        </w:rPr>
        <w:t>Do not combine either alternative with an initial size, primary transperitoneal-biopsy or previously malignant-node expansion. Keep ICI-containing induction outside these initial arms unless separately approved on pre-LT safety evidence.</w:t>
      </w:r>
    </w:p>
    <w:p>
      <w:pPr>
        <w:numPr>
          <w:ilvl w:val="0"/>
          <w:numId w:val="5"/>
        </w:numPr>
        <w:spacing w:after="40"/>
      </w:pPr>
      <w:r>
        <w:rPr>
          <w:b w:val="0"/>
          <w:i w:val="0"/>
        </w:rPr>
        <w:t>Before opening, specify regimen delivery, staging, stopping rules, radiation-field and arterial/biliary reconstruction review. Capture every entrant, failure to reach LT, cholangitis, HAT/PVT, biliary injury, graft loss, recurrence and all graft use.</w:t>
      </w:r>
    </w:p>
    <w:p>
      <w:pPr>
        <w:spacing w:after="80"/>
      </w:pPr>
      <w:r>
        <w:rPr>
          <w:b/>
          <w:i w:val="0"/>
        </w:rPr>
        <w:t xml:space="preserve">Why: </w:t>
      </w:r>
      <w:r>
        <w:rPr>
          <w:b w:val="0"/>
          <w:i w:val="0"/>
        </w:rPr>
        <w:t>Conventional fluoropyrimidine-based chemoradiation remains the most mature benchmark. Alternatives have genuine LT evidence, but none has demonstrated noninferiority. The evidence does not justify singling out SBRT as the only acceptable research alternative while categorically closing GemCis-only. Vascular/biliary harm needs prospective surveillance alongside recurrence and dropout.</w:t>
      </w:r>
    </w:p>
    <w:p>
      <w:pPr>
        <w:spacing w:after="80"/>
      </w:pPr>
      <w:r>
        <w:rPr>
          <w:b/>
          <w:i w:val="0"/>
        </w:rPr>
        <w:t xml:space="preserve">Against, or uncertain: </w:t>
      </w:r>
      <w:r>
        <w:rPr>
          <w:b w:val="0"/>
          <w:i w:val="0"/>
        </w:rPr>
        <w:t>RT may reduce recurrence yet increase vascular morbidity. Chemo-only favorable selected-recipient outcomes do not reveal who progressed before LT. No-NAT European recipients are not a rationale to omit all induction in a US exception pathway. GCS/RT and SBRT are not interchangeable.</w:t>
      </w:r>
    </w:p>
    <w:p>
      <w:pPr>
        <w:spacing w:after="80"/>
      </w:pPr>
      <w:r>
        <w:rPr>
          <w:b/>
          <w:i w:val="0"/>
        </w:rPr>
        <w:t xml:space="preserve">Certainty: </w:t>
      </w:r>
      <w:r>
        <w:rPr>
          <w:b w:val="0"/>
          <w:i w:val="0"/>
        </w:rPr>
        <w:t>Moderate confidence in feasibility of conventional selected NAT/LT; very low comparative certainty between named regimens. Direct vascular safety signal deserves action despite nonrandomization.</w:t>
      </w:r>
    </w:p>
    <w:p>
      <w:pPr>
        <w:spacing w:after="80"/>
      </w:pPr>
      <w:r>
        <w:rPr>
          <w:b/>
          <w:i w:val="0"/>
        </w:rPr>
        <w:t xml:space="preserve">Tests and records: </w:t>
      </w:r>
      <w:r>
        <w:rPr>
          <w:b w:val="0"/>
          <w:i w:val="0"/>
        </w:rPr>
        <w:t>Written radiation/chemotherapy plan and dose modifications; drainage/infection plan; biliary/vascular anatomy; actual prior dose maps; operative staging and graft-safety endpoints.</w:t>
      </w:r>
    </w:p>
    <w:p>
      <w:pPr>
        <w:spacing w:after="80"/>
      </w:pPr>
      <w:r>
        <w:rPr>
          <w:b/>
          <w:i w:val="0"/>
        </w:rPr>
        <w:t xml:space="preserve">Allocation: </w:t>
      </w:r>
      <w:r>
        <w:rPr>
          <w:b w:val="0"/>
          <w:i w:val="0"/>
        </w:rPr>
        <w:t>Policy requires a written neoadjuvant protocol and operative staging, not this exact regimen. A regimen study does not relax the standardized tumor criteria.</w:t>
      </w:r>
    </w:p>
    <w:p>
      <w:pPr>
        <w:spacing w:after="40"/>
      </w:pPr>
      <w:r>
        <w:rPr>
          <w:b/>
          <w:i w:val="0"/>
        </w:rPr>
        <w:t xml:space="preserve">Basis for the proposed thresholds: </w:t>
      </w:r>
    </w:p>
    <w:p>
      <w:pPr>
        <w:numPr>
          <w:ilvl w:val="0"/>
          <w:numId w:val="5"/>
        </w:numPr>
        <w:spacing w:after="40"/>
      </w:pPr>
      <w:r>
        <w:rPr>
          <w:b w:val="0"/>
          <w:i w:val="0"/>
        </w:rPr>
        <w:t>POLICY: OPTN requires an approved written protocol including NAT/staging but does not mandate a particular radiation dose. STUDY: SBRT 50–60 Gy/3–5 fractions and GCS/56 Gy are published pilot recipes only. LOCAL: GemCis-only prospective arm, no simultaneous biology expansion, and initial ICI exclusion are risk-management proposals. No validated minimum cycle count or safe vascular dose threshold is inferred.</w:t>
      </w:r>
    </w:p>
    <w:p>
      <w:pPr>
        <w:pStyle w:val="Heading3"/>
        <w:keepNext/>
        <w:spacing w:before="120" w:after="80"/>
      </w:pPr>
      <w:r>
        <w:rPr>
          <w:b w:val="0"/>
          <w:i w:val="0"/>
        </w:rPr>
        <w:t>pCCA-B3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transplant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19">
        <w:r>
          <w:rPr>
            <w:color w:val="0563C1"/>
            <w:u w:val="single"/>
            <w:sz w:val="19"/>
          </w:rPr>
          <w:t xml:space="preserve">PubMed</w:t>
        </w:r>
      </w:hyperlink>
      <w:r>
        <w:rPr>
          <w:b w:val="0"/>
          <w:i w:val="0"/>
          <w:sz w:val="19"/>
        </w:rPr>
        <w:t xml:space="preserve"> · </w:t>
      </w:r>
      <w:hyperlink r:id="rId20">
        <w:r>
          <w:rPr>
            <w:color w:val="0563C1"/>
            <w:u w:val="single"/>
            <w:sz w:val="19"/>
          </w:rPr>
          <w:t xml:space="preserve">Journal</w:t>
        </w:r>
      </w:hyperlink>
      <w:r>
        <w:rPr>
          <w:b w:val="0"/>
          <w:i w:val="0"/>
          <w:sz w:val="19"/>
        </w:rPr>
        <w:t xml:space="preserve"> · </w:t>
      </w:r>
      <w:hyperlink r:id="rId21">
        <w:r>
          <w:rPr>
            <w:color w:val="0563C1"/>
            <w:u w:val="single"/>
            <w:sz w:val="19"/>
          </w:rPr>
          <w:t xml:space="preserve">Free full text</w:t>
        </w:r>
      </w:hyperlink>
      <w:r>
        <w:rPr>
          <w:b w:val="0"/>
          <w:i w:val="0"/>
          <w:sz w:val="19"/>
        </w:rPr>
        <w:t xml:space="preserve"> · </w:t>
      </w:r>
      <w:hyperlink r:id="rId22">
        <w:r>
          <w:rPr>
            <w:color w:val="0563C1"/>
            <w:u w:val="single"/>
            <w:sz w:val="19"/>
          </w:rPr>
          <w:t xml:space="preserve">Source</w:t>
        </w:r>
      </w:hyperlink>
      <w:r>
        <w:rPr>
          <w:b w:val="0"/>
          <w:i w:val="0"/>
          <w:sz w:val="19"/>
        </w:rPr>
        <w:t xml:space="preserve"> · </w:t>
      </w:r>
      <w:hyperlink r:id="rId23">
        <w:r>
          <w:rPr>
            <w:color w:val="0563C1"/>
            <w:u w:val="single"/>
            <w:sz w:val="19"/>
          </w:rPr>
          <w:t xml:space="preserve">TMC library</w:t>
        </w:r>
      </w:hyperlink>
    </w:p>
    <w:p>
      <w:pPr>
        <w:spacing w:after="60"/>
      </w:pPr>
      <w:r>
        <w:rPr>
          <w:b/>
          <w:i w:val="0"/>
          <w:sz w:val="19"/>
        </w:rPr>
        <w:t>AHPBA 2015 hilar CCA consensus</w:t>
      </w:r>
      <w:r>
        <w:rPr>
          <w:b w:val="0"/>
          <w:i w:val="0"/>
          <w:sz w:val="19"/>
        </w:rPr>
        <w:t xml:space="preserve"> — Hilar cholangiocarcinoma: expert consensus statement</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7">
        <w:r>
          <w:rPr>
            <w:color w:val="0563C1"/>
            <w:u w:val="single"/>
            <w:sz w:val="19"/>
          </w:rPr>
          <w:t xml:space="preserve">PubMed</w:t>
        </w:r>
      </w:hyperlink>
      <w:r>
        <w:rPr>
          <w:b w:val="0"/>
          <w:i w:val="0"/>
          <w:sz w:val="19"/>
        </w:rPr>
        <w:t xml:space="preserve"> · </w:t>
      </w:r>
      <w:hyperlink r:id="rId28">
        <w:r>
          <w:rPr>
            <w:color w:val="0563C1"/>
            <w:u w:val="single"/>
            <w:sz w:val="19"/>
          </w:rPr>
          <w:t xml:space="preserve">Journal</w:t>
        </w:r>
      </w:hyperlink>
      <w:r>
        <w:rPr>
          <w:b w:val="0"/>
          <w:i w:val="0"/>
          <w:sz w:val="19"/>
        </w:rPr>
        <w:t xml:space="preserve"> · </w:t>
      </w:r>
      <w:hyperlink r:id="rId29">
        <w:r>
          <w:rPr>
            <w:color w:val="0563C1"/>
            <w:u w:val="single"/>
            <w:sz w:val="19"/>
          </w:rPr>
          <w:t xml:space="preserve">TMC library</w:t>
        </w:r>
      </w:hyperlink>
    </w:p>
    <w:p>
      <w:pPr>
        <w:spacing w:after="60"/>
      </w:pPr>
      <w:r>
        <w:rPr>
          <w:b/>
          <w:i w:val="0"/>
          <w:sz w:val="19"/>
        </w:rPr>
        <w:t>Aveson 2022</w:t>
      </w:r>
      <w:r>
        <w:rPr>
          <w:b w:val="0"/>
          <w:i w:val="0"/>
          <w:sz w:val="19"/>
        </w:rPr>
        <w:t xml:space="preserve"> — Association between biopsy method and development of peritoneal metastases in perihilar cholangiocarcinoma</w:t>
      </w:r>
      <w:r>
        <w:rPr>
          <w:b w:val="0"/>
          <w:i w:val="0"/>
          <w:sz w:val="19"/>
        </w:rPr>
        <w:t xml:space="preserve">  </w:t>
      </w:r>
      <w:hyperlink r:id="rId30">
        <w:r>
          <w:rPr>
            <w:color w:val="0563C1"/>
            <w:u w:val="single"/>
            <w:sz w:val="19"/>
          </w:rPr>
          <w:t xml:space="preserve">PubMed</w:t>
        </w:r>
      </w:hyperlink>
      <w:r>
        <w:rPr>
          <w:b w:val="0"/>
          <w:i w:val="0"/>
          <w:sz w:val="19"/>
        </w:rPr>
        <w:t xml:space="preserve"> · </w:t>
      </w:r>
      <w:hyperlink r:id="rId31">
        <w:r>
          <w:rPr>
            <w:color w:val="0563C1"/>
            <w:u w:val="single"/>
            <w:sz w:val="19"/>
          </w:rPr>
          <w:t xml:space="preserve">Journal</w:t>
        </w:r>
      </w:hyperlink>
      <w:r>
        <w:rPr>
          <w:b w:val="0"/>
          <w:i w:val="0"/>
          <w:sz w:val="19"/>
        </w:rPr>
        <w:t xml:space="preserve"> · </w:t>
      </w:r>
      <w:hyperlink r:id="rId32">
        <w:r>
          <w:rPr>
            <w:color w:val="0563C1"/>
            <w:u w:val="single"/>
            <w:sz w:val="19"/>
          </w:rPr>
          <w:t xml:space="preserve">Source</w:t>
        </w:r>
      </w:hyperlink>
      <w:r>
        <w:rPr>
          <w:b w:val="0"/>
          <w:i w:val="0"/>
          <w:sz w:val="19"/>
        </w:rPr>
        <w:t xml:space="preserve"> · </w:t>
      </w:r>
      <w:hyperlink r:id="rId33">
        <w:r>
          <w:rPr>
            <w:color w:val="0563C1"/>
            <w:u w:val="single"/>
            <w:sz w:val="19"/>
          </w:rPr>
          <w:t xml:space="preserve">TMC library</w:t>
        </w:r>
      </w:hyperlink>
    </w:p>
    <w:p>
      <w:pPr>
        <w:spacing w:after="60"/>
      </w:pPr>
      <w:r>
        <w:rPr>
          <w:b/>
          <w:i w:val="0"/>
          <w:sz w:val="19"/>
        </w:rPr>
        <w:t>Bilhim 2024</w:t>
      </w:r>
      <w:r>
        <w:rPr>
          <w:b w:val="0"/>
          <w:i w:val="0"/>
          <w:sz w:val="19"/>
        </w:rPr>
        <w:t xml:space="preserve"> — CIRSE Standards of Practice on Portal Vein Embolization and Double Vein Embolization/Liver Venous Deprivation</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Free full text</w:t>
        </w:r>
      </w:hyperlink>
      <w:r>
        <w:rPr>
          <w:b w:val="0"/>
          <w:i w:val="0"/>
          <w:sz w:val="19"/>
        </w:rPr>
        <w:t xml:space="preserve"> · </w:t>
      </w:r>
      <w:hyperlink r:id="rId37">
        <w:r>
          <w:rPr>
            <w:color w:val="0563C1"/>
            <w:u w:val="single"/>
            <w:sz w:val="19"/>
          </w:rPr>
          <w:t xml:space="preserve">Source</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Campbell 2026 · biliary cancer LT, single centre</w:t>
      </w:r>
      <w:r>
        <w:rPr>
          <w:b w:val="0"/>
          <w:i w:val="0"/>
          <w:sz w:val="19"/>
        </w:rPr>
        <w:t xml:space="preserve"> — Liver Transplantation for Unresectable Biliary Tract Cancers: Largest Single-Center Analysis of Subtype-Specific Survival and Recurrence (2007-2025)</w:t>
      </w:r>
      <w:r>
        <w:rPr>
          <w:b w:val="0"/>
          <w:i w:val="0"/>
          <w:sz w:val="19"/>
        </w:rPr>
        <w:t xml:space="preserve">  </w:t>
      </w:r>
      <w:hyperlink r:id="rId39">
        <w:r>
          <w:rPr>
            <w:color w:val="0563C1"/>
            <w:u w:val="single"/>
            <w:sz w:val="19"/>
          </w:rPr>
          <w:t xml:space="preserve">PubMed</w:t>
        </w:r>
      </w:hyperlink>
      <w:r>
        <w:rPr>
          <w:b w:val="0"/>
          <w:i w:val="0"/>
          <w:sz w:val="19"/>
        </w:rPr>
        <w:t xml:space="preserve"> · </w:t>
      </w:r>
      <w:hyperlink r:id="rId40">
        <w:r>
          <w:rPr>
            <w:color w:val="0563C1"/>
            <w:u w:val="single"/>
            <w:sz w:val="19"/>
          </w:rPr>
          <w:t xml:space="preserve">Journal</w:t>
        </w:r>
      </w:hyperlink>
      <w:r>
        <w:rPr>
          <w:b w:val="0"/>
          <w:i w:val="0"/>
          <w:sz w:val="19"/>
        </w:rPr>
        <w:t xml:space="preserve"> · </w:t>
      </w:r>
      <w:hyperlink r:id="rId41">
        <w:r>
          <w:rPr>
            <w:color w:val="0563C1"/>
            <w:u w:val="single"/>
            <w:sz w:val="19"/>
          </w:rPr>
          <w:t xml:space="preserve">TMC library</w:t>
        </w:r>
      </w:hyperlink>
    </w:p>
    <w:p>
      <w:pPr>
        <w:spacing w:after="60"/>
      </w:pPr>
      <w:r>
        <w:rPr>
          <w:b/>
          <w:i w:val="0"/>
          <w:sz w:val="19"/>
        </w:rPr>
        <w:t>Darwish Murad 2012</w:t>
      </w:r>
      <w:r>
        <w:rPr>
          <w:b w:val="0"/>
          <w:i w:val="0"/>
          <w:sz w:val="19"/>
        </w:rPr>
        <w:t xml:space="preserve"> — Efficacy of Neoadjuvant Chemoradiation, Followed by Liver Transplantation, for Perihilar Cholangiocarcinoma at 12 US Centers</w:t>
      </w:r>
      <w:r>
        <w:rPr>
          <w:b w:val="0"/>
          <w:i w:val="0"/>
          <w:sz w:val="19"/>
        </w:rPr>
        <w:t xml:space="preserve">  </w:t>
      </w:r>
      <w:hyperlink r:id="rId42">
        <w:r>
          <w:rPr>
            <w:color w:val="0563C1"/>
            <w:u w:val="single"/>
            <w:sz w:val="19"/>
          </w:rPr>
          <w:t xml:space="preserve">PubMed</w:t>
        </w:r>
      </w:hyperlink>
      <w:r>
        <w:rPr>
          <w:b w:val="0"/>
          <w:i w:val="0"/>
          <w:sz w:val="19"/>
        </w:rPr>
        <w:t xml:space="preserve"> · </w:t>
      </w:r>
      <w:hyperlink r:id="rId43">
        <w:r>
          <w:rPr>
            <w:color w:val="0563C1"/>
            <w:u w:val="single"/>
            <w:sz w:val="19"/>
          </w:rPr>
          <w:t xml:space="preserve">Journal</w:t>
        </w:r>
      </w:hyperlink>
      <w:r>
        <w:rPr>
          <w:b w:val="0"/>
          <w:i w:val="0"/>
          <w:sz w:val="19"/>
        </w:rPr>
        <w:t xml:space="preserve"> · </w:t>
      </w:r>
      <w:hyperlink r:id="rId44">
        <w:r>
          <w:rPr>
            <w:color w:val="0563C1"/>
            <w:u w:val="single"/>
            <w:sz w:val="19"/>
          </w:rPr>
          <w:t xml:space="preserve">Source</w:t>
        </w:r>
      </w:hyperlink>
      <w:r>
        <w:rPr>
          <w:b w:val="0"/>
          <w:i w:val="0"/>
          <w:sz w:val="19"/>
        </w:rPr>
        <w:t xml:space="preserve"> · </w:t>
      </w:r>
      <w:hyperlink r:id="rId45">
        <w:r>
          <w:rPr>
            <w:color w:val="0563C1"/>
            <w:u w:val="single"/>
            <w:sz w:val="19"/>
          </w:rPr>
          <w:t xml:space="preserve">TMC library</w:t>
        </w:r>
      </w:hyperlink>
    </w:p>
    <w:p>
      <w:pPr>
        <w:spacing w:after="60"/>
      </w:pPr>
      <w:r>
        <w:rPr>
          <w:b/>
          <w:i w:val="0"/>
          <w:sz w:val="19"/>
        </w:rPr>
        <w:t>Darwish Murad 2012</w:t>
      </w:r>
      <w:r>
        <w:rPr>
          <w:b w:val="0"/>
          <w:i w:val="0"/>
          <w:sz w:val="19"/>
        </w:rPr>
        <w:t xml:space="preserve"> — Predictors of pretransplant dropout and posttransplant recurrence in patients with perihilar cholangiocarcinoma</w:t>
      </w:r>
      <w:r>
        <w:rPr>
          <w:b w:val="0"/>
          <w:i w:val="0"/>
          <w:sz w:val="19"/>
        </w:rPr>
        <w:t xml:space="preserve">  </w:t>
      </w:r>
      <w:hyperlink r:id="rId46">
        <w:r>
          <w:rPr>
            <w:color w:val="0563C1"/>
            <w:u w:val="single"/>
            <w:sz w:val="19"/>
          </w:rPr>
          <w:t xml:space="preserve">PubMed</w:t>
        </w:r>
      </w:hyperlink>
      <w:r>
        <w:rPr>
          <w:b w:val="0"/>
          <w:i w:val="0"/>
          <w:sz w:val="19"/>
        </w:rPr>
        <w:t xml:space="preserve"> · </w:t>
      </w:r>
      <w:hyperlink r:id="rId47">
        <w:r>
          <w:rPr>
            <w:color w:val="0563C1"/>
            <w:u w:val="single"/>
            <w:sz w:val="19"/>
          </w:rPr>
          <w:t xml:space="preserve">Journal</w:t>
        </w:r>
      </w:hyperlink>
      <w:r>
        <w:rPr>
          <w:b w:val="0"/>
          <w:i w:val="0"/>
          <w:sz w:val="19"/>
        </w:rPr>
        <w:t xml:space="preserve"> · </w:t>
      </w:r>
      <w:hyperlink r:id="rId48">
        <w:r>
          <w:rPr>
            <w:color w:val="0563C1"/>
            <w:u w:val="single"/>
            <w:sz w:val="19"/>
          </w:rPr>
          <w:t xml:space="preserve">Source</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Free full text</w:t>
        </w:r>
      </w:hyperlink>
      <w:r>
        <w:rPr>
          <w:b w:val="0"/>
          <w:i w:val="0"/>
          <w:sz w:val="19"/>
        </w:rPr>
        <w:t xml:space="preserve"> · </w:t>
      </w:r>
      <w:hyperlink r:id="rId53">
        <w:r>
          <w:rPr>
            <w:color w:val="0563C1"/>
            <w:u w:val="single"/>
            <w:sz w:val="19"/>
          </w:rPr>
          <w:t xml:space="preserve">Source</w:t>
        </w:r>
      </w:hyperlink>
      <w:r>
        <w:rPr>
          <w:b w:val="0"/>
          <w:i w:val="0"/>
          <w:sz w:val="19"/>
        </w:rPr>
        <w:t xml:space="preserve"> · </w:t>
      </w:r>
      <w:hyperlink r:id="rId54">
        <w:r>
          <w:rPr>
            <w:color w:val="0563C1"/>
            <w:u w:val="single"/>
            <w:sz w:val="19"/>
          </w:rPr>
          <w:t xml:space="preserve">TMC library</w:t>
        </w:r>
      </w:hyperlink>
    </w:p>
    <w:p>
      <w:pPr>
        <w:spacing w:after="60"/>
      </w:pPr>
      <w:r>
        <w:rPr>
          <w:b/>
          <w:i w:val="0"/>
          <w:sz w:val="19"/>
        </w:rPr>
        <w:t>Dong 2026 · resection versus LT</w:t>
      </w:r>
      <w:r>
        <w:rPr>
          <w:b w:val="0"/>
          <w:i w:val="0"/>
          <w:sz w:val="19"/>
        </w:rPr>
        <w:t xml:space="preserve"> — Liver resection with and without vascular resection versus transplantation for de novo perihilar cholangiocarcinoma</w:t>
      </w:r>
      <w:r>
        <w:rPr>
          <w:b w:val="0"/>
          <w:i w:val="0"/>
          <w:sz w:val="19"/>
        </w:rPr>
        <w:t xml:space="preserve">  </w:t>
      </w:r>
      <w:hyperlink r:id="rId55">
        <w:r>
          <w:rPr>
            <w:color w:val="0563C1"/>
            <w:u w:val="single"/>
            <w:sz w:val="19"/>
          </w:rPr>
          <w:t xml:space="preserve">PubMed</w:t>
        </w:r>
      </w:hyperlink>
      <w:r>
        <w:rPr>
          <w:b w:val="0"/>
          <w:i w:val="0"/>
          <w:sz w:val="19"/>
        </w:rPr>
        <w:t xml:space="preserve"> · </w:t>
      </w:r>
      <w:hyperlink r:id="rId56">
        <w:r>
          <w:rPr>
            <w:color w:val="0563C1"/>
            <w:u w:val="single"/>
            <w:sz w:val="19"/>
          </w:rPr>
          <w:t xml:space="preserve">Journal</w:t>
        </w:r>
      </w:hyperlink>
      <w:r>
        <w:rPr>
          <w:b w:val="0"/>
          <w:i w:val="0"/>
          <w:sz w:val="19"/>
        </w:rPr>
        <w:t xml:space="preserve"> · </w:t>
      </w:r>
      <w:hyperlink r:id="rId57">
        <w:r>
          <w:rPr>
            <w:color w:val="0563C1"/>
            <w:u w:val="single"/>
            <w:sz w:val="19"/>
          </w:rPr>
          <w:t xml:space="preserve">Free full text</w:t>
        </w:r>
      </w:hyperlink>
      <w:r>
        <w:rPr>
          <w:b w:val="0"/>
          <w:i w:val="0"/>
          <w:sz w:val="19"/>
        </w:rPr>
        <w:t xml:space="preserve"> · </w:t>
      </w:r>
      <w:hyperlink r:id="rId58">
        <w:r>
          <w:rPr>
            <w:color w:val="0563C1"/>
            <w:u w:val="single"/>
            <w:sz w:val="19"/>
          </w:rPr>
          <w:t xml:space="preserve">Source</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60">
        <w:r>
          <w:rPr>
            <w:color w:val="0563C1"/>
            <w:u w:val="single"/>
            <w:sz w:val="19"/>
          </w:rPr>
          <w:t xml:space="preserve">PubMed</w:t>
        </w:r>
      </w:hyperlink>
      <w:r>
        <w:rPr>
          <w:b w:val="0"/>
          <w:i w:val="0"/>
          <w:sz w:val="19"/>
        </w:rPr>
        <w:t xml:space="preserve"> · </w:t>
      </w:r>
      <w:hyperlink r:id="rId61">
        <w:r>
          <w:rPr>
            <w:color w:val="0563C1"/>
            <w:u w:val="single"/>
            <w:sz w:val="19"/>
          </w:rPr>
          <w:t xml:space="preserve">Journal</w:t>
        </w:r>
      </w:hyperlink>
      <w:r>
        <w:rPr>
          <w:b w:val="0"/>
          <w:i w:val="0"/>
          <w:sz w:val="19"/>
        </w:rPr>
        <w:t xml:space="preserve"> · </w:t>
      </w:r>
      <w:hyperlink r:id="rId62">
        <w:r>
          <w:rPr>
            <w:color w:val="0563C1"/>
            <w:u w:val="single"/>
            <w:sz w:val="19"/>
          </w:rPr>
          <w:t xml:space="preserve">Free full text</w:t>
        </w:r>
      </w:hyperlink>
      <w:r>
        <w:rPr>
          <w:b w:val="0"/>
          <w:i w:val="0"/>
          <w:sz w:val="19"/>
        </w:rPr>
        <w:t xml:space="preserve"> · </w:t>
      </w:r>
      <w:hyperlink r:id="rId63">
        <w:r>
          <w:rPr>
            <w:color w:val="0563C1"/>
            <w:u w:val="single"/>
            <w:sz w:val="19"/>
          </w:rPr>
          <w:t xml:space="preserve">Source</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65">
        <w:r>
          <w:rPr>
            <w:color w:val="0563C1"/>
            <w:u w:val="single"/>
            <w:sz w:val="19"/>
          </w:rPr>
          <w:t xml:space="preserve">PubMed</w:t>
        </w:r>
      </w:hyperlink>
      <w:r>
        <w:rPr>
          <w:b w:val="0"/>
          <w:i w:val="0"/>
          <w:sz w:val="19"/>
        </w:rPr>
        <w:t xml:space="preserve"> · </w:t>
      </w:r>
      <w:hyperlink r:id="rId66">
        <w:r>
          <w:rPr>
            <w:color w:val="0563C1"/>
            <w:u w:val="single"/>
            <w:sz w:val="19"/>
          </w:rPr>
          <w:t xml:space="preserve">Journal</w:t>
        </w:r>
      </w:hyperlink>
      <w:r>
        <w:rPr>
          <w:b w:val="0"/>
          <w:i w:val="0"/>
          <w:sz w:val="19"/>
        </w:rPr>
        <w:t xml:space="preserve"> · </w:t>
      </w:r>
      <w:hyperlink r:id="rId67">
        <w:r>
          <w:rPr>
            <w:color w:val="0563C1"/>
            <w:u w:val="single"/>
            <w:sz w:val="19"/>
          </w:rPr>
          <w:t xml:space="preserve">Source</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Ethun 2018</w:t>
      </w:r>
      <w:r>
        <w:rPr>
          <w:b w:val="0"/>
          <w:i w:val="0"/>
          <w:sz w:val="19"/>
        </w:rPr>
        <w:t xml:space="preserve"> — Transplantation Versus Resection for Hilar Cholangiocarcinoma: An Argument for Shifting Treatment Paradigms for Resectable Disease</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Free full text</w:t>
        </w:r>
      </w:hyperlink>
      <w:r>
        <w:rPr>
          <w:b w:val="0"/>
          <w:i w:val="0"/>
          <w:sz w:val="19"/>
        </w:rPr>
        <w:t xml:space="preserve"> · </w:t>
      </w:r>
      <w:hyperlink r:id="rId72">
        <w:r>
          <w:rPr>
            <w:color w:val="0563C1"/>
            <w:u w:val="single"/>
            <w:sz w:val="19"/>
          </w:rPr>
          <w:t xml:space="preserve">Source</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Heimbach 2011 · biopsy</w:t>
      </w:r>
      <w:r>
        <w:rPr>
          <w:b w:val="0"/>
          <w:i w:val="0"/>
          <w:sz w:val="19"/>
        </w:rPr>
        <w:t xml:space="preserve"> — Trans-peritoneal fine needle aspiration biopsy of hilar cholangiocarcinoma is associated with disease dissemination</w:t>
      </w:r>
      <w:r>
        <w:rPr>
          <w:b w:val="0"/>
          <w:i w:val="0"/>
          <w:sz w:val="19"/>
        </w:rPr>
        <w:t xml:space="preserve">  </w:t>
      </w:r>
      <w:hyperlink r:id="rId74">
        <w:r>
          <w:rPr>
            <w:color w:val="0563C1"/>
            <w:u w:val="single"/>
            <w:sz w:val="19"/>
          </w:rPr>
          <w:t xml:space="preserve">PubMed</w:t>
        </w:r>
      </w:hyperlink>
      <w:r>
        <w:rPr>
          <w:b w:val="0"/>
          <w:i w:val="0"/>
          <w:sz w:val="19"/>
        </w:rPr>
        <w:t xml:space="preserve"> · </w:t>
      </w:r>
      <w:hyperlink r:id="rId75">
        <w:r>
          <w:rPr>
            <w:color w:val="0563C1"/>
            <w:u w:val="single"/>
            <w:sz w:val="19"/>
          </w:rPr>
          <w:t xml:space="preserve">Journal</w:t>
        </w:r>
      </w:hyperlink>
      <w:r>
        <w:rPr>
          <w:b w:val="0"/>
          <w:i w:val="0"/>
          <w:sz w:val="19"/>
        </w:rPr>
        <w:t xml:space="preserve"> · </w:t>
      </w:r>
      <w:hyperlink r:id="rId76">
        <w:r>
          <w:rPr>
            <w:color w:val="0563C1"/>
            <w:u w:val="single"/>
            <w:sz w:val="19"/>
          </w:rPr>
          <w:t xml:space="preserve">Free full text</w:t>
        </w:r>
      </w:hyperlink>
      <w:r>
        <w:rPr>
          <w:b w:val="0"/>
          <w:i w:val="0"/>
          <w:sz w:val="19"/>
        </w:rPr>
        <w:t xml:space="preserve"> · </w:t>
      </w:r>
      <w:hyperlink r:id="rId77">
        <w:r>
          <w:rPr>
            <w:color w:val="0563C1"/>
            <w:u w:val="single"/>
            <w:sz w:val="19"/>
          </w:rPr>
          <w:t xml:space="preserve">Source</w:t>
        </w:r>
      </w:hyperlink>
      <w:r>
        <w:rPr>
          <w:b w:val="0"/>
          <w:i w:val="0"/>
          <w:sz w:val="19"/>
        </w:rPr>
        <w:t xml:space="preserve"> · </w:t>
      </w:r>
      <w:hyperlink r:id="rId78">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79">
        <w:r>
          <w:rPr>
            <w:color w:val="0563C1"/>
            <w:u w:val="single"/>
            <w:sz w:val="19"/>
          </w:rPr>
          <w:t xml:space="preserve">Source</w:t>
        </w:r>
      </w:hyperlink>
    </w:p>
    <w:p>
      <w:pPr>
        <w:spacing w:after="60"/>
      </w:pPr>
      <w:r>
        <w:rPr>
          <w:b/>
          <w:i w:val="0"/>
          <w:sz w:val="19"/>
        </w:rPr>
        <w:t>Hoogwater 2023 · radiation</w:t>
      </w:r>
      <w:r>
        <w:rPr>
          <w:b w:val="0"/>
          <w:i w:val="0"/>
          <w:sz w:val="19"/>
        </w:rPr>
        <w:t xml:space="preserve"> — Role of neoadjuvant chemoradiotherapy in liver transplantation for unresectable perihilar cholangiocarcinoma: multicentre, retrospective cohort study</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Free full text</w:t>
        </w:r>
      </w:hyperlink>
      <w:r>
        <w:rPr>
          <w:b w:val="0"/>
          <w:i w:val="0"/>
          <w:sz w:val="19"/>
        </w:rPr>
        <w:t xml:space="preserve"> · </w:t>
      </w:r>
      <w:hyperlink r:id="rId83">
        <w:r>
          <w:rPr>
            <w:color w:val="0563C1"/>
            <w:u w:val="single"/>
            <w:sz w:val="19"/>
          </w:rPr>
          <w:t xml:space="preserve">Source</w:t>
        </w:r>
      </w:hyperlink>
      <w:r>
        <w:rPr>
          <w:b w:val="0"/>
          <w:i w:val="0"/>
          <w:sz w:val="19"/>
        </w:rPr>
        <w:t xml:space="preserve"> · </w:t>
      </w:r>
      <w:hyperlink r:id="rId84">
        <w:r>
          <w:rPr>
            <w:color w:val="0563C1"/>
            <w:u w:val="single"/>
            <w:sz w:val="19"/>
          </w:rPr>
          <w:t xml:space="preserve">TMC library</w:t>
        </w:r>
      </w:hyperlink>
    </w:p>
    <w:p>
      <w:pPr>
        <w:spacing w:after="60"/>
      </w:pPr>
      <w:r>
        <w:rPr>
          <w:b/>
          <w:i w:val="0"/>
          <w:sz w:val="19"/>
        </w:rPr>
        <w:t>Ito 2025 · LDLT</w:t>
      </w:r>
      <w:r>
        <w:rPr>
          <w:b w:val="0"/>
          <w:i w:val="0"/>
          <w:sz w:val="19"/>
        </w:rPr>
        <w:t xml:space="preserve"> — Safety and efficacy of living donor liver transplantation for unresectable perihilar cholangiocarcinoma: A single center prospective study</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Free full text</w:t>
        </w:r>
      </w:hyperlink>
      <w:r>
        <w:rPr>
          <w:b w:val="0"/>
          <w:i w:val="0"/>
          <w:sz w:val="19"/>
        </w:rPr>
        <w:t xml:space="preserve"> · </w:t>
      </w:r>
      <w:hyperlink r:id="rId88">
        <w:r>
          <w:rPr>
            <w:color w:val="0563C1"/>
            <w:u w:val="single"/>
            <w:sz w:val="19"/>
          </w:rPr>
          <w:t xml:space="preserve">Source</w:t>
        </w:r>
      </w:hyperlink>
      <w:r>
        <w:rPr>
          <w:b w:val="0"/>
          <w:i w:val="0"/>
          <w:sz w:val="19"/>
        </w:rPr>
        <w:t xml:space="preserve"> · </w:t>
      </w:r>
      <w:hyperlink r:id="rId89">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93">
        <w:r>
          <w:rPr>
            <w:color w:val="0563C1"/>
            <w:u w:val="single"/>
            <w:sz w:val="19"/>
          </w:rPr>
          <w:t xml:space="preserve">Source</w:t>
        </w:r>
      </w:hyperlink>
    </w:p>
    <w:p>
      <w:pPr>
        <w:spacing w:after="60"/>
      </w:pPr>
      <w:r>
        <w:rPr>
          <w:b/>
          <w:i w:val="0"/>
          <w:sz w:val="19"/>
        </w:rPr>
        <w:t>Olthof 2020</w:t>
      </w:r>
      <w:r>
        <w:rPr>
          <w:b w:val="0"/>
          <w:i w:val="0"/>
          <w:sz w:val="19"/>
        </w:rPr>
        <w:t xml:space="preserve"> — Portal Vein Embolization is Associated with Reduced Liver Failure and Mortality in High-Risk Resections for Perihilar Cholangiocarcinoma</w:t>
      </w:r>
      <w:r>
        <w:rPr>
          <w:b w:val="0"/>
          <w:i w:val="0"/>
          <w:sz w:val="19"/>
        </w:rPr>
        <w:t xml:space="preserve">  </w:t>
      </w:r>
      <w:hyperlink r:id="rId94">
        <w:r>
          <w:rPr>
            <w:color w:val="0563C1"/>
            <w:u w:val="single"/>
            <w:sz w:val="19"/>
          </w:rPr>
          <w:t xml:space="preserve">PubMed</w:t>
        </w:r>
      </w:hyperlink>
      <w:r>
        <w:rPr>
          <w:b w:val="0"/>
          <w:i w:val="0"/>
          <w:sz w:val="19"/>
        </w:rPr>
        <w:t xml:space="preserve"> · </w:t>
      </w:r>
      <w:hyperlink r:id="rId95">
        <w:r>
          <w:rPr>
            <w:color w:val="0563C1"/>
            <w:u w:val="single"/>
            <w:sz w:val="19"/>
          </w:rPr>
          <w:t xml:space="preserve">Journal</w:t>
        </w:r>
      </w:hyperlink>
      <w:r>
        <w:rPr>
          <w:b w:val="0"/>
          <w:i w:val="0"/>
          <w:sz w:val="19"/>
        </w:rPr>
        <w:t xml:space="preserve"> · </w:t>
      </w:r>
      <w:hyperlink r:id="rId96">
        <w:r>
          <w:rPr>
            <w:color w:val="0563C1"/>
            <w:u w:val="single"/>
            <w:sz w:val="19"/>
          </w:rPr>
          <w:t xml:space="preserve">Free full text</w:t>
        </w:r>
      </w:hyperlink>
      <w:r>
        <w:rPr>
          <w:b w:val="0"/>
          <w:i w:val="0"/>
          <w:sz w:val="19"/>
        </w:rPr>
        <w:t xml:space="preserve"> · </w:t>
      </w:r>
      <w:hyperlink r:id="rId97">
        <w:r>
          <w:rPr>
            <w:color w:val="0563C1"/>
            <w:u w:val="single"/>
            <w:sz w:val="19"/>
          </w:rPr>
          <w:t xml:space="preserve">Source</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99">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00">
        <w:r>
          <w:rPr>
            <w:color w:val="0563C1"/>
            <w:u w:val="single"/>
            <w:sz w:val="19"/>
          </w:rPr>
          <w:t xml:space="preserve">Source</w:t>
        </w:r>
      </w:hyperlink>
    </w:p>
    <w:p>
      <w:pPr>
        <w:spacing w:after="60"/>
      </w:pPr>
      <w:r>
        <w:rPr>
          <w:b/>
          <w:i w:val="0"/>
          <w:sz w:val="19"/>
        </w:rPr>
        <w:t>Sio 2016 · Mayo protocol fall-out</w:t>
      </w:r>
      <w:r>
        <w:rPr>
          <w:b w:val="0"/>
          <w:i w:val="0"/>
          <w:sz w:val="19"/>
        </w:rPr>
        <w:t xml:space="preserve"> — Outcome of Transplant-fallout Patients With Unresectable Cholangiocarcinoma</w:t>
      </w:r>
      <w:r>
        <w:rPr>
          <w:b w:val="0"/>
          <w:i w:val="0"/>
          <w:sz w:val="19"/>
        </w:rPr>
        <w:t xml:space="preserve">  </w:t>
      </w:r>
      <w:hyperlink r:id="rId101">
        <w:r>
          <w:rPr>
            <w:color w:val="0563C1"/>
            <w:u w:val="single"/>
            <w:sz w:val="19"/>
          </w:rPr>
          <w:t xml:space="preserve">PubMed</w:t>
        </w:r>
      </w:hyperlink>
      <w:r>
        <w:rPr>
          <w:b w:val="0"/>
          <w:i w:val="0"/>
          <w:sz w:val="19"/>
        </w:rPr>
        <w:t xml:space="preserve"> · </w:t>
      </w:r>
      <w:hyperlink r:id="rId102">
        <w:r>
          <w:rPr>
            <w:color w:val="0563C1"/>
            <w:u w:val="single"/>
            <w:sz w:val="19"/>
          </w:rPr>
          <w:t xml:space="preserve">Journal</w:t>
        </w:r>
      </w:hyperlink>
      <w:r>
        <w:rPr>
          <w:b w:val="0"/>
          <w:i w:val="0"/>
          <w:sz w:val="19"/>
        </w:rPr>
        <w:t xml:space="preserve"> · </w:t>
      </w:r>
      <w:hyperlink r:id="rId103">
        <w:r>
          <w:rPr>
            <w:color w:val="0563C1"/>
            <w:u w:val="single"/>
            <w:sz w:val="19"/>
          </w:rPr>
          <w:t xml:space="preserve">TMC library</w:t>
        </w:r>
      </w:hyperlink>
    </w:p>
    <w:p>
      <w:pPr>
        <w:spacing w:after="60"/>
      </w:pPr>
      <w:r>
        <w:rPr>
          <w:b/>
          <w:i w:val="0"/>
          <w:sz w:val="19"/>
        </w:rPr>
        <w:t>Soliman 2025 · GemCis</w:t>
      </w:r>
      <w:r>
        <w:rPr>
          <w:b w:val="0"/>
          <w:i w:val="0"/>
          <w:sz w:val="19"/>
        </w:rPr>
        <w:t xml:space="preserve"> — Neoadjuvant Multiagent Systemic Therapy Approach to Liver Transplantation for Perihilar Cholangiocarcinoma</w:t>
      </w:r>
      <w:r>
        <w:rPr>
          <w:b w:val="0"/>
          <w:i w:val="0"/>
          <w:sz w:val="19"/>
        </w:rPr>
        <w:t xml:space="preserve">  </w:t>
      </w:r>
      <w:hyperlink r:id="rId104">
        <w:r>
          <w:rPr>
            <w:color w:val="0563C1"/>
            <w:u w:val="single"/>
            <w:sz w:val="19"/>
          </w:rPr>
          <w:t xml:space="preserve">PubMed</w:t>
        </w:r>
      </w:hyperlink>
      <w:r>
        <w:rPr>
          <w:b w:val="0"/>
          <w:i w:val="0"/>
          <w:sz w:val="19"/>
        </w:rPr>
        <w:t xml:space="preserve"> · </w:t>
      </w:r>
      <w:hyperlink r:id="rId105">
        <w:r>
          <w:rPr>
            <w:color w:val="0563C1"/>
            <w:u w:val="single"/>
            <w:sz w:val="19"/>
          </w:rPr>
          <w:t xml:space="preserve">Journal</w:t>
        </w:r>
      </w:hyperlink>
      <w:r>
        <w:rPr>
          <w:b w:val="0"/>
          <w:i w:val="0"/>
          <w:sz w:val="19"/>
        </w:rPr>
        <w:t xml:space="preserve"> · </w:t>
      </w:r>
      <w:hyperlink r:id="rId106">
        <w:r>
          <w:rPr>
            <w:color w:val="0563C1"/>
            <w:u w:val="single"/>
            <w:sz w:val="19"/>
          </w:rPr>
          <w:t xml:space="preserve">Source</w:t>
        </w:r>
      </w:hyperlink>
      <w:r>
        <w:rPr>
          <w:b w:val="0"/>
          <w:i w:val="0"/>
          <w:sz w:val="19"/>
        </w:rPr>
        <w:t xml:space="preserve"> · </w:t>
      </w:r>
      <w:hyperlink r:id="rId107">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08">
        <w:r>
          <w:rPr>
            <w:color w:val="0563C1"/>
            <w:u w:val="single"/>
            <w:sz w:val="19"/>
          </w:rPr>
          <w:t xml:space="preserve">PubMed</w:t>
        </w:r>
      </w:hyperlink>
      <w:r>
        <w:rPr>
          <w:b w:val="0"/>
          <w:i w:val="0"/>
          <w:sz w:val="19"/>
        </w:rPr>
        <w:t xml:space="preserve"> · </w:t>
      </w:r>
      <w:hyperlink r:id="rId109">
        <w:r>
          <w:rPr>
            <w:color w:val="0563C1"/>
            <w:u w:val="single"/>
            <w:sz w:val="19"/>
          </w:rPr>
          <w:t xml:space="preserve">Journal</w:t>
        </w:r>
      </w:hyperlink>
      <w:r>
        <w:rPr>
          <w:b w:val="0"/>
          <w:i w:val="0"/>
          <w:sz w:val="19"/>
        </w:rPr>
        <w:t xml:space="preserve"> · </w:t>
      </w:r>
      <w:hyperlink r:id="rId110">
        <w:r>
          <w:rPr>
            <w:color w:val="0563C1"/>
            <w:u w:val="single"/>
            <w:sz w:val="19"/>
          </w:rPr>
          <w:t xml:space="preserve">Free full text</w:t>
        </w:r>
      </w:hyperlink>
      <w:r>
        <w:rPr>
          <w:b w:val="0"/>
          <w:i w:val="0"/>
          <w:sz w:val="19"/>
        </w:rPr>
        <w:t xml:space="preserve"> · </w:t>
      </w:r>
      <w:hyperlink r:id="rId111">
        <w:r>
          <w:rPr>
            <w:color w:val="0563C1"/>
            <w:u w:val="single"/>
            <w:sz w:val="19"/>
          </w:rPr>
          <w:t xml:space="preserve">Source</w:t>
        </w:r>
      </w:hyperlink>
      <w:r>
        <w:rPr>
          <w:b w:val="0"/>
          <w:i w:val="0"/>
          <w:sz w:val="19"/>
        </w:rPr>
        <w:t xml:space="preserve"> · </w:t>
      </w:r>
      <w:hyperlink r:id="rId112">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13">
        <w:r>
          <w:rPr>
            <w:color w:val="0563C1"/>
            <w:u w:val="single"/>
            <w:sz w:val="19"/>
          </w:rPr>
          <w:t xml:space="preserve">PubMed</w:t>
        </w:r>
      </w:hyperlink>
      <w:r>
        <w:rPr>
          <w:b w:val="0"/>
          <w:i w:val="0"/>
          <w:sz w:val="19"/>
        </w:rPr>
        <w:t xml:space="preserve"> · </w:t>
      </w:r>
      <w:hyperlink r:id="rId114">
        <w:r>
          <w:rPr>
            <w:color w:val="0563C1"/>
            <w:u w:val="single"/>
            <w:sz w:val="19"/>
          </w:rPr>
          <w:t xml:space="preserve">Journal</w:t>
        </w:r>
      </w:hyperlink>
      <w:r>
        <w:rPr>
          <w:b w:val="0"/>
          <w:i w:val="0"/>
          <w:sz w:val="19"/>
        </w:rPr>
        <w:t xml:space="preserve"> · </w:t>
      </w:r>
      <w:hyperlink r:id="rId115">
        <w:r>
          <w:rPr>
            <w:color w:val="0563C1"/>
            <w:u w:val="single"/>
            <w:sz w:val="19"/>
          </w:rPr>
          <w:t xml:space="preserve">TMC library</w:t>
        </w:r>
      </w:hyperlink>
    </w:p>
    <w:p>
      <w:pPr>
        <w:spacing w:after="60"/>
      </w:pPr>
      <w:r>
        <w:rPr>
          <w:b/>
          <w:i w:val="0"/>
          <w:sz w:val="19"/>
        </w:rPr>
        <w:t>Vugts 2021</w:t>
      </w:r>
      <w:r>
        <w:rPr>
          <w:b w:val="0"/>
          <w:i w:val="0"/>
          <w:sz w:val="19"/>
        </w:rPr>
        <w:t xml:space="preserve"> — Eligibility for Liver Transplantation in Patients with Perihilar Cholangiocarcinoma</w:t>
      </w:r>
      <w:r>
        <w:rPr>
          <w:b w:val="0"/>
          <w:i w:val="0"/>
          <w:sz w:val="19"/>
        </w:rPr>
        <w:t xml:space="preserve">  </w:t>
      </w:r>
      <w:hyperlink r:id="rId116">
        <w:r>
          <w:rPr>
            <w:color w:val="0563C1"/>
            <w:u w:val="single"/>
            <w:sz w:val="19"/>
          </w:rPr>
          <w:t xml:space="preserve">PubMed</w:t>
        </w:r>
      </w:hyperlink>
      <w:r>
        <w:rPr>
          <w:b w:val="0"/>
          <w:i w:val="0"/>
          <w:sz w:val="19"/>
        </w:rPr>
        <w:t xml:space="preserve"> · </w:t>
      </w:r>
      <w:hyperlink r:id="rId117">
        <w:r>
          <w:rPr>
            <w:color w:val="0563C1"/>
            <w:u w:val="single"/>
            <w:sz w:val="19"/>
          </w:rPr>
          <w:t xml:space="preserve">Journal</w:t>
        </w:r>
      </w:hyperlink>
      <w:r>
        <w:rPr>
          <w:b w:val="0"/>
          <w:i w:val="0"/>
          <w:sz w:val="19"/>
        </w:rPr>
        <w:t xml:space="preserve"> · </w:t>
      </w:r>
      <w:hyperlink r:id="rId118">
        <w:r>
          <w:rPr>
            <w:color w:val="0563C1"/>
            <w:u w:val="single"/>
            <w:sz w:val="19"/>
          </w:rPr>
          <w:t xml:space="preserve">Free full text</w:t>
        </w:r>
      </w:hyperlink>
      <w:r>
        <w:rPr>
          <w:b w:val="0"/>
          <w:i w:val="0"/>
          <w:sz w:val="19"/>
        </w:rPr>
        <w:t xml:space="preserve"> · </w:t>
      </w:r>
      <w:hyperlink r:id="rId119">
        <w:r>
          <w:rPr>
            <w:color w:val="0563C1"/>
            <w:u w:val="single"/>
            <w:sz w:val="19"/>
          </w:rPr>
          <w:t xml:space="preserve">Source</w:t>
        </w:r>
      </w:hyperlink>
      <w:r>
        <w:rPr>
          <w:b w:val="0"/>
          <w:i w:val="0"/>
          <w:sz w:val="19"/>
        </w:rPr>
        <w:t xml:space="preserve"> · </w:t>
      </w:r>
      <w:hyperlink r:id="rId120">
        <w:r>
          <w:rPr>
            <w:color w:val="0563C1"/>
            <w:u w:val="single"/>
            <w:sz w:val="19"/>
          </w:rPr>
          <w:t xml:space="preserve">TMC library</w:t>
        </w:r>
      </w:hyperlink>
    </w:p>
    <w:p>
      <w:pPr>
        <w:spacing w:after="60"/>
      </w:pPr>
      <w:r>
        <w:rPr>
          <w:b/>
          <w:i w:val="0"/>
          <w:sz w:val="19"/>
        </w:rPr>
        <w:t>Welling 2014 · SBRT</w:t>
      </w:r>
      <w:r>
        <w:rPr>
          <w:b w:val="0"/>
          <w:i w:val="0"/>
          <w:sz w:val="19"/>
        </w:rPr>
        <w:t xml:space="preserve"> — Neoadjuvant stereotactic body radiation therapy, capecitabine, and liver transplantation for unresectable hilar cholangiocarcinoma</w:t>
      </w:r>
      <w:r>
        <w:rPr>
          <w:b w:val="0"/>
          <w:i w:val="0"/>
          <w:sz w:val="19"/>
        </w:rPr>
        <w:t xml:space="preserve">  </w:t>
      </w:r>
      <w:hyperlink r:id="rId121">
        <w:r>
          <w:rPr>
            <w:color w:val="0563C1"/>
            <w:u w:val="single"/>
            <w:sz w:val="19"/>
          </w:rPr>
          <w:t xml:space="preserve">PubMed</w:t>
        </w:r>
      </w:hyperlink>
      <w:r>
        <w:rPr>
          <w:b w:val="0"/>
          <w:i w:val="0"/>
          <w:sz w:val="19"/>
        </w:rPr>
        <w:t xml:space="preserve"> · </w:t>
      </w:r>
      <w:hyperlink r:id="rId122">
        <w:r>
          <w:rPr>
            <w:color w:val="0563C1"/>
            <w:u w:val="single"/>
            <w:sz w:val="19"/>
          </w:rPr>
          <w:t xml:space="preserve">Journal</w:t>
        </w:r>
      </w:hyperlink>
      <w:r>
        <w:rPr>
          <w:b w:val="0"/>
          <w:i w:val="0"/>
          <w:sz w:val="19"/>
        </w:rPr>
        <w:t xml:space="preserve"> · </w:t>
      </w:r>
      <w:hyperlink r:id="rId123">
        <w:r>
          <w:rPr>
            <w:color w:val="0563C1"/>
            <w:u w:val="single"/>
            <w:sz w:val="19"/>
          </w:rPr>
          <w:t xml:space="preserve">Source</w:t>
        </w:r>
      </w:hyperlink>
      <w:r>
        <w:rPr>
          <w:b w:val="0"/>
          <w:i w:val="0"/>
          <w:sz w:val="19"/>
        </w:rPr>
        <w:t xml:space="preserve"> · </w:t>
      </w:r>
      <w:hyperlink r:id="rId124">
        <w:r>
          <w:rPr>
            <w:color w:val="0563C1"/>
            <w:u w:val="single"/>
            <w:sz w:val="19"/>
          </w:rPr>
          <w:t xml:space="preserve">TMC library</w:t>
        </w:r>
      </w:hyperlink>
    </w:p>
    <w:p>
      <w:pPr>
        <w:spacing w:after="60"/>
      </w:pPr>
      <w:r>
        <w:rPr>
          <w:b/>
          <w:i w:val="0"/>
          <w:sz w:val="19"/>
        </w:rPr>
        <w:t>Wong 2019 · downstaging pilot</w:t>
      </w:r>
      <w:r>
        <w:rPr>
          <w:b w:val="0"/>
          <w:i w:val="0"/>
          <w:sz w:val="19"/>
        </w:rPr>
        <w:t xml:space="preserve"> — Downstaging locally advanced cholangiocarcinoma pre-liver transplantation: a prospective pilot study</w:t>
      </w:r>
      <w:r>
        <w:rPr>
          <w:b w:val="0"/>
          <w:i w:val="0"/>
          <w:sz w:val="19"/>
        </w:rPr>
        <w:t xml:space="preserve">  </w:t>
      </w:r>
      <w:hyperlink r:id="rId125">
        <w:r>
          <w:rPr>
            <w:color w:val="0563C1"/>
            <w:u w:val="single"/>
            <w:sz w:val="19"/>
          </w:rPr>
          <w:t xml:space="preserve">PubMed</w:t>
        </w:r>
      </w:hyperlink>
      <w:r>
        <w:rPr>
          <w:b w:val="0"/>
          <w:i w:val="0"/>
          <w:sz w:val="19"/>
        </w:rPr>
        <w:t xml:space="preserve"> · </w:t>
      </w:r>
      <w:hyperlink r:id="rId126">
        <w:r>
          <w:rPr>
            <w:color w:val="0563C1"/>
            <w:u w:val="single"/>
            <w:sz w:val="19"/>
          </w:rPr>
          <w:t xml:space="preserve">Journal</w:t>
        </w:r>
      </w:hyperlink>
      <w:r>
        <w:rPr>
          <w:b w:val="0"/>
          <w:i w:val="0"/>
          <w:sz w:val="19"/>
        </w:rPr>
        <w:t xml:space="preserve"> · </w:t>
      </w:r>
      <w:hyperlink r:id="rId127">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28">
        <w:r>
          <w:rPr>
            <w:color w:val="0563C1"/>
            <w:u w:val="single"/>
            <w:sz w:val="19"/>
          </w:rPr>
          <w:t xml:space="preserve">PubMed</w:t>
        </w:r>
      </w:hyperlink>
      <w:r>
        <w:rPr>
          <w:b w:val="0"/>
          <w:i w:val="0"/>
          <w:sz w:val="19"/>
        </w:rPr>
        <w:t xml:space="preserve"> · </w:t>
      </w:r>
      <w:hyperlink r:id="rId129">
        <w:r>
          <w:rPr>
            <w:color w:val="0563C1"/>
            <w:u w:val="single"/>
            <w:sz w:val="19"/>
          </w:rPr>
          <w:t xml:space="preserve">Journal</w:t>
        </w:r>
      </w:hyperlink>
      <w:r>
        <w:rPr>
          <w:b w:val="0"/>
          <w:i w:val="0"/>
          <w:sz w:val="19"/>
        </w:rPr>
        <w:t xml:space="preserve"> · </w:t>
      </w:r>
      <w:hyperlink r:id="rId130">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31">
        <w:r>
          <w:rPr>
            <w:color w:val="0563C1"/>
            <w:u w:val="single"/>
            <w:sz w:val="19"/>
          </w:rPr>
          <w:t xml:space="preserve">PubMed</w:t>
        </w:r>
      </w:hyperlink>
      <w:r>
        <w:rPr>
          <w:b w:val="0"/>
          <w:i w:val="0"/>
          <w:sz w:val="19"/>
        </w:rPr>
        <w:t xml:space="preserve"> · </w:t>
      </w:r>
      <w:hyperlink r:id="rId132">
        <w:r>
          <w:rPr>
            <w:color w:val="0563C1"/>
            <w:u w:val="single"/>
            <w:sz w:val="19"/>
          </w:rPr>
          <w:t xml:space="preserve">Journal</w:t>
        </w:r>
      </w:hyperlink>
      <w:r>
        <w:rPr>
          <w:b w:val="0"/>
          <w:i w:val="0"/>
          <w:sz w:val="19"/>
        </w:rPr>
        <w:t xml:space="preserve"> · </w:t>
      </w:r>
      <w:hyperlink r:id="rId133">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Free full text</w:t>
        </w:r>
      </w:hyperlink>
      <w:r>
        <w:rPr>
          <w:b w:val="0"/>
          <w:i w:val="0"/>
          <w:sz w:val="19"/>
        </w:rPr>
        <w:t xml:space="preserve"> · </w:t>
      </w:r>
      <w:hyperlink r:id="rId137">
        <w:r>
          <w:rPr>
            <w:color w:val="0563C1"/>
            <w:u w:val="single"/>
            <w:sz w:val="19"/>
          </w:rPr>
          <w:t xml:space="preserve">Source</w:t>
        </w:r>
      </w:hyperlink>
      <w:r>
        <w:rPr>
          <w:b w:val="0"/>
          <w:i w:val="0"/>
          <w:sz w:val="19"/>
        </w:rPr>
        <w:t xml:space="preserve"> · </w:t>
      </w:r>
      <w:hyperlink r:id="rId13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pcca/#diagnosis" TargetMode="External"/><Relationship Id="rId9" Type="http://schemas.openxmlformats.org/officeDocument/2006/relationships/hyperlink" Target="https://drliuhao.github.io/mh-liver-pathways/transplant/pcca/#phenotype" TargetMode="External"/><Relationship Id="rId10" Type="http://schemas.openxmlformats.org/officeDocument/2006/relationships/hyperlink" Target="https://drliuhao.github.io/mh-liver-pathways/transplant/pcca/#staging" TargetMode="External"/><Relationship Id="rId11" Type="http://schemas.openxmlformats.org/officeDocument/2006/relationships/hyperlink" Target="https://drliuhao.github.io/mh-liver-pathways/transplant/pcca/#high-risk-pcca-b1" TargetMode="External"/><Relationship Id="rId12" Type="http://schemas.openxmlformats.org/officeDocument/2006/relationships/hyperlink" Target="https://drliuhao.github.io/mh-liver-pathways/transplant/pcca/#high-risk-pcca-b2" TargetMode="External"/><Relationship Id="rId13" Type="http://schemas.openxmlformats.org/officeDocument/2006/relationships/hyperlink" Target="https://drliuhao.github.io/mh-liver-pathways/transplant/pcca/#neoadjuvant" TargetMode="External"/><Relationship Id="rId14" Type="http://schemas.openxmlformats.org/officeDocument/2006/relationships/hyperlink" Target="https://drliuhao.github.io/mh-liver-pathways/transplant/pcca/#high-risk-pcca-b3" TargetMode="External"/><Relationship Id="rId15" Type="http://schemas.openxmlformats.org/officeDocument/2006/relationships/hyperlink" Target="https://drliuhao.github.io/mh-liver-pathways/transplant/pcca/#high-risk-alloc-b1" TargetMode="External"/><Relationship Id="rId16" Type="http://schemas.openxmlformats.org/officeDocument/2006/relationships/hyperlink" Target="https://drliuhao.github.io/mh-liver-pathways/transplant/pcca/#high-risk-alloc-b2" TargetMode="External"/><Relationship Id="rId17" Type="http://schemas.openxmlformats.org/officeDocument/2006/relationships/hyperlink" Target="https://drliuhao.github.io/mh-liver-pathways/transplant/pcca/#high-risk-alloc-b3" TargetMode="External"/><Relationship Id="rId18" Type="http://schemas.openxmlformats.org/officeDocument/2006/relationships/hyperlink" Target="https://drliuhao.github.io/mh-liver-pathways/transplant/pcca/#high-risk-alloc-b4" TargetMode="External"/><Relationship Id="rId19" Type="http://schemas.openxmlformats.org/officeDocument/2006/relationships/hyperlink" Target="https://pubmed.ncbi.nlm.nih.gov/22335782/" TargetMode="External"/><Relationship Id="rId20" Type="http://schemas.openxmlformats.org/officeDocument/2006/relationships/hyperlink" Target="https://doi.org/10.1111/j.1600-6143.2011.03972.x" TargetMode="External"/><Relationship Id="rId21" Type="http://schemas.openxmlformats.org/officeDocument/2006/relationships/hyperlink" Target="https://pmc.ncbi.nlm.nih.gov/articles/PMC3732171/pdf/nihms-491154.pdf" TargetMode="External"/><Relationship Id="rId22" Type="http://schemas.openxmlformats.org/officeDocument/2006/relationships/hyperlink" Target="https://pmc.ncbi.nlm.nih.gov/articles/PMC3732171/" TargetMode="External"/><Relationship Id="rId23" Type="http://schemas.openxmlformats.org/officeDocument/2006/relationships/hyperlink" Target="https://thslc-houston.primo.exlibrisgroup.com/discovery/search?vid=01TEXASHEALTH_HOUSTON%3ATMC_INST&amp;query=any,contains,10.1111%2Fj.1600-6143.2011.03972.x&amp;lang=en" TargetMode="External"/><Relationship Id="rId24" Type="http://schemas.openxmlformats.org/officeDocument/2006/relationships/hyperlink" Target="https://pubmed.ncbi.nlm.nih.gov/26172136/" TargetMode="External"/><Relationship Id="rId25" Type="http://schemas.openxmlformats.org/officeDocument/2006/relationships/hyperlink" Target="https://doi.org/10.1111/hpb.12450" TargetMode="External"/><Relationship Id="rId26" Type="http://schemas.openxmlformats.org/officeDocument/2006/relationships/hyperlink" Target="https://thslc-houston.primo.exlibrisgroup.com/discovery/search?vid=01TEXASHEALTH_HOUSTON%3ATMC_INST&amp;query=any,contains,10.1111%2Fhpb.12450&amp;lang=en" TargetMode="External"/><Relationship Id="rId27" Type="http://schemas.openxmlformats.org/officeDocument/2006/relationships/hyperlink" Target="https://pubmed.ncbi.nlm.nih.gov/38521169/" TargetMode="External"/><Relationship Id="rId28" Type="http://schemas.openxmlformats.org/officeDocument/2006/relationships/hyperlink" Target="https://doi.org/10.1016/j.jhep.2024.03.020" TargetMode="External"/><Relationship Id="rId29" Type="http://schemas.openxmlformats.org/officeDocument/2006/relationships/hyperlink" Target="https://thslc-houston.primo.exlibrisgroup.com/discovery/search?vid=01TEXASHEALTH_HOUSTON%3ATMC_INST&amp;query=any,contains,10.1016%2Fj.jhep.2024.03.020&amp;lang=en" TargetMode="External"/><Relationship Id="rId30" Type="http://schemas.openxmlformats.org/officeDocument/2006/relationships/hyperlink" Target="https://pubmed.ncbi.nlm.nih.gov/34844860/" TargetMode="External"/><Relationship Id="rId31" Type="http://schemas.openxmlformats.org/officeDocument/2006/relationships/hyperlink" Target="https://doi.org/10.1016/j.hpb.2021.11.001" TargetMode="External"/><Relationship Id="rId32" Type="http://schemas.openxmlformats.org/officeDocument/2006/relationships/hyperlink" Target="https://pmc.ncbi.nlm.nih.gov/articles/PMC9085963/" TargetMode="External"/><Relationship Id="rId33" Type="http://schemas.openxmlformats.org/officeDocument/2006/relationships/hyperlink" Target="https://thslc-houston.primo.exlibrisgroup.com/discovery/search?vid=01TEXASHEALTH_HOUSTON%3ATMC_INST&amp;query=any,contains,10.1016%2Fj.hpb.2021.11.001&amp;lang=en" TargetMode="External"/><Relationship Id="rId34" Type="http://schemas.openxmlformats.org/officeDocument/2006/relationships/hyperlink" Target="https://pubmed.ncbi.nlm.nih.gov/38884781/" TargetMode="External"/><Relationship Id="rId35" Type="http://schemas.openxmlformats.org/officeDocument/2006/relationships/hyperlink" Target="https://doi.org/10.1007/s00270-024-03743-8" TargetMode="External"/><Relationship Id="rId36" Type="http://schemas.openxmlformats.org/officeDocument/2006/relationships/hyperlink" Target="https://pmc.ncbi.nlm.nih.gov/articles/PMC11303578/pdf/270_2024_Article_3743.pdf" TargetMode="External"/><Relationship Id="rId37" Type="http://schemas.openxmlformats.org/officeDocument/2006/relationships/hyperlink" Target="https://pmc.ncbi.nlm.nih.gov/articles/PMC11303578/" TargetMode="External"/><Relationship Id="rId38" Type="http://schemas.openxmlformats.org/officeDocument/2006/relationships/hyperlink" Target="https://thslc-houston.primo.exlibrisgroup.com/discovery/search?vid=01TEXASHEALTH_HOUSTON%3ATMC_INST&amp;query=any,contains,10.1007%2Fs00270-024-03743-8&amp;lang=en" TargetMode="External"/><Relationship Id="rId39" Type="http://schemas.openxmlformats.org/officeDocument/2006/relationships/hyperlink" Target="https://pubmed.ncbi.nlm.nih.gov/42323458/" TargetMode="External"/><Relationship Id="rId40" Type="http://schemas.openxmlformats.org/officeDocument/2006/relationships/hyperlink" Target="https://doi.org/10.1245/s10434-026-19975-6" TargetMode="External"/><Relationship Id="rId41" Type="http://schemas.openxmlformats.org/officeDocument/2006/relationships/hyperlink" Target="https://thslc-houston.primo.exlibrisgroup.com/discovery/search?vid=01TEXASHEALTH_HOUSTON%3ATMC_INST&amp;query=any,contains,10.1245%2Fs10434-026-19975-6&amp;lang=en" TargetMode="External"/><Relationship Id="rId42" Type="http://schemas.openxmlformats.org/officeDocument/2006/relationships/hyperlink" Target="https://pubmed.ncbi.nlm.nih.gov/22504095/" TargetMode="External"/><Relationship Id="rId43" Type="http://schemas.openxmlformats.org/officeDocument/2006/relationships/hyperlink" Target="https://doi.org/10.1053/j.gastro.2012.04.008" TargetMode="External"/><Relationship Id="rId44" Type="http://schemas.openxmlformats.org/officeDocument/2006/relationships/hyperlink" Target="https://pmc.ncbi.nlm.nih.gov/articles/PMC3846443/" TargetMode="External"/><Relationship Id="rId45" Type="http://schemas.openxmlformats.org/officeDocument/2006/relationships/hyperlink" Target="https://thslc-houston.primo.exlibrisgroup.com/discovery/search?vid=01TEXASHEALTH_HOUSTON%3ATMC_INST&amp;query=any,contains,10.1053%2Fj.gastro.2012.04.008&amp;lang=en" TargetMode="External"/><Relationship Id="rId46" Type="http://schemas.openxmlformats.org/officeDocument/2006/relationships/hyperlink" Target="https://pubmed.ncbi.nlm.nih.gov/22290335/" TargetMode="External"/><Relationship Id="rId47" Type="http://schemas.openxmlformats.org/officeDocument/2006/relationships/hyperlink" Target="https://doi.org/10.1002/hep.25629" TargetMode="External"/><Relationship Id="rId48" Type="http://schemas.openxmlformats.org/officeDocument/2006/relationships/hyperlink" Target="https://pmc.ncbi.nlm.nih.gov/articles/PMC3830980/" TargetMode="External"/><Relationship Id="rId49" Type="http://schemas.openxmlformats.org/officeDocument/2006/relationships/hyperlink" Target="https://thslc-houston.primo.exlibrisgroup.com/discovery/search?vid=01TEXASHEALTH_HOUSTON%3ATMC_INST&amp;query=any,contains,10.1002%2Fhep.25629&amp;lang=en" TargetMode="External"/><Relationship Id="rId50" Type="http://schemas.openxmlformats.org/officeDocument/2006/relationships/hyperlink" Target="https://pubmed.ncbi.nlm.nih.gov/27647626/" TargetMode="External"/><Relationship Id="rId51" Type="http://schemas.openxmlformats.org/officeDocument/2006/relationships/hyperlink" Target="https://doi.org/10.1111/ajt.14055" TargetMode="External"/><Relationship Id="rId52" Type="http://schemas.openxmlformats.org/officeDocument/2006/relationships/hyperlink" Target="https://pmc.ncbi.nlm.nih.gov/articles/PMC5359081/pdf/nihms818467.pdf" TargetMode="External"/><Relationship Id="rId53" Type="http://schemas.openxmlformats.org/officeDocument/2006/relationships/hyperlink" Target="https://pmc.ncbi.nlm.nih.gov/articles/PMC5359081/" TargetMode="External"/><Relationship Id="rId54" Type="http://schemas.openxmlformats.org/officeDocument/2006/relationships/hyperlink" Target="https://thslc-houston.primo.exlibrisgroup.com/discovery/search?vid=01TEXASHEALTH_HOUSTON%3ATMC_INST&amp;query=any,contains,10.1111%2Fajt.14055&amp;lang=en" TargetMode="External"/><Relationship Id="rId55" Type="http://schemas.openxmlformats.org/officeDocument/2006/relationships/hyperlink" Target="https://pubmed.ncbi.nlm.nih.gov/40622853/" TargetMode="External"/><Relationship Id="rId56" Type="http://schemas.openxmlformats.org/officeDocument/2006/relationships/hyperlink" Target="https://doi.org/10.1097/HEP.0000000000001449" TargetMode="External"/><Relationship Id="rId57" Type="http://schemas.openxmlformats.org/officeDocument/2006/relationships/hyperlink" Target="https://pmc.ncbi.nlm.nih.gov/articles/PMC13089817/pdf/hep-83-1128.pdf" TargetMode="External"/><Relationship Id="rId58" Type="http://schemas.openxmlformats.org/officeDocument/2006/relationships/hyperlink" Target="https://pmc.ncbi.nlm.nih.gov/articles/PMC13089817/" TargetMode="External"/><Relationship Id="rId59" Type="http://schemas.openxmlformats.org/officeDocument/2006/relationships/hyperlink" Target="https://thslc-houston.primo.exlibrisgroup.com/discovery/search?vid=01TEXASHEALTH_HOUSTON%3ATMC_INST&amp;query=any,contains,10.1097%2FHEP.0000000000001449&amp;lang=en" TargetMode="External"/><Relationship Id="rId60" Type="http://schemas.openxmlformats.org/officeDocument/2006/relationships/hyperlink" Target="https://pubmed.ncbi.nlm.nih.gov/42270817/" TargetMode="External"/><Relationship Id="rId61" Type="http://schemas.openxmlformats.org/officeDocument/2006/relationships/hyperlink" Target="https://doi.org/10.1038/s41571-026-01160-z" TargetMode="External"/><Relationship Id="rId62" Type="http://schemas.openxmlformats.org/officeDocument/2006/relationships/hyperlink" Target="https://pmc.ncbi.nlm.nih.gov/articles/PMC13665261/pdf/nihms-2192929.pdf" TargetMode="External"/><Relationship Id="rId63" Type="http://schemas.openxmlformats.org/officeDocument/2006/relationships/hyperlink" Target="https://pmc.ncbi.nlm.nih.gov/articles/PMC13665261/" TargetMode="External"/><Relationship Id="rId64" Type="http://schemas.openxmlformats.org/officeDocument/2006/relationships/hyperlink" Target="https://thslc-houston.primo.exlibrisgroup.com/discovery/search?vid=01TEXASHEALTH_HOUSTON%3ATMC_INST&amp;query=any,contains,10.1038%2Fs41571-026-01160-z&amp;lang=en" TargetMode="External"/><Relationship Id="rId65" Type="http://schemas.openxmlformats.org/officeDocument/2006/relationships/hyperlink" Target="https://pubmed.ncbi.nlm.nih.gov/27777223/" TargetMode="External"/><Relationship Id="rId66" Type="http://schemas.openxmlformats.org/officeDocument/2006/relationships/hyperlink" Target="https://doi.org/10.1136/bmj.i5239" TargetMode="External"/><Relationship Id="rId67" Type="http://schemas.openxmlformats.org/officeDocument/2006/relationships/hyperlink" Target="https://pmc.ncbi.nlm.nih.gov/articles/PMC5076380/" TargetMode="External"/><Relationship Id="rId68" Type="http://schemas.openxmlformats.org/officeDocument/2006/relationships/hyperlink" Target="https://thslc-houston.primo.exlibrisgroup.com/discovery/search?vid=01TEXASHEALTH_HOUSTON%3ATMC_INST&amp;query=any,contains,10.1136%2Fbmj.i5239&amp;lang=en" TargetMode="External"/><Relationship Id="rId69" Type="http://schemas.openxmlformats.org/officeDocument/2006/relationships/hyperlink" Target="https://pubmed.ncbi.nlm.nih.gov/29064885/" TargetMode="External"/><Relationship Id="rId70" Type="http://schemas.openxmlformats.org/officeDocument/2006/relationships/hyperlink" Target="https://doi.org/10.1097/SLA.0000000000002574" TargetMode="External"/><Relationship Id="rId71" Type="http://schemas.openxmlformats.org/officeDocument/2006/relationships/hyperlink" Target="https://pmc.ncbi.nlm.nih.gov/articles/PMC6002861/pdf/nihms955692.pdf" TargetMode="External"/><Relationship Id="rId72" Type="http://schemas.openxmlformats.org/officeDocument/2006/relationships/hyperlink" Target="https://pmc.ncbi.nlm.nih.gov/articles/PMC6002861/" TargetMode="External"/><Relationship Id="rId73" Type="http://schemas.openxmlformats.org/officeDocument/2006/relationships/hyperlink" Target="https://thslc-houston.primo.exlibrisgroup.com/discovery/search?vid=01TEXASHEALTH_HOUSTON%3ATMC_INST&amp;query=any,contains,10.1097%2FSLA.0000000000002574&amp;lang=en" TargetMode="External"/><Relationship Id="rId74" Type="http://schemas.openxmlformats.org/officeDocument/2006/relationships/hyperlink" Target="https://pubmed.ncbi.nlm.nih.gov/21492336/" TargetMode="External"/><Relationship Id="rId75" Type="http://schemas.openxmlformats.org/officeDocument/2006/relationships/hyperlink" Target="https://doi.org/10.1111/j.1477-2574.2011.00298.x" TargetMode="External"/><Relationship Id="rId76" Type="http://schemas.openxmlformats.org/officeDocument/2006/relationships/hyperlink" Target="https://pmc.ncbi.nlm.nih.gov/articles/PMC3093648/pdf/hpb0013-0356.pdf" TargetMode="External"/><Relationship Id="rId77" Type="http://schemas.openxmlformats.org/officeDocument/2006/relationships/hyperlink" Target="https://pmc.ncbi.nlm.nih.gov/articles/PMC3093648/" TargetMode="External"/><Relationship Id="rId78" Type="http://schemas.openxmlformats.org/officeDocument/2006/relationships/hyperlink" Target="https://thslc-houston.primo.exlibrisgroup.com/discovery/search?vid=01TEXASHEALTH_HOUSTON%3ATMC_INST&amp;query=any,contains,10.1111%2Fj.1477-2574.2011.00298.x&amp;lang=en" TargetMode="External"/><Relationship Id="rId79" Type="http://schemas.openxmlformats.org/officeDocument/2006/relationships/hyperlink" Target="https://www.ecfr.gov/current/title-45/subtitle-A/subchapter-A/part-46/subpart-A/section-46.111" TargetMode="External"/><Relationship Id="rId80" Type="http://schemas.openxmlformats.org/officeDocument/2006/relationships/hyperlink" Target="https://pubmed.ncbi.nlm.nih.gov/37032423/" TargetMode="External"/><Relationship Id="rId81" Type="http://schemas.openxmlformats.org/officeDocument/2006/relationships/hyperlink" Target="https://doi.org/10.1093/bjsopen/zrad025" TargetMode="External"/><Relationship Id="rId82" Type="http://schemas.openxmlformats.org/officeDocument/2006/relationships/hyperlink" Target="https://pmc.ncbi.nlm.nih.gov/articles/PMC10083139/pdf/zrad025.pdf" TargetMode="External"/><Relationship Id="rId83" Type="http://schemas.openxmlformats.org/officeDocument/2006/relationships/hyperlink" Target="https://pmc.ncbi.nlm.nih.gov/articles/PMC10083139/" TargetMode="External"/><Relationship Id="rId84" Type="http://schemas.openxmlformats.org/officeDocument/2006/relationships/hyperlink" Target="https://thslc-houston.primo.exlibrisgroup.com/discovery/search?vid=01TEXASHEALTH_HOUSTON%3ATMC_INST&amp;query=any,contains,10.1093%2Fbjsopen%2Fzrad025&amp;lang=en" TargetMode="External"/><Relationship Id="rId85" Type="http://schemas.openxmlformats.org/officeDocument/2006/relationships/hyperlink" Target="https://pubmed.ncbi.nlm.nih.gov/39996522/" TargetMode="External"/><Relationship Id="rId86" Type="http://schemas.openxmlformats.org/officeDocument/2006/relationships/hyperlink" Target="https://doi.org/10.1002/jhbp.12121" TargetMode="External"/><Relationship Id="rId87" Type="http://schemas.openxmlformats.org/officeDocument/2006/relationships/hyperlink" Target="https://pmc.ncbi.nlm.nih.gov/articles/PMC12038382/pdf/JHBP-32-276.pdf" TargetMode="External"/><Relationship Id="rId88" Type="http://schemas.openxmlformats.org/officeDocument/2006/relationships/hyperlink" Target="https://pmc.ncbi.nlm.nih.gov/articles/PMC12038382/" TargetMode="External"/><Relationship Id="rId89" Type="http://schemas.openxmlformats.org/officeDocument/2006/relationships/hyperlink" Target="https://thslc-houston.primo.exlibrisgroup.com/discovery/search?vid=01TEXASHEALTH_HOUSTON%3ATMC_INST&amp;query=any,contains,10.1002%2Fjhbp.12121&amp;lang=en" TargetMode="External"/><Relationship Id="rId90" Type="http://schemas.openxmlformats.org/officeDocument/2006/relationships/hyperlink" Target="https://pubmed.ncbi.nlm.nih.gov/42835360/" TargetMode="External"/><Relationship Id="rId91" Type="http://schemas.openxmlformats.org/officeDocument/2006/relationships/hyperlink" Target="https://doi.org/10.1155/joot/2545887" TargetMode="External"/><Relationship Id="rId92" Type="http://schemas.openxmlformats.org/officeDocument/2006/relationships/hyperlink" Target="https://thslc-houston.primo.exlibrisgroup.com/discovery/search?vid=01TEXASHEALTH_HOUSTON%3ATMC_INST&amp;query=any,contains,10.1155%2Fjoot%2F2545887&amp;lang=en" TargetMode="External"/><Relationship Id="rId93" Type="http://schemas.openxmlformats.org/officeDocument/2006/relationships/hyperlink" Target="https://www.hrsa.gov/sites/default/files/hrsa/optn/adult-meld-exception-transplant-oncology-review-guidance.pdf" TargetMode="External"/><Relationship Id="rId94" Type="http://schemas.openxmlformats.org/officeDocument/2006/relationships/hyperlink" Target="https://pubmed.ncbi.nlm.nih.gov/32103419/" TargetMode="External"/><Relationship Id="rId95" Type="http://schemas.openxmlformats.org/officeDocument/2006/relationships/hyperlink" Target="https://doi.org/10.1245/s10434-020-08258-3" TargetMode="External"/><Relationship Id="rId96" Type="http://schemas.openxmlformats.org/officeDocument/2006/relationships/hyperlink" Target="https://pmc.ncbi.nlm.nih.gov/articles/PMC7311501/pdf/10434_2020_Article_8258.pdf" TargetMode="External"/><Relationship Id="rId97" Type="http://schemas.openxmlformats.org/officeDocument/2006/relationships/hyperlink" Target="https://pmc.ncbi.nlm.nih.gov/articles/PMC7311501/" TargetMode="External"/><Relationship Id="rId98" Type="http://schemas.openxmlformats.org/officeDocument/2006/relationships/hyperlink" Target="https://thslc-houston.primo.exlibrisgroup.com/discovery/search?vid=01TEXASHEALTH_HOUSTON%3ATMC_INST&amp;query=any,contains,10.1245%2Fs10434-020-08258-3&amp;lang=en" TargetMode="External"/><Relationship Id="rId99" Type="http://schemas.openxmlformats.org/officeDocument/2006/relationships/hyperlink" Target="https://www.hrsa.gov/optn/professionals/resources/ethical-considerations/ethical-principles-in-the-allocation-of-human-organs" TargetMode="External"/><Relationship Id="rId100" Type="http://schemas.openxmlformats.org/officeDocument/2006/relationships/hyperlink" Target="https://www.hrsa.gov/sites/default/files/hrsa/optn/optn_policies.pdf" TargetMode="External"/><Relationship Id="rId101" Type="http://schemas.openxmlformats.org/officeDocument/2006/relationships/hyperlink" Target="https://pubmed.ncbi.nlm.nih.gov/24921218/" TargetMode="External"/><Relationship Id="rId102" Type="http://schemas.openxmlformats.org/officeDocument/2006/relationships/hyperlink" Target="https://doi.org/10.1097/COC.0000000000000056" TargetMode="External"/><Relationship Id="rId103" Type="http://schemas.openxmlformats.org/officeDocument/2006/relationships/hyperlink" Target="https://thslc-houston.primo.exlibrisgroup.com/discovery/search?vid=01TEXASHEALTH_HOUSTON%3ATMC_INST&amp;query=any,contains,10.1097%2FCOC.0000000000000056&amp;lang=en" TargetMode="External"/><Relationship Id="rId104" Type="http://schemas.openxmlformats.org/officeDocument/2006/relationships/hyperlink" Target="https://pubmed.ncbi.nlm.nih.gov/39936132/" TargetMode="External"/><Relationship Id="rId105" Type="http://schemas.openxmlformats.org/officeDocument/2006/relationships/hyperlink" Target="https://doi.org/10.1097/TXD.0000000000001760" TargetMode="External"/><Relationship Id="rId106" Type="http://schemas.openxmlformats.org/officeDocument/2006/relationships/hyperlink" Target="https://pmc.ncbi.nlm.nih.gov/articles/PMC11809964/" TargetMode="External"/><Relationship Id="rId107" Type="http://schemas.openxmlformats.org/officeDocument/2006/relationships/hyperlink" Target="https://thslc-houston.primo.exlibrisgroup.com/discovery/search?vid=01TEXASHEALTH_HOUSTON%3ATMC_INST&amp;query=any,contains,10.1097%2FTXD.0000000000001760&amp;lang=en" TargetMode="External"/><Relationship Id="rId108" Type="http://schemas.openxmlformats.org/officeDocument/2006/relationships/hyperlink" Target="https://pubmed.ncbi.nlm.nih.gov/39544321/" TargetMode="External"/><Relationship Id="rId109" Type="http://schemas.openxmlformats.org/officeDocument/2006/relationships/hyperlink" Target="https://doi.org/10.3389/ti.2024.13641" TargetMode="External"/><Relationship Id="rId110" Type="http://schemas.openxmlformats.org/officeDocument/2006/relationships/hyperlink" Target="https://pmc.ncbi.nlm.nih.gov/articles/PMC11560448/pdf/ti-37-13641.pdf" TargetMode="External"/><Relationship Id="rId111" Type="http://schemas.openxmlformats.org/officeDocument/2006/relationships/hyperlink" Target="https://pmc.ncbi.nlm.nih.gov/articles/PMC11560448/" TargetMode="External"/><Relationship Id="rId112" Type="http://schemas.openxmlformats.org/officeDocument/2006/relationships/hyperlink" Target="https://thslc-houston.primo.exlibrisgroup.com/discovery/search?vid=01TEXASHEALTH_HOUSTON%3ATMC_INST&amp;query=any,contains,10.3389%2Fti.2024.13641&amp;lang=en" TargetMode="External"/><Relationship Id="rId113" Type="http://schemas.openxmlformats.org/officeDocument/2006/relationships/hyperlink" Target="https://pubmed.ncbi.nlm.nih.gov/39306468/" TargetMode="External"/><Relationship Id="rId114" Type="http://schemas.openxmlformats.org/officeDocument/2006/relationships/hyperlink" Target="https://doi.org/10.1016/S0140-6736(24)01595-2" TargetMode="External"/><Relationship Id="rId115" Type="http://schemas.openxmlformats.org/officeDocument/2006/relationships/hyperlink" Target="https://thslc-houston.primo.exlibrisgroup.com/discovery/search?vid=01TEXASHEALTH_HOUSTON%3ATMC_INST&amp;query=any,contains,10.1016%2FS0140-6736%2824%2901595-2&amp;lang=en" TargetMode="External"/><Relationship Id="rId116" Type="http://schemas.openxmlformats.org/officeDocument/2006/relationships/hyperlink" Target="https://pubmed.ncbi.nlm.nih.gov/32901308/" TargetMode="External"/><Relationship Id="rId117" Type="http://schemas.openxmlformats.org/officeDocument/2006/relationships/hyperlink" Target="https://doi.org/10.1245/s10434-020-09001-8" TargetMode="External"/><Relationship Id="rId118" Type="http://schemas.openxmlformats.org/officeDocument/2006/relationships/hyperlink" Target="https://pmc.ncbi.nlm.nih.gov/articles/PMC7892510/pdf/10434_2020_Article_9001.pdf" TargetMode="External"/><Relationship Id="rId119" Type="http://schemas.openxmlformats.org/officeDocument/2006/relationships/hyperlink" Target="https://pmc.ncbi.nlm.nih.gov/articles/PMC7892510/" TargetMode="External"/><Relationship Id="rId120" Type="http://schemas.openxmlformats.org/officeDocument/2006/relationships/hyperlink" Target="https://thslc-houston.primo.exlibrisgroup.com/discovery/search?vid=01TEXASHEALTH_HOUSTON%3ATMC_INST&amp;query=any,contains,10.1245%2Fs10434-020-09001-8&amp;lang=en" TargetMode="External"/><Relationship Id="rId121" Type="http://schemas.openxmlformats.org/officeDocument/2006/relationships/hyperlink" Target="https://pubmed.ncbi.nlm.nih.gov/24115315/" TargetMode="External"/><Relationship Id="rId122" Type="http://schemas.openxmlformats.org/officeDocument/2006/relationships/hyperlink" Target="https://doi.org/10.1002/lt.23757" TargetMode="External"/><Relationship Id="rId123" Type="http://schemas.openxmlformats.org/officeDocument/2006/relationships/hyperlink" Target="https://pmc.ncbi.nlm.nih.gov/articles/PMC4185427/" TargetMode="External"/><Relationship Id="rId124" Type="http://schemas.openxmlformats.org/officeDocument/2006/relationships/hyperlink" Target="https://thslc-houston.primo.exlibrisgroup.com/discovery/search?vid=01TEXASHEALTH_HOUSTON%3ATMC_INST&amp;query=any,contains,10.1002%2Flt.23757&amp;lang=en" TargetMode="External"/><Relationship Id="rId125" Type="http://schemas.openxmlformats.org/officeDocument/2006/relationships/hyperlink" Target="https://pubmed.ncbi.nlm.nih.gov/31059945/" TargetMode="External"/><Relationship Id="rId126" Type="http://schemas.openxmlformats.org/officeDocument/2006/relationships/hyperlink" Target="https://doi.org/10.1016/j.jss.2019.04.023" TargetMode="External"/><Relationship Id="rId127" Type="http://schemas.openxmlformats.org/officeDocument/2006/relationships/hyperlink" Target="https://thslc-houston.primo.exlibrisgroup.com/discovery/search?vid=01TEXASHEALTH_HOUSTON%3ATMC_INST&amp;query=any,contains,10.1016%2Fj.jss.2019.04.023&amp;lang=en" TargetMode="External"/><Relationship Id="rId128" Type="http://schemas.openxmlformats.org/officeDocument/2006/relationships/hyperlink" Target="https://pubmed.ncbi.nlm.nih.gov/38015449/" TargetMode="External"/><Relationship Id="rId129" Type="http://schemas.openxmlformats.org/officeDocument/2006/relationships/hyperlink" Target="https://doi.org/10.1097/LVT.0000000000000303" TargetMode="External"/><Relationship Id="rId130" Type="http://schemas.openxmlformats.org/officeDocument/2006/relationships/hyperlink" Target="https://thslc-houston.primo.exlibrisgroup.com/discovery/search?vid=01TEXASHEALTH_HOUSTON%3ATMC_INST&amp;query=any,contains,10.1097%2FLVT.0000000000000303&amp;lang=en" TargetMode="External"/><Relationship Id="rId131" Type="http://schemas.openxmlformats.org/officeDocument/2006/relationships/hyperlink" Target="https://pubmed.ncbi.nlm.nih.gov/32615109/" TargetMode="External"/><Relationship Id="rId132" Type="http://schemas.openxmlformats.org/officeDocument/2006/relationships/hyperlink" Target="https://doi.org/10.1016/S1470-2045(20)30224-2" TargetMode="External"/><Relationship Id="rId133" Type="http://schemas.openxmlformats.org/officeDocument/2006/relationships/hyperlink" Target="https://thslc-houston.primo.exlibrisgroup.com/discovery/search?vid=01TEXASHEALTH_HOUSTON%3ATMC_INST&amp;query=any,contains,10.1016%2FS1470-2045%2820%2930224-2&amp;lang=en" TargetMode="External"/><Relationship Id="rId134" Type="http://schemas.openxmlformats.org/officeDocument/2006/relationships/hyperlink" Target="https://pubmed.ncbi.nlm.nih.gov/40099404/" TargetMode="External"/><Relationship Id="rId135" Type="http://schemas.openxmlformats.org/officeDocument/2006/relationships/hyperlink" Target="https://doi.org/10.1093/bjs/znaf054" TargetMode="External"/><Relationship Id="rId136" Type="http://schemas.openxmlformats.org/officeDocument/2006/relationships/hyperlink" Target="https://pmc.ncbi.nlm.nih.gov/articles/PMC11914714/pdf/znaf054.pdf" TargetMode="External"/><Relationship Id="rId137" Type="http://schemas.openxmlformats.org/officeDocument/2006/relationships/hyperlink" Target="https://pmc.ncbi.nlm.nih.gov/articles/PMC11914714/" TargetMode="External"/><Relationship Id="rId138"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