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b/>
          <w:bCs/>
          <w:color w:val="176A87"/>
          <w:spacing w:val="36"/>
          <w:sz w:val="16"/>
          <w:szCs w:val="16"/>
        </w:rPr>
        <w:t xml:space="preserve">MEMORIAL HERMANN / UTHEALTH HOUSTON</w:t>
      </w:r>
    </w:p>
    <w:p>
      <w:pPr>
        <w:spacing w:after="100"/>
      </w:pPr>
      <w:r>
        <w:rPr>
          <w:rFonts w:ascii="Cambria" w:cs="Cambria" w:eastAsia="Cambria" w:hAnsi="Cambria"/>
          <w:b/>
          <w:bCs/>
          <w:color w:val="17365D"/>
          <w:sz w:val="48"/>
          <w:szCs w:val="48"/>
        </w:rPr>
        <w:t xml:space="preserve">Pancreatic neuroendocrine tumour, primary</w:t>
      </w:r>
    </w:p>
    <w:p>
      <w:pPr>
        <w:spacing w:after="120"/>
      </w:pPr>
      <w:r>
        <w:rPr>
          <w:i/>
          <w:sz w:val="18"/>
        </w:rPr>
        <w:t xml:space="preserve">Standardized document set, 29 October 2026: this is the full-content document for the cancer roadmap. Questions for consensus: pNET_2_Cancer_Roadmap_Questions.docx. Decision discussion for all settings: pNET_7_Decision_Discussion.docx. Web page: https://drliuhao.github.io/mh-liver-pathways/pnet/</w:t>
      </w:r>
    </w:p>
    <w:p>
      <w:pPr>
        <w:spacing w:after="320"/>
      </w:pPr>
      <w:r>
        <w:rPr>
          <w:rFonts w:ascii="Cambria" w:cs="Cambria" w:eastAsia="Cambria" w:hAnsi="Cambria"/>
          <w:i/>
          <w:iCs/>
          <w:color w:val="5A6069"/>
          <w:sz w:val="28"/>
          <w:szCs w:val="28"/>
        </w:rPr>
        <w:t xml:space="preserve">Memorial Hermann system roadmap</w:t>
      </w:r>
    </w:p>
    <w:p>
      <w:pPr>
        <w:pBdr>
          <w:bottom w:val="single" w:color="D3DCE4" w:sz="6" w:space="1"/>
        </w:pBdr>
        <w:spacing w:after="260"/>
      </w:pPr>
    </w:p>
    <w:p>
      <w:pPr>
        <w:spacing w:after="60" w:line="276"/>
      </w:pPr>
      <w:r>
        <w:rPr>
          <w:b/>
          <w:bCs/>
          <w:color w:val="15181F"/>
          <w:sz w:val="22"/>
          <w:szCs w:val="22"/>
        </w:rPr>
        <w:t xml:space="preserve">Pancreatic neuroendocrine tumour, primary · system roadmap V16 · Extrahepatic-disease update, 29 October 2026</w:t>
      </w:r>
    </w:p>
    <w:p>
      <w:pPr>
        <w:spacing w:after="320" w:line="276"/>
      </w:pPr>
      <w:r>
        <w:rPr>
          <w:color w:val="5A6069"/>
          <w:sz w:val="20"/>
          <w:szCs w:val="20"/>
        </w:rPr>
        <w:t xml:space="preserve">9 gates · 39 cited sources · 25 stated uncertainties · 15 open decisions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9360"/>
      </w:tblGrid>
      <w:tr>
        <w:tc>
          <w:tcPr>
            <w:tcW w:type="dxa" w:w="9360"/>
            <w:shd w:fill="FBF1E2" w:color="auto" w:val="clear"/>
            <w:tcMar>
              <w:top w:type="dxa" w:w="70"/>
              <w:left w:type="dxa" w:w="110"/>
              <w:bottom w:type="dxa" w:w="70"/>
              <w:right w:type="dxa" w:w="110"/>
            </w:tcMar>
            <w:vAlign w:val="top"/>
          </w:tcPr>
          <w:p>
            <w:pPr>
              <w:spacing w:after="120"/>
            </w:pPr>
            <w:r>
              <w:rPr>
                <w:b/>
                <w:bCs/>
                <w:color w:val="8E5008"/>
                <w:spacing w:val="20"/>
                <w:sz w:val="20"/>
                <w:szCs w:val="20"/>
              </w:rPr>
              <w:t xml:space="preserve">DRAFT — NOT RATIFIED CLINICAL POLICY</w:t>
            </w:r>
          </w:p>
          <w:p>
            <w:pPr>
              <w:spacing w:after="100" w:line="276"/>
            </w:pPr>
            <w:r>
              <w:rPr>
                <w:color w:val="15181F"/>
                <w:sz w:val="18"/>
                <w:szCs w:val="18"/>
              </w:rPr>
              <w:t xml:space="preserve">This document is a draft under active development, prepared for multidisciplinary and institutional governance review. It has not been approved by the specialties named in it, and it must not be used for patient care decisions.</w:t>
            </w:r>
          </w:p>
          <w:p>
            <w:pPr>
              <w:spacing w:after="0" w:line="276"/>
            </w:pPr>
            <w:r>
              <w:rPr>
                <w:color w:val="15181F"/>
                <w:sz w:val="18"/>
                <w:szCs w:val="18"/>
              </w:rPr>
              <w:t xml:space="preserve">The content is a decision-focused evidence synthesis, not a systematic review. Every criterion drawn from OPTN policy, drug labelling, NCCN or a device authorisation must be re-verified against the current source before any use. Clinical transplant candidacy and allocation eligibility are separate judgements.</w:t>
            </w:r>
          </w:p>
        </w:tc>
      </w:tr>
    </w:tbl>
    <w:p>
      <w:r>
        <w:br w:type="page"/>
      </w:r>
    </w:p>
    <w:p>
      <w:pPr>
        <w:pStyle w:val="Heading1"/>
        <w:keepNext/>
        <w:spacing w:after="110" w:before="320"/>
      </w:pPr>
      <w:r>
        <w:rPr>
          <w:rFonts w:ascii="Cambria" w:cs="Cambria" w:eastAsia="Cambria" w:hAnsi="Cambria"/>
          <w:b/>
          <w:bCs/>
          <w:color w:val="17365D"/>
          <w:sz w:val="32"/>
          <w:szCs w:val="32"/>
        </w:rPr>
        <w:t xml:space="preserve">What this roadmap answers</w:t>
      </w:r>
    </w:p>
    <w:p>
      <w:pPr>
        <w:spacing w:after="120" w:line="276"/>
      </w:pPr>
      <w:r>
        <w:rPr>
          <w:color w:val="15181F"/>
          <w:sz w:val="20"/>
          <w:szCs w:val="20"/>
        </w:rPr>
        <w:t xml:space="preserve">What to do with the pancreatic primary once differentiation and the exact Ki-67 are known — observe it, enucleate it, or do a formal oncologic resection — and where this page stops and the NELM pathway begins.</w:t>
      </w:r>
    </w:p>
    <w:p>
      <w:pPr>
        <w:spacing w:after="120" w:line="276"/>
      </w:pPr>
      <w:r>
        <w:rPr>
          <w:color w:val="15181F"/>
          <w:sz w:val="20"/>
          <w:szCs w:val="20"/>
        </w:rPr>
        <w:t xml:space="preserve">The gates below run in the order the roadmap asks them, and the order is the point: each one can foreclose the next. Each gate states what has to be in hand before it can be answered, the question it actually settles, and then the standard, the reasonable alternative and what to avoid — each carrying a recommendation label, an evidence grade and the sources behind it.</w:t>
      </w:r>
    </w:p>
    <w:p>
      <w:pPr>
        <w:pStyle w:val="Heading2"/>
        <w:keepNext/>
        <w:spacing w:after="110" w:before="240"/>
      </w:pPr>
      <w:r>
        <w:rPr>
          <w:rFonts w:ascii="Cambria" w:cs="Cambria" w:eastAsia="Cambria" w:hAnsi="Cambria"/>
          <w:b/>
          <w:bCs/>
          <w:color w:val="17365D"/>
          <w:sz w:val="26"/>
          <w:szCs w:val="26"/>
        </w:rPr>
        <w:t xml:space="preserve">How to read a recommendation</w:t>
      </w:r>
    </w:p>
    <w:p>
      <w:pPr>
        <w:spacing w:after="60" w:before="160"/>
      </w:pPr>
      <w:r>
        <w:rPr>
          <w:b/>
          <w:bCs/>
          <w:color w:val="176A87"/>
          <w:spacing w:val="24"/>
          <w:sz w:val="15"/>
          <w:szCs w:val="15"/>
        </w:rPr>
        <w:t xml:space="preserve">RECOMMENDATION LABEL — WHAT WE ADVISE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pacing w:val="16"/>
                <w:sz w:val="17"/>
                <w:szCs w:val="17"/>
              </w:rPr>
              <w:t xml:space="preserve">STANDARD</w:t>
            </w:r>
          </w:p>
        </w:tc>
        <w:tc>
          <w:tcPr>
            <w:tcW w:type="dxa" w:w="7860"/>
            <w:tcMar>
              <w:top w:type="dxa" w:w="70"/>
              <w:left w:type="dxa" w:w="110"/>
              <w:bottom w:type="dxa" w:w="70"/>
              <w:right w:type="dxa" w:w="110"/>
            </w:tcMar>
            <w:vAlign w:val="top"/>
          </w:tcPr>
          <w:p>
            <w:pPr>
              <w:spacing w:after="0" w:line="276"/>
            </w:pPr>
            <w:r>
              <w:rPr>
                <w:color w:val="15181F"/>
                <w:sz w:val="18"/>
                <w:szCs w:val="18"/>
              </w:rPr>
              <w:t xml:space="preserve">Default when eligibility is met; a departure needs a recorded reason.</w:t>
            </w:r>
          </w:p>
        </w:tc>
      </w:tr>
      <w:tr>
        <w:trPr>
          <w:cantSplit/>
        </w:trPr>
        <w:tc>
          <w:tcPr>
            <w:tcW w:type="dxa" w:w="1500"/>
            <w:tcMar>
              <w:top w:type="dxa" w:w="70"/>
              <w:left w:type="dxa" w:w="110"/>
              <w:bottom w:type="dxa" w:w="70"/>
              <w:right w:type="dxa" w:w="110"/>
            </w:tcMar>
            <w:vAlign w:val="top"/>
          </w:tcPr>
          <w:p>
            <w:r>
              <w:rPr>
                <w:b/>
                <w:bCs/>
                <w:color w:val="176A87"/>
                <w:spacing w:val="16"/>
                <w:sz w:val="17"/>
                <w:szCs w:val="17"/>
              </w:rPr>
              <w:t xml:space="preserve">REASONABLE</w:t>
            </w:r>
          </w:p>
        </w:tc>
        <w:tc>
          <w:tcPr>
            <w:tcW w:type="dxa" w:w="7860"/>
            <w:tcMar>
              <w:top w:type="dxa" w:w="70"/>
              <w:left w:type="dxa" w:w="110"/>
              <w:bottom w:type="dxa" w:w="70"/>
              <w:right w:type="dxa" w:w="110"/>
            </w:tcMar>
            <w:vAlign w:val="top"/>
          </w:tcPr>
          <w:p>
            <w:pPr>
              <w:spacing w:after="0" w:line="276"/>
            </w:pPr>
            <w:r>
              <w:rPr>
                <w:color w:val="15181F"/>
                <w:sz w:val="18"/>
                <w:szCs w:val="18"/>
              </w:rPr>
              <w:t xml:space="preserve">Acceptable after documented multidisciplinary review; the benefit is context dependent.</w:t>
            </w:r>
          </w:p>
        </w:tc>
      </w:tr>
      <w:tr>
        <w:trPr>
          <w:cantSplit/>
        </w:trPr>
        <w:tc>
          <w:tcPr>
            <w:tcW w:type="dxa" w:w="1500"/>
            <w:tcMar>
              <w:top w:type="dxa" w:w="70"/>
              <w:left w:type="dxa" w:w="110"/>
              <w:bottom w:type="dxa" w:w="70"/>
              <w:right w:type="dxa" w:w="110"/>
            </w:tcMar>
            <w:vAlign w:val="top"/>
          </w:tcPr>
          <w:p>
            <w:r>
              <w:rPr>
                <w:b/>
                <w:bCs/>
                <w:color w:val="8C2F26"/>
                <w:spacing w:val="16"/>
                <w:sz w:val="17"/>
                <w:szCs w:val="17"/>
              </w:rPr>
              <w:t xml:space="preserve">AVOID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Expected harm, futility, or absent benefit generally outweighs the benefit.</w:t>
            </w:r>
          </w:p>
        </w:tc>
      </w:tr>
    </w:tbl>
    <w:p>
      <w:pPr>
        <w:spacing w:after="120" w:line="276"/>
      </w:pPr>
      <w:r>
        <w:rPr>
          <w:color w:val="15181F"/>
          <w:sz w:val="20"/>
          <w:szCs w:val="20"/>
        </w:rPr>
        <w:t xml:space="preserve"/>
      </w:r>
    </w:p>
    <w:p>
      <w:pPr>
        <w:spacing w:after="60" w:before="160"/>
      </w:pPr>
      <w:r>
        <w:rPr>
          <w:b/>
          <w:bCs/>
          <w:color w:val="176A87"/>
          <w:spacing w:val="24"/>
          <w:sz w:val="15"/>
          <w:szCs w:val="15"/>
        </w:rPr>
        <w:t xml:space="preserve">EVIDENCE GRADE — HOW STRONG THE BASIS 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z w:val="20"/>
                <w:szCs w:val="20"/>
              </w:rPr>
              <w:t xml:space="preserve">A</w:t>
            </w:r>
          </w:p>
        </w:tc>
        <w:tc>
          <w:tcPr>
            <w:tcW w:type="dxa" w:w="7860"/>
            <w:tcMar>
              <w:top w:type="dxa" w:w="70"/>
              <w:left w:type="dxa" w:w="110"/>
              <w:bottom w:type="dxa" w:w="70"/>
              <w:right w:type="dxa" w:w="110"/>
            </w:tcMar>
            <w:vAlign w:val="top"/>
          </w:tcPr>
          <w:p>
            <w:pPr>
              <w:spacing w:after="0" w:line="276"/>
            </w:pPr>
            <w:r>
              <w:rPr>
                <w:color w:val="15181F"/>
                <w:sz w:val="18"/>
                <w:szCs w:val="18"/>
              </w:rPr>
              <w:t xml:space="preserve">Guideline supported by randomised trials or strong consistent comparative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B</w:t>
            </w:r>
          </w:p>
        </w:tc>
        <w:tc>
          <w:tcPr>
            <w:tcW w:type="dxa" w:w="7860"/>
            <w:tcMar>
              <w:top w:type="dxa" w:w="70"/>
              <w:left w:type="dxa" w:w="110"/>
              <w:bottom w:type="dxa" w:w="70"/>
              <w:right w:type="dxa" w:w="110"/>
            </w:tcMar>
            <w:vAlign w:val="top"/>
          </w:tcPr>
          <w:p>
            <w:pPr>
              <w:spacing w:after="0" w:line="276"/>
            </w:pPr>
            <w:r>
              <w:rPr>
                <w:color w:val="15181F"/>
                <w:sz w:val="18"/>
                <w:szCs w:val="18"/>
              </w:rPr>
              <w:t xml:space="preserve">One randomised trial, prospective comparative evidence, or strong prospective cohorts.</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C</w:t>
            </w:r>
          </w:p>
        </w:tc>
        <w:tc>
          <w:tcPr>
            <w:tcW w:type="dxa" w:w="7860"/>
            <w:tcMar>
              <w:top w:type="dxa" w:w="70"/>
              <w:left w:type="dxa" w:w="110"/>
              <w:bottom w:type="dxa" w:w="70"/>
              <w:right w:type="dxa" w:w="110"/>
            </w:tcMar>
            <w:vAlign w:val="top"/>
          </w:tcPr>
          <w:p>
            <w:pPr>
              <w:spacing w:after="0" w:line="276"/>
            </w:pPr>
            <w:r>
              <w:rPr>
                <w:color w:val="15181F"/>
                <w:sz w:val="18"/>
                <w:szCs w:val="18"/>
              </w:rPr>
              <w:t xml:space="preserve">Single-arm prospective, retrospective comparative, or inconsistent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Expert consensus or local operational requirement, no comparative outcome data.</w:t>
            </w:r>
          </w:p>
        </w:tc>
      </w:tr>
    </w:tbl>
    <w:p>
      <w:pPr>
        <w:spacing w:after="160" w:line="276"/>
      </w:pPr>
      <w:r>
        <w:rPr>
          <w:i/>
          <w:iCs/>
          <w:color w:val="5A6069"/>
          <w:sz w:val="18"/>
          <w:szCs w:val="18"/>
        </w:rPr>
        <w:t xml:space="preserve">A strong label does not imply a high grade. Several operating requirements are deliberately Standard at grade D because they are local policy choices rather than evidence claims.</w:t>
      </w:r>
    </w:p>
    <w:p>
      <w:pPr>
        <w:spacing w:after="60" w:before="160"/>
      </w:pPr>
      <w:r>
        <w:rPr>
          <w:b/>
          <w:bCs/>
          <w:color w:val="176A87"/>
          <w:spacing w:val="24"/>
          <w:sz w:val="15"/>
          <w:szCs w:val="15"/>
        </w:rPr>
        <w:t xml:space="preserve">DEPENDENCY FLAGS — WHAT IT RESTS ON LOCALLY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EXPERTISE</w:t>
            </w:r>
          </w:p>
        </w:tc>
        <w:tc>
          <w:tcPr>
            <w:tcW w:type="dxa" w:w="7860"/>
            <w:tcMar>
              <w:top w:type="dxa" w:w="70"/>
              <w:left w:type="dxa" w:w="110"/>
              <w:bottom w:type="dxa" w:w="70"/>
              <w:right w:type="dxa" w:w="110"/>
            </w:tcMar>
            <w:vAlign w:val="top"/>
          </w:tcPr>
          <w:p>
            <w:pPr>
              <w:spacing w:after="0" w:line="276"/>
            </w:pPr>
            <w:r>
              <w:rPr>
                <w:color w:val="15181F"/>
                <w:sz w:val="18"/>
                <w:szCs w:val="18"/>
              </w:rPr>
              <w:t xml:space="preserve">Demonstrated operator and team experience with this technique at this site.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REGISTRY</w:t>
            </w:r>
          </w:p>
        </w:tc>
        <w:tc>
          <w:tcPr>
            <w:tcW w:type="dxa" w:w="7860"/>
            <w:tcMar>
              <w:top w:type="dxa" w:w="70"/>
              <w:left w:type="dxa" w:w="110"/>
              <w:bottom w:type="dxa" w:w="70"/>
              <w:right w:type="dxa" w:w="110"/>
            </w:tcMar>
            <w:vAlign w:val="top"/>
          </w:tcPr>
          <w:p>
            <w:pPr>
              <w:spacing w:after="0" w:line="276"/>
            </w:pPr>
            <w:r>
              <w:rPr>
                <w:color w:val="15181F"/>
                <w:sz w:val="18"/>
                <w:szCs w:val="18"/>
              </w:rPr>
              <w:t xml:space="preserve">Mandatory prospective outcomes registry; effectiveness evidence is immature.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PROTOCOL</w:t>
            </w:r>
          </w:p>
        </w:tc>
        <w:tc>
          <w:tcPr>
            <w:tcW w:type="dxa" w:w="7860"/>
            <w:tcMar>
              <w:top w:type="dxa" w:w="70"/>
              <w:left w:type="dxa" w:w="110"/>
              <w:bottom w:type="dxa" w:w="70"/>
              <w:right w:type="dxa" w:w="110"/>
            </w:tcMar>
            <w:vAlign w:val="top"/>
          </w:tcPr>
          <w:p>
            <w:pPr>
              <w:spacing w:after="0" w:line="276"/>
            </w:pPr>
            <w:r>
              <w:rPr>
                <w:color w:val="15181F"/>
                <w:sz w:val="18"/>
                <w:szCs w:val="18"/>
              </w:rPr>
              <w:t xml:space="preserve">Only inside a clinical trial or an approved institutional protocol.</w:t>
            </w:r>
          </w:p>
        </w:tc>
      </w:tr>
    </w:tbl>
    <w:p>
      <w:pPr>
        <w:pStyle w:val="Heading1"/>
        <w:keepNext/>
        <w:pageBreakBefore/>
        <w:spacing w:after="110" w:before="320"/>
      </w:pPr>
      <w:r>
        <w:rPr>
          <w:rFonts w:ascii="Cambria" w:cs="Cambria" w:eastAsia="Cambria" w:hAnsi="Cambria"/>
          <w:b/>
          <w:bCs/>
          <w:color w:val="17365D"/>
          <w:sz w:val="32"/>
          <w:szCs w:val="32"/>
        </w:rPr>
        <w:t xml:space="preserve">The gates</w:t>
      </w:r>
    </w:p>
    <w:p>
      <w:pPr>
        <w:spacing w:after="200" w:line="276"/>
      </w:pPr>
      <w:r>
        <w:rPr>
          <w:i/>
          <w:iCs/>
          <w:color w:val="5A6069"/>
          <w:sz w:val="20"/>
          <w:szCs w:val="20"/>
        </w:rPr>
        <w:t xml:space="preserve">In the order the roadmap asks them.</w:t>
      </w:r>
    </w:p>
    <w:p>
      <w:pPr>
        <w:pStyle w:val="Heading2"/>
        <w:keepNext/>
        <w:pageBreakBefore/>
        <w:spacing w:after="110" w:before="240"/>
      </w:pPr>
      <w:r>
        <w:rPr>
          <w:rFonts w:ascii="Cambria" w:cs="Cambria" w:eastAsia="Cambria" w:hAnsi="Cambria"/>
          <w:b/>
          <w:bCs/>
          <w:color w:val="17365D"/>
          <w:sz w:val="26"/>
          <w:szCs w:val="26"/>
        </w:rPr>
        <w:t xml:space="preserve">1 · Differentiation and grade</w:t>
      </w:r>
    </w:p>
    <w:p>
      <w:pPr>
        <w:spacing w:after="140"/>
      </w:pPr>
      <w:r>
        <w:rPr>
          <w:b/>
          <w:bCs/>
          <w:color w:val="176A87"/>
          <w:sz w:val="19"/>
          <w:szCs w:val="19"/>
        </w:rPr>
        <w:t xml:space="preserve">The question. </w:t>
      </w:r>
      <w:r>
        <w:rPr>
          <w:sz w:val="19"/>
          <w:szCs w:val="19"/>
        </w:rPr>
        <w:t xml:space="preserve">Is this a well-differentiated tumour, and do I have a number for Ki-67 rather than a range?</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Well-differentiated neuroendocrine tumour, not a poorly differentiated neuroendocrine carcinoma</w:t>
      </w:r>
    </w:p>
    <w:p>
      <w:pPr>
        <w:pStyle w:val="ListParagraph"/>
        <w:numPr>
          <w:ilvl w:val="0"/>
          <w:numId w:val="2"/>
        </w:numPr>
        <w:spacing w:after="60" w:line="268"/>
      </w:pPr>
      <w:r>
        <w:rPr>
          <w:color w:val="15181F"/>
          <w:sz w:val="18"/>
          <w:szCs w:val="18"/>
        </w:rPr>
        <w:t xml:space="preserve">An exact Ki-67 proliferative index reported as a number, not a range, with the mitotic count per 2 mm²</w:t>
      </w:r>
    </w:p>
    <w:p>
      <w:pPr>
        <w:pStyle w:val="ListParagraph"/>
        <w:numPr>
          <w:ilvl w:val="0"/>
          <w:numId w:val="2"/>
        </w:numPr>
        <w:spacing w:after="60" w:line="268"/>
      </w:pPr>
      <w:r>
        <w:rPr>
          <w:color w:val="15181F"/>
          <w:sz w:val="18"/>
          <w:szCs w:val="18"/>
        </w:rPr>
        <w:t xml:space="preserve">Two of synaptophysin, chromogranin A and INSM1 positive, with a broad-spectrum keratin</w:t>
      </w:r>
    </w:p>
    <w:p>
      <w:pPr>
        <w:pStyle w:val="ListParagraph"/>
        <w:numPr>
          <w:ilvl w:val="0"/>
          <w:numId w:val="2"/>
        </w:numPr>
        <w:spacing w:after="60" w:line="268"/>
      </w:pPr>
      <w:r>
        <w:rPr>
          <w:color w:val="15181F"/>
          <w:sz w:val="18"/>
          <w:szCs w:val="18"/>
        </w:rPr>
        <w:t xml:space="preserve">Acinar cell carcinoma and the other neuroendocrine-marker mimics excluded where the morphology is unusual</w:t>
      </w:r>
    </w:p>
    <w:p>
      <w:pPr>
        <w:pStyle w:val="ListParagraph"/>
        <w:numPr>
          <w:ilvl w:val="0"/>
          <w:numId w:val="2"/>
        </w:numPr>
        <w:spacing w:after="60" w:line="268"/>
      </w:pPr>
      <w:r>
        <w:rPr>
          <w:color w:val="15181F"/>
          <w:sz w:val="18"/>
          <w:szCs w:val="18"/>
        </w:rPr>
        <w:t xml:space="preserve">Functional status recorded as a clinical and biochemical judgement, not an immunohistochemical one</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Grade with the WHO 2019 criteria and insist on the exact Ki-67 index and the mitotic rate per 2 mm², with the raw counts reported.</w:t>
      </w:r>
    </w:p>
    <w:p>
      <w:pPr>
        <w:spacing w:after="50" w:line="276"/>
        <w:ind w:left="240"/>
      </w:pPr>
      <w:r>
        <w:rPr>
          <w:color w:val="15181F"/>
          <w:sz w:val="18"/>
          <w:szCs w:val="18"/>
        </w:rPr>
        <w:t xml:space="preserve">Every specimen, primary or metastatic, biopsy or resection, with at least 500 assessable tumour cells and no crush artefact. Ki-67 is counted in the hot spot of highest nuclear labelling; the mitotic rate is counted in the areas of highest density, per 2 mm², which equals 10 high-power fields at 40× with a 0.5 mm ocular field.</w:t>
      </w:r>
    </w:p>
    <w:p>
      <w:pPr>
        <w:spacing w:after="50"/>
        <w:ind w:left="240"/>
      </w:pPr>
      <w:r>
        <w:rPr>
          <w:b/>
          <w:bCs/>
          <w:color w:val="8C2F26"/>
          <w:sz w:val="18"/>
          <w:szCs w:val="18"/>
        </w:rPr>
        <w:t xml:space="preserve">Caveat. </w:t>
      </w:r>
      <w:r>
        <w:rPr>
          <w:color w:val="15181F"/>
          <w:sz w:val="18"/>
          <w:szCs w:val="18"/>
        </w:rPr>
        <w:t xml:space="preserve">Do not accept a report that says "neuroendocrine tumour" or "neuroendocrine carcinoma" without a grade and without the parameters used to assign it. NCCN states plainly that such a report is inadequate for prognostication and therapy and inappropriate for pathology reporting.</w:t>
      </w:r>
    </w:p>
    <w:p>
      <w:pPr>
        <w:spacing w:after="50" w:line="276"/>
        <w:ind w:left="240"/>
      </w:pPr>
      <w:r>
        <w:rPr>
          <w:i/>
          <w:iCs/>
          <w:color w:val="5A6069"/>
          <w:sz w:val="17"/>
          <w:szCs w:val="17"/>
        </w:rPr>
        <w:t xml:space="preserve">Where mitotic rate and Ki-67 give different grades, the higher grade is assigned. Where several blocks are available, stain the block with the highest mitotic index and grade on the highest index; with synchronous specimens from several sites, stain at least one block from each.</w:t>
      </w:r>
    </w:p>
    <w:p>
      <w:pPr>
        <w:spacing w:after="60" w:line="276"/>
        <w:ind w:left="240"/>
      </w:pPr>
      <w:r>
        <w:rPr>
          <w:color w:val="5A6069"/>
          <w:sz w:val="16"/>
          <w:szCs w:val="16"/>
        </w:rPr>
        <w:t xml:space="preserve">Sources: NANETS 2020 surgical; ENETS 2023 NF-PanNET</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Separate a well-differentiated grade 3 tumour from a poorly differentiated neuroendocrine carcinoma before any treatment decision — they are different diseases that share a Ki-67 range.</w:t>
      </w:r>
    </w:p>
    <w:p>
      <w:pPr>
        <w:spacing w:after="50" w:line="276"/>
        <w:ind w:left="240"/>
      </w:pPr>
      <w:r>
        <w:rPr>
          <w:color w:val="15181F"/>
          <w:sz w:val="18"/>
          <w:szCs w:val="18"/>
        </w:rPr>
        <w:t xml:space="preserve">Any pancreatic neuroendocrine neoplasm with Ki-67 above 20%. In 31 well-differentiated tumours with a morphologically apparent high-grade component, 21 of them pancreatic, median disease-specific survival was 55 months (range 16-119), with 2-year and 5-year survival of 88-89% and 48-49%. The institutional comparators were 162 months for low and intermediate grade pancreatic well-differentiated tumours (2-year and 5-year 97% and 90%) and 16 months for pancreatic poorly differentiated carcinoma (24% and 24%), p&lt;0.001. Genotype separates them: a DAXX, ATRX or MEN1 mutation was present in 35 of 63 (57%) low and intermediate grade tumours and in 3 of 4 sequenced transformed tumours against 0 of 28 carcinomas; Rb protein was lost in 0% of well-differentiated tumours of any grade against 59% of carcinomas; and p53 immunoreactivity was abnormal in 0% against 56%.</w:t>
      </w:r>
    </w:p>
    <w:p>
      <w:pPr>
        <w:spacing w:after="50"/>
        <w:ind w:left="240"/>
      </w:pPr>
      <w:r>
        <w:rPr>
          <w:b/>
          <w:bCs/>
          <w:color w:val="8C2F26"/>
          <w:sz w:val="18"/>
          <w:szCs w:val="18"/>
        </w:rPr>
        <w:t xml:space="preserve">Caveat. </w:t>
      </w:r>
      <w:r>
        <w:rPr>
          <w:color w:val="15181F"/>
          <w:sz w:val="18"/>
          <w:szCs w:val="18"/>
        </w:rPr>
        <w:t xml:space="preserve">Do not route a well-differentiated G3 tumour down a small-cell carcinoma pathway, and do not treat a poorly differentiated carcinoma as a NET because the Ki-67 happens to be 25%. NANETS reports a multi-institutional pathological review in which only 44 of 107 resected pancreatic tumours originally called poorly differentiated carcinoma actually were; that review is not in this page's full-text depot and the figure is quoted as NANETS states it.</w:t>
      </w:r>
    </w:p>
    <w:p>
      <w:pPr>
        <w:spacing w:after="50" w:line="276"/>
        <w:ind w:left="240"/>
      </w:pPr>
      <w:r>
        <w:rPr>
          <w:i/>
          <w:iCs/>
          <w:color w:val="5A6069"/>
          <w:sz w:val="17"/>
          <w:szCs w:val="17"/>
        </w:rPr>
        <w:t xml:space="preserve">Read the survival contrast carefully. In the stage-matched analysis restricted to stage IV, pancreatic grade 1-2 well-differentiated tumours and those with a high-grade component showed no statistically significant difference in disease-specific survival, and both did far better than poorly differentiated carcinoma (median 61 against 16 months, p&lt;0.001; hazard ratios 0.17 and 0.16 against carcinoma as reference). The 55-against-162-month comparison is unmatched, and it is the one the abstract leads with. The 31 cases were assembled by searching two pathology archives for grade discrepancy, so the series cannot say how often this happens, the genotype contrast rests on four prospectively sequenced tumours against literature controls, and 6 of the 31 were biopsies only in which the coexisting lower-grade component was inferred from clinical history rather than seen. In challenging cases, particularly in the pancreas, NCCN lists Rb, p53, p16, ATRX and DAXX as an optional panel to help distinguish G3 NET from carcinoma, read together with the clinical, functional-imaging and molecular picture. See gate 8 for what each diagnosis then means.</w:t>
      </w:r>
    </w:p>
    <w:p>
      <w:pPr>
        <w:spacing w:after="60" w:line="276"/>
        <w:ind w:left="240"/>
      </w:pPr>
      <w:r>
        <w:rPr>
          <w:color w:val="5A6069"/>
          <w:sz w:val="16"/>
          <w:szCs w:val="16"/>
        </w:rPr>
        <w:t xml:space="preserve">Sources: Tang 2016; NANETS 2020 surgical; ENETS 2023 NEC</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Treat a grade obtained from a needle biopsy as a floor, not a fact — biopsy systematically understates grade in G2 disease.</w:t>
      </w:r>
    </w:p>
    <w:p>
      <w:pPr>
        <w:spacing w:after="50" w:line="276"/>
        <w:ind w:left="240"/>
      </w:pPr>
      <w:r>
        <w:rPr>
          <w:color w:val="15181F"/>
          <w:sz w:val="18"/>
          <w:szCs w:val="18"/>
        </w:rPr>
        <w:t xml:space="preserve">Any observation-versus-resection decision that rests on grade. In 46 tumours sampled by EUS-FNA at one centre, 33 of which were resected and available for comparison, agreement between readers was excellent within each modality (Pearson r-squared 0.93 on cytology and 0.94 on the resection specimen, both p&lt;0.001, with no grade disagreement between readers) - but agreement between cytological and histological grade was poor: kappa 0.21 (p=0.09), rising only to 0.24 (p=0.06) when restricted to the 27 cases with at least 200 cells counted, and no better at a 5% cut-off than at 2%. Cytology under-graded systematically: 10 of 14 histological G2 tumours (71%) were called cytological G1, and histological Ki-67 averaged 1.3 times the cytological value. Cytological grade still separated the worst group - actuarial progression-free survival 10 plus or minus 4 months for cytological G3 against 29 plus or minus 7 for G2 and 68 plus or minus 10 for G1 (p&lt;0.0001) - but cytological G1 and G2 did not differ for progression-free or overall survival.</w:t>
      </w:r>
    </w:p>
    <w:p>
      <w:pPr>
        <w:spacing w:after="50"/>
        <w:ind w:left="240"/>
      </w:pPr>
      <w:r>
        <w:rPr>
          <w:b/>
          <w:bCs/>
          <w:color w:val="8C2F26"/>
          <w:sz w:val="18"/>
          <w:szCs w:val="18"/>
        </w:rPr>
        <w:t xml:space="preserve">Caveat. </w:t>
      </w:r>
      <w:r>
        <w:rPr>
          <w:color w:val="15181F"/>
          <w:sz w:val="18"/>
          <w:szCs w:val="18"/>
        </w:rPr>
        <w:t xml:space="preserve">Do not promise a patient that a G1 biopsy means a G1 tumour. NANETS reports agreement of tumour grade between EUS-FNA cytology and the resection specimen in under 50% of G2 and G3 cases, and areas with Ki-67 of 2% or less were common even within G2 tumours. The only prospective study of fine-needle core biopsy in non-functional tumours found 83% concordance, in 30 patients; that study is quoted from the NANETS text and is not in this page's full-text depot.</w:t>
      </w:r>
    </w:p>
    <w:p>
      <w:pPr>
        <w:spacing w:after="50" w:line="276"/>
        <w:ind w:left="240"/>
      </w:pPr>
      <w:r>
        <w:rPr>
          <w:i/>
          <w:iCs/>
          <w:color w:val="5A6069"/>
          <w:sz w:val="17"/>
          <w:szCs w:val="17"/>
        </w:rPr>
        <w:t xml:space="preserve">Two cautions on the study itself. The four cytological G3 patients who drive the significant survival separation were all locally advanced, node-positive or metastatic at diagnosis, so cytological G3 may be marking stage rather than grade; and the concordance analysis could only include the resected tumours, so nothing in it describes how cytology performs in the small lesions actually being watched. Progression-free survival was also calculated independently of whether the tumour was removed, mixing resected and unresected patients in the same curves. Where additional tissue is needed for immunohistochemistry, add core biopsy to aspiration where it is available. [EXPERTISE]</w:t>
      </w:r>
    </w:p>
    <w:p>
      <w:pPr>
        <w:spacing w:after="60" w:line="276"/>
        <w:ind w:left="240"/>
      </w:pPr>
      <w:r>
        <w:rPr>
          <w:color w:val="5A6069"/>
          <w:sz w:val="16"/>
          <w:szCs w:val="16"/>
        </w:rPr>
        <w:t xml:space="preserve">Sources: Weynand 2014; NANETS 2020 surgical</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Biopsy is not obligatory to decide to observe a small incidental lesion with the imaging phenotype of a neuroendocrine tumour.</w:t>
      </w:r>
    </w:p>
    <w:p>
      <w:pPr>
        <w:spacing w:after="50" w:line="276"/>
        <w:ind w:left="240"/>
      </w:pPr>
      <w:r>
        <w:rPr>
          <w:color w:val="15181F"/>
          <w:sz w:val="18"/>
          <w:szCs w:val="18"/>
        </w:rPr>
        <w:t xml:space="preserve">An asymptomatic sub-centimetre lesion with characteristic arterial enhancement where the plan is surveillance whatever the grade. NANETS states that in such patients biopsy is not routinely necessary to confirm the diagnosis before deciding to observe.</w:t>
      </w:r>
    </w:p>
    <w:p>
      <w:pPr>
        <w:spacing w:after="50"/>
        <w:ind w:left="240"/>
      </w:pPr>
      <w:r>
        <w:rPr>
          <w:b/>
          <w:bCs/>
          <w:color w:val="8C2F26"/>
          <w:sz w:val="18"/>
          <w:szCs w:val="18"/>
        </w:rPr>
        <w:t xml:space="preserve">Caveat. </w:t>
      </w:r>
      <w:r>
        <w:rPr>
          <w:color w:val="15181F"/>
          <w:sz w:val="18"/>
          <w:szCs w:val="18"/>
        </w:rPr>
        <w:t xml:space="preserve">Do not skip tissue when the diagnosis is genuinely in question, when grade would change the plan, or when the lesion is 1-2 cm and the observe-or-resect decision is live - that is exactly the decision grade is meant to inform. And know that the guidelines disagree here. ENETS 2023, read in full, states that a suspected nonfunctioning tumour under 2 cm with positive somatostatin-receptor imaging should be confirmed histologically or cytologically where possible (level 3 evidence, grade B), and notes DAXX and ATRX loss and alternative lengthening of telomeres as independent adverse prognostic factors particularly in tumours of 2 cm or less. The 2025 MEN1 recommendations go the other way again and find no role for routine EUS-guided biopsy in that syndrome. See the honest section and approval 11.</w:t>
      </w:r>
    </w:p>
    <w:p>
      <w:pPr>
        <w:spacing w:after="50" w:line="276"/>
        <w:ind w:left="240"/>
      </w:pPr>
      <w:r>
        <w:rPr>
          <w:i/>
          <w:iCs/>
          <w:color w:val="5A6069"/>
          <w:sz w:val="17"/>
          <w:szCs w:val="17"/>
        </w:rPr>
        <w:t xml:space="preserve">The ASPEN study required a positive fine-needle aspirate or biopsy, or a positive 68Ga-labelled DOTA PET, before enrolment - but in practice 170 of its 500 patients (34%) never had an aspirate, it was negative in a further 45 (9%), and grade was not evaluable in 68 of the 285 who did have one (23.9%). So its reassuring surveillance figures come from a population in which the diagnosis was often established by receptor PET alone and in which the surveillance arm has no histological characterisation at all.</w:t>
      </w:r>
    </w:p>
    <w:p>
      <w:pPr>
        <w:spacing w:after="60" w:line="276"/>
        <w:ind w:left="240"/>
      </w:pPr>
      <w:r>
        <w:rPr>
          <w:color w:val="5A6069"/>
          <w:sz w:val="16"/>
          <w:szCs w:val="16"/>
        </w:rPr>
        <w:t xml:space="preserve">Sources: NANETS 2020 surgical; ENETS 2023 NF-PanNET; ASPEN interim</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Order molecular profiling where the disease is locoregionally unresectable or metastatic and the patient is a candidate for systemic therapy.</w:t>
      </w:r>
    </w:p>
    <w:p>
      <w:pPr>
        <w:spacing w:after="50" w:line="276"/>
        <w:ind w:left="240"/>
      </w:pPr>
      <w:r>
        <w:rPr>
          <w:color w:val="15181F"/>
          <w:sz w:val="18"/>
          <w:szCs w:val="18"/>
        </w:rPr>
        <w:t xml:space="preserve">Tumour tissue is preferred; circulating tumour DNA is an option when tissue testing is not feasible. ENETS encourages molecular profiling in neuroendocrine carcinoma specifically, to identify new targets, while saying plainly that the targets are not yet established.</w:t>
      </w:r>
    </w:p>
    <w:p>
      <w:pPr>
        <w:spacing w:after="50"/>
        <w:ind w:left="240"/>
      </w:pPr>
      <w:r>
        <w:rPr>
          <w:b/>
          <w:bCs/>
          <w:color w:val="8C2F26"/>
          <w:sz w:val="18"/>
          <w:szCs w:val="18"/>
        </w:rPr>
        <w:t xml:space="preserve">Caveat. </w:t>
      </w:r>
      <w:r>
        <w:rPr>
          <w:color w:val="15181F"/>
          <w:sz w:val="18"/>
          <w:szCs w:val="18"/>
        </w:rPr>
        <w:t xml:space="preserve">Do not profile a small localised G1 tumour that is going to be observed or enucleated: nothing in the result changes that decision, and there is no established targeted therapy in this setting.</w:t>
      </w:r>
    </w:p>
    <w:p>
      <w:pPr>
        <w:spacing w:after="60" w:line="276"/>
        <w:ind w:left="240"/>
      </w:pPr>
      <w:r>
        <w:rPr>
          <w:color w:val="5A6069"/>
          <w:sz w:val="16"/>
          <w:szCs w:val="16"/>
        </w:rPr>
        <w:t xml:space="preserve">Sources: ENETS 2023 NEC</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let a hormone immunostain decide whether the tumour is functional.</w:t>
      </w:r>
    </w:p>
    <w:p>
      <w:pPr>
        <w:spacing w:after="50" w:line="276"/>
        <w:ind w:left="240"/>
      </w:pPr>
      <w:r>
        <w:rPr>
          <w:color w:val="15181F"/>
          <w:sz w:val="18"/>
          <w:szCs w:val="18"/>
        </w:rPr>
        <w:t xml:space="preserve">Functional status is a clinical syndrome plus biochemical evidence of inappropriately raised hormone — that is the ENETS definition and it is what gate 3 works from.</w:t>
      </w:r>
    </w:p>
    <w:p>
      <w:pPr>
        <w:spacing w:after="50"/>
        <w:ind w:left="240"/>
      </w:pPr>
      <w:r>
        <w:rPr>
          <w:b/>
          <w:bCs/>
          <w:color w:val="8C2F26"/>
          <w:sz w:val="18"/>
          <w:szCs w:val="18"/>
        </w:rPr>
        <w:t xml:space="preserve">Caveat. </w:t>
      </w:r>
      <w:r>
        <w:rPr>
          <w:color w:val="15181F"/>
          <w:sz w:val="18"/>
          <w:szCs w:val="18"/>
        </w:rPr>
        <w:t xml:space="preserve">NCCN states that hormone staining by immunohistochemistry is not helpful and that a positive stain does not mean there is a functional tumour. Chasing a positive insulin stain in an asymptomatic normoglycaemic patient produces an operation nobody needed.</w:t>
      </w:r>
    </w:p>
    <w:p>
      <w:pPr>
        <w:spacing w:after="60" w:line="276"/>
        <w:ind w:left="240"/>
      </w:pPr>
      <w:r>
        <w:rPr>
          <w:color w:val="5A6069"/>
          <w:sz w:val="16"/>
          <w:szCs w:val="16"/>
        </w:rPr>
        <w:t xml:space="preserve">Sources: ENETS 2023 functioning</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accept the diagnostic label "carcinoma with neuroendocrine features".</w:t>
      </w:r>
    </w:p>
    <w:p>
      <w:pPr>
        <w:spacing w:after="50" w:line="276"/>
        <w:ind w:left="240"/>
      </w:pPr>
      <w:r>
        <w:rPr>
          <w:color w:val="15181F"/>
          <w:sz w:val="18"/>
          <w:szCs w:val="18"/>
        </w:rPr>
        <w:t xml:space="preserve">Ask for a definite WHO classification. Where the histology is genuinely ambiguous the report should say so, recommend clinical correlation and recommend a broad next-generation sequencing panel.</w:t>
      </w:r>
    </w:p>
    <w:p>
      <w:pPr>
        <w:spacing w:after="50"/>
        <w:ind w:left="240"/>
      </w:pPr>
      <w:r>
        <w:rPr>
          <w:b/>
          <w:bCs/>
          <w:color w:val="8C2F26"/>
          <w:sz w:val="18"/>
          <w:szCs w:val="18"/>
        </w:rPr>
        <w:t xml:space="preserve">Caveat. </w:t>
      </w:r>
      <w:r>
        <w:rPr>
          <w:color w:val="15181F"/>
          <w:sz w:val="18"/>
          <w:szCs w:val="18"/>
        </w:rPr>
        <w:t xml:space="preserve">Adenocarcinomas of the GI tract often express neuroendocrine markers patchily with no survival or management significance, and that patchy expression is a common route into the wrong pathway. In higher-grade pancreatic neoplasms, trypsin, chymotrypsin and BCL10 help exclude an acinar cell carcinoma expressing neuroendocrine markers.</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2 · Stage the primary, and read the two PETs</w:t>
      </w:r>
    </w:p>
    <w:p>
      <w:pPr>
        <w:spacing w:after="140"/>
      </w:pPr>
      <w:r>
        <w:rPr>
          <w:b/>
          <w:bCs/>
          <w:color w:val="176A87"/>
          <w:sz w:val="19"/>
          <w:szCs w:val="19"/>
        </w:rPr>
        <w:t xml:space="preserve">The question. </w:t>
      </w:r>
      <w:r>
        <w:rPr>
          <w:sz w:val="19"/>
          <w:szCs w:val="19"/>
        </w:rPr>
        <w:t xml:space="preserve">Is this disease confined to the pancreas, and does a discordant pair of PET scans tell me the grade on the biopsy is wrong?</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Multiphasic CT or MRI of the abdomen, with arterial and portal venous phases, covering the whole pancreas</w:t>
      </w:r>
    </w:p>
    <w:p>
      <w:pPr>
        <w:pStyle w:val="ListParagraph"/>
        <w:numPr>
          <w:ilvl w:val="0"/>
          <w:numId w:val="2"/>
        </w:numPr>
        <w:spacing w:after="60" w:line="268"/>
      </w:pPr>
      <w:r>
        <w:rPr>
          <w:color w:val="15181F"/>
          <w:sz w:val="18"/>
          <w:szCs w:val="18"/>
        </w:rPr>
        <w:t xml:space="preserve">Somatostatin-receptor PET/CT or PET/MRI where receptor status or occult metastatic disease would change the plan</w:t>
      </w:r>
    </w:p>
    <w:p>
      <w:pPr>
        <w:pStyle w:val="ListParagraph"/>
        <w:numPr>
          <w:ilvl w:val="0"/>
          <w:numId w:val="2"/>
        </w:numPr>
        <w:spacing w:after="60" w:line="268"/>
      </w:pPr>
      <w:r>
        <w:rPr>
          <w:color w:val="15181F"/>
          <w:sz w:val="18"/>
          <w:szCs w:val="18"/>
        </w:rPr>
        <w:t xml:space="preserve">Chest CT, and FDG-PET where the tumour is G2 or higher</w:t>
      </w:r>
    </w:p>
    <w:p>
      <w:pPr>
        <w:pStyle w:val="ListParagraph"/>
        <w:numPr>
          <w:ilvl w:val="0"/>
          <w:numId w:val="2"/>
        </w:numPr>
        <w:spacing w:after="60" w:line="268"/>
      </w:pPr>
      <w:r>
        <w:rPr>
          <w:color w:val="15181F"/>
          <w:sz w:val="18"/>
          <w:szCs w:val="18"/>
        </w:rPr>
        <w:t xml:space="preserve">Main pancreatic duct calibre, tumour calcification and cystic morphology recorded explicitly</w:t>
      </w:r>
    </w:p>
    <w:p>
      <w:pPr>
        <w:pStyle w:val="ListParagraph"/>
        <w:numPr>
          <w:ilvl w:val="0"/>
          <w:numId w:val="2"/>
        </w:numPr>
        <w:spacing w:after="60" w:line="268"/>
      </w:pPr>
      <w:r>
        <w:rPr>
          <w:color w:val="15181F"/>
          <w:sz w:val="18"/>
          <w:szCs w:val="18"/>
        </w:rPr>
        <w:t xml:space="preserve">Liver and nodal status stated before any operation is booked</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If staging shows hepatic metastases, the hepatic disease is the NELM pathway from here — this page covers the primary only.</w:t>
      </w:r>
    </w:p>
    <w:p>
      <w:pPr>
        <w:spacing w:after="50" w:line="276"/>
        <w:ind w:left="240"/>
      </w:pPr>
      <w:r>
        <w:rPr>
          <w:color w:val="15181F"/>
          <w:sz w:val="18"/>
          <w:szCs w:val="18"/>
        </w:rPr>
        <w:t xml:space="preserve">Hand off at this gate, by name, as soon as liver deposits are seen. The NELM page carries hepatic tumour burden and distribution, cytoreduction thresholds, liver-directed modality choice, systemic sequencing for grade 1–2 and high-grade disease, carcinoid-crisis precautions and the transplant question. It also carries the decision about resecting the pancreatic primary when liver metastases are present, where NANETS reached no consensus and the majority view was that resection may help only in selected circumstances.</w:t>
      </w:r>
    </w:p>
    <w:p>
      <w:pPr>
        <w:spacing w:after="50"/>
        <w:ind w:left="240"/>
      </w:pPr>
      <w:r>
        <w:rPr>
          <w:b/>
          <w:bCs/>
          <w:color w:val="8C2F26"/>
          <w:sz w:val="18"/>
          <w:szCs w:val="18"/>
        </w:rPr>
        <w:t xml:space="preserve">Caveat. </w:t>
      </w:r>
      <w:r>
        <w:rPr>
          <w:color w:val="15181F"/>
          <w:sz w:val="18"/>
          <w:szCs w:val="18"/>
        </w:rPr>
        <w:t xml:space="preserve">Do not make the primary-resection decision in metastatic disease on this page. Two specific warnings travel with the patient: NCCN states that pancreatoduodenectomy in metastatic disease is usually not curative and affects liver-directed therapy long term, and that liver-directed therapies for hepatic metastases after pancreatoduodenectomy carry an increased risk of cholangitis and liver abscess. That makes the sequence a joint decision between this gate and the NELM pathway, not a pancreatic one.</w:t>
      </w:r>
    </w:p>
    <w:p>
      <w:pPr>
        <w:spacing w:after="50" w:line="276"/>
        <w:ind w:left="240"/>
      </w:pPr>
      <w:r>
        <w:rPr>
          <w:i/>
          <w:iCs/>
          <w:color w:val="5A6069"/>
          <w:sz w:val="17"/>
          <w:szCs w:val="17"/>
        </w:rPr>
        <w:t xml:space="preserve">Locoregionally advanced unresectable disease without liver metastases is also outside this page's scope: it is a systemic-therapy decision and NCCN's pancreatic NET systemic principles apply.</w:t>
      </w:r>
    </w:p>
    <w:p>
      <w:pPr>
        <w:spacing w:after="60" w:line="276"/>
        <w:ind w:left="240"/>
      </w:pPr>
      <w:r>
        <w:rPr>
          <w:color w:val="5A6069"/>
          <w:sz w:val="16"/>
          <w:szCs w:val="16"/>
        </w:rPr>
        <w:t xml:space="preserve">Sources: NANETS 2020 surgical</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Use somatostatin-receptor PET rather than octreotide scintigraphy, and read it together with multiphase contrast CT or MRI in the same sitting where the scanner allows it.</w:t>
      </w:r>
    </w:p>
    <w:p>
      <w:pPr>
        <w:spacing w:after="50" w:line="276"/>
        <w:ind w:left="240"/>
      </w:pPr>
      <w:r>
        <w:rPr>
          <w:color w:val="15181F"/>
          <w:sz w:val="18"/>
          <w:szCs w:val="18"/>
        </w:rPr>
        <w:t xml:space="preserve">Staging where occult metastatic disease would change the operation, and localising a primary in a patient who presents with metastases. In a prospective single-centre study of 131 patients imaged with all three modalities and read independently and blind, 68Ga-DOTATATE PET/CT detected 847 of 891 lesions, 95.1% (95% CI 92.4-96.8), against 404 of 891, 45.3% (37.9-52.9), for anatomic imaging and 275 of 891, 30.9% (25.0-37.5), for 111In-pentetreotide SPECT/CT (p&lt;0.001 for both comparisons), and the PET changed the management recommendation in 43 of 131 patients (32.8%). A previously unknown primary was found in 4 of 14 patients (28.6%).</w:t>
      </w:r>
    </w:p>
    <w:p>
      <w:pPr>
        <w:spacing w:after="50"/>
        <w:ind w:left="240"/>
      </w:pPr>
      <w:r>
        <w:rPr>
          <w:b/>
          <w:bCs/>
          <w:color w:val="8C2F26"/>
          <w:sz w:val="18"/>
          <w:szCs w:val="18"/>
        </w:rPr>
        <w:t xml:space="preserve">Caveat. </w:t>
      </w:r>
      <w:r>
        <w:rPr>
          <w:color w:val="15181F"/>
          <w:sz w:val="18"/>
          <w:szCs w:val="18"/>
        </w:rPr>
        <w:t xml:space="preserve">Do not read the PET alone. Contrast CT or MRI is what identifies the receptor-negative deposits, and NCCN requires the two together. Acceptable tracers are 68Ga-DOTATATE, 68Ga-DOTATOC and 64Cu-DOTATATE; a lesion counts as receptor-positive when uptake exceeds liver, and the modified Krenning score runs 0 none, 1 very low, 2 at or below liver, 3 above liver, 4 above spleen.</w:t>
      </w:r>
    </w:p>
    <w:p>
      <w:pPr>
        <w:spacing w:after="50" w:line="276"/>
        <w:ind w:left="240"/>
      </w:pPr>
      <w:r>
        <w:rPr>
          <w:i/>
          <w:iCs/>
          <w:color w:val="5A6069"/>
          <w:sz w:val="17"/>
          <w:szCs w:val="17"/>
        </w:rPr>
        <w:t xml:space="preserve">Grade C, downgraded on the full-text read, and the detection figures have to be read against their reference standard. The denominator of 891 lesions is the union of lesions seen on any of the three tests, which structurally pushes the most sensitive modality toward 100% and the others downward. In the 25 patients (19%) who were operated and so had histology, per-lesion true positives fell to 72 of 113 (63.7%) for the PET, 44 of 113 (38.9%) for CT or MRI and 25 of 113 (22.1%) for SPECT/CT - and all 38 histologically proven lesions missed by every imaging test were nodal metastases. Only 110 of the 891 lesions were pancreatic, the cohort was enriched for MEN1 and VHL by inclusion criterion, change in management was adjudicated unblinded by the team that ordered the scans, and there are no follow-up or outcome data. Receptor PET is not a surveillance test: NCCN states that somatostatin-receptor imaging and FDG-PET are not recommended for routine surveillance, and the SNMMI/EANM standard adds that a rise or fall in lesional uptake must not be read as response or progression the way it would be with other tracers. [EXPERTISE]</w:t>
      </w:r>
    </w:p>
    <w:p>
      <w:pPr>
        <w:spacing w:after="60" w:line="276"/>
        <w:ind w:left="240"/>
      </w:pPr>
      <w:r>
        <w:rPr>
          <w:color w:val="5A6069"/>
          <w:sz w:val="16"/>
          <w:szCs w:val="16"/>
        </w:rPr>
        <w:t xml:space="preserve">Sources: Sadowski 2016; SNMMI/EANM SSTR PET; NANETS 2020 surgical</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Record the main pancreatic duct calibre, any calcification and whether the lesion is cystic — all three carry information that size does not.</w:t>
      </w:r>
    </w:p>
    <w:p>
      <w:pPr>
        <w:spacing w:after="50" w:line="276"/>
        <w:ind w:left="240"/>
      </w:pPr>
      <w:r>
        <w:rPr>
          <w:color w:val="15181F"/>
          <w:sz w:val="18"/>
          <w:szCs w:val="18"/>
        </w:rPr>
        <w:t xml:space="preserve">Every lesion being considered for observation. In 981 patients resected for well-differentiated tumours at eight centres, calcification was present in 122 of 697 assessable patients (18%) and a predominantly cystic appearance in 120 of 702 (17%). Calcified tumours were larger (3.2 against 2.0 cm, p=0.001) and more often had Ki-67 of 3% or more (47% against 33%, p=0.029), lymphovascular invasion (42% against 27%, p=0.005), nodal metastasis (36% against 24%, p=0.011), distant metastasis (13% against 4%, p&lt;0.001) and metastasis on preoperative imaging (17% against 7%, p=0.001). Cystic tumours were less often node positive (12% against 30%, p&lt;0.001). Five-year recurrence-free survival was 66% with calcification against 79% without (p=0.002) and 83% for cystic against 73% for solid (p=0.033); in the four-way comparison it was 91% for cystic without calcification (n=89), 77% for solid without calcification (n=494), 69% for solid with calcification and 67% for cystic with calcification (n=16), p=0.043. A dilated duct is the ASPEN study's single strongest stated warning sign.</w:t>
      </w:r>
    </w:p>
    <w:p>
      <w:pPr>
        <w:spacing w:after="50"/>
        <w:ind w:left="240"/>
      </w:pPr>
      <w:r>
        <w:rPr>
          <w:b/>
          <w:bCs/>
          <w:color w:val="8C2F26"/>
          <w:sz w:val="18"/>
          <w:szCs w:val="18"/>
        </w:rPr>
        <w:t xml:space="preserve">Caveat. </w:t>
      </w:r>
      <w:r>
        <w:rPr>
          <w:color w:val="15181F"/>
          <w:sz w:val="18"/>
          <w:szCs w:val="18"/>
        </w:rPr>
        <w:t xml:space="preserve">Do not call a calcified lesion low risk because it measures 1.4 cm, and do not treat a dilated duct as incidental - see the flagged disagreement at gate 4. Equally, do not convert either feature into a threshold. This is information for the board to weigh alongside grade and growth, not a rule.</w:t>
      </w:r>
    </w:p>
    <w:p>
      <w:pPr>
        <w:spacing w:after="50" w:line="276"/>
        <w:ind w:left="240"/>
      </w:pPr>
      <w:r>
        <w:rPr>
          <w:i/>
          <w:iCs/>
          <w:color w:val="5A6069"/>
          <w:sz w:val="17"/>
          <w:szCs w:val="17"/>
        </w:rPr>
        <w:t xml:space="preserve">Grade D, downgraded on the full-text read. Calcification's independent hazard ratio was 11.5 with a 95% confidence interval of 1.1 to 125.0 at p=0.043, in a Cox model that also returned 25.2 (4.4-142.9) for nodal and 33.0 (4.4-249.3) for distant metastasis - the signature of far too few recurrence events for the covariates entered, with no event count reported anywhere in the paper. Cystic morphology, one of its two headline features, was not independently prognostic at all (HR 1.6, 0.2-14.3, p=0.69), although the abstract presents both as usable for stratification. Imaging was classified from radiology report wording rather than by central re-read, across eight institutions and seventeen years of changing technique; 28-29% of the cohort has no data on the two exposures of interest and the analysis is complete-case with no imputation; median follow-up was 35 months in a disease that recurs at a median of 4 to 7 years; the cystic-and-calcified cell that anchors the four-way comparison contains 16 patients; and no patient in the cohort was observed, which the authors concede before recommending the features for the observation decision anyway.</w:t>
      </w:r>
    </w:p>
    <w:p>
      <w:pPr>
        <w:spacing w:after="60" w:line="276"/>
        <w:ind w:left="240"/>
      </w:pPr>
      <w:r>
        <w:rPr>
          <w:color w:val="5A6069"/>
          <w:sz w:val="16"/>
          <w:szCs w:val="16"/>
        </w:rPr>
        <w:t xml:space="preserve">Sources: ASPEN interim; Makris 2023</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Where a G2 or higher tumour has had both a receptor PET and an FDG-PET, record and report the pair together - a discordant result carries prognostic information that grade alone does not.</w:t>
      </w:r>
    </w:p>
    <w:p>
      <w:pPr>
        <w:spacing w:after="50" w:line="276"/>
        <w:ind w:left="240"/>
      </w:pPr>
      <w:r>
        <w:rPr>
          <w:color w:val="15181F"/>
          <w:sz w:val="18"/>
          <w:szCs w:val="18"/>
        </w:rPr>
        <w:t xml:space="preserve">The NETPET grade summarises the pair on the single lesion that is most FDG-avid relative to its receptor uptake, plus the burden of such lesions. In the 62-patient derivation cohort, median overall survival was not reached for receptor-positive, FDG-negative disease (P1) or for the mixed group (P2-4) and was 11 months for significant FDG-positive, receptor-negative disease (P5), p=0.0018. In a 319-patient three-centre cohort, median overall survival was 101.8, 46.5 and 11.5 months and median time to progression 25.5, 16.7 and 6.6 months across the same three strata (both p&lt;0.001), with the score independent of histological grade on multivariable analysis (HR 2.376, 95% CI 1.682-3.357, p&lt;0.001) and grade independent of the score (HR 1.615, 1.192-2.187, p=0.002). Inter-rater kappa was 0.8 and intra-rater kappa 0.9.</w:t>
      </w:r>
    </w:p>
    <w:p>
      <w:pPr>
        <w:spacing w:after="50"/>
        <w:ind w:left="240"/>
      </w:pPr>
      <w:r>
        <w:rPr>
          <w:b/>
          <w:bCs/>
          <w:color w:val="8C2F26"/>
          <w:sz w:val="18"/>
          <w:szCs w:val="18"/>
        </w:rPr>
        <w:t xml:space="preserve">Caveat. </w:t>
      </w:r>
      <w:r>
        <w:rPr>
          <w:color w:val="15181F"/>
          <w:sz w:val="18"/>
          <w:szCs w:val="18"/>
        </w:rPr>
        <w:t xml:space="preserve">Do not use this to decide an operation on a localised primary. Both cohorts were metastatic or unresectable disease; only 39% and 36% of patients had pancreatic primaries and no pancreas-specific subgroup is reported in either; two of the three validation centres supplied the original derivation data, so this is partly a re-analysis rather than external validation; and treatment was not modelled in either paper, which matters because receptor-positive, FDG-negative disease is precisely the eligibility criterion for peptide receptor radionuclide therapy, so part of the P1 advantage is access to an effective drug. The 5-point scale has never been shown to be prognostic level by level - every published analysis collapses it to three categories, and several sub-grades contained a single patient. The score carries no treatment threshold.</w:t>
      </w:r>
    </w:p>
    <w:p>
      <w:pPr>
        <w:spacing w:after="50" w:line="276"/>
        <w:ind w:left="240"/>
      </w:pPr>
      <w:r>
        <w:rPr>
          <w:i/>
          <w:iCs/>
          <w:color w:val="5A6069"/>
          <w:sz w:val="17"/>
          <w:szCs w:val="17"/>
        </w:rPr>
        <w:t xml:space="preserve">The SNMMI/EANM procedure standard makes the same point more cautiously: FDG positivity is not rare in G1 and G2 tumours and predicts progression and prognosis more strongly than tumour grade, and combining the two scans can identify the highest-grade, most aggressive lesion and direct a biopsy to it. What no source gives is what to do with the result in a localised primary. See the honest section. [EXPERTISE]</w:t>
      </w:r>
    </w:p>
    <w:p>
      <w:pPr>
        <w:spacing w:after="60" w:line="276"/>
        <w:ind w:left="240"/>
      </w:pPr>
      <w:r>
        <w:rPr>
          <w:color w:val="5A6069"/>
          <w:sz w:val="16"/>
          <w:szCs w:val="16"/>
        </w:rPr>
        <w:t xml:space="preserve">Sources: NETPET derivation; NETPET validation; SNMMI/EANM SSTR PET</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operate on uncinate-process or tail uptake seen on a somatostatin-receptor PET without a lesion on dedicated pancreas-protocol CT or MRI.</w:t>
      </w:r>
    </w:p>
    <w:p>
      <w:pPr>
        <w:spacing w:after="50" w:line="276"/>
        <w:ind w:left="240"/>
      </w:pPr>
      <w:r>
        <w:rPr>
          <w:color w:val="15181F"/>
          <w:sz w:val="18"/>
          <w:szCs w:val="18"/>
        </w:rPr>
        <w:t xml:space="preserve">When pancreatic uptake is seen, obtain pancreas-protocol contrast CT to establish whether there is an underlying lesion at all.</w:t>
      </w:r>
    </w:p>
    <w:p>
      <w:pPr>
        <w:spacing w:after="50"/>
        <w:ind w:left="240"/>
      </w:pPr>
      <w:r>
        <w:rPr>
          <w:b/>
          <w:bCs/>
          <w:color w:val="8C2F26"/>
          <w:sz w:val="18"/>
          <w:szCs w:val="18"/>
        </w:rPr>
        <w:t xml:space="preserve">Caveat. </w:t>
      </w:r>
      <w:r>
        <w:rPr>
          <w:color w:val="15181F"/>
          <w:sz w:val="18"/>
          <w:szCs w:val="18"/>
        </w:rPr>
        <w:t xml:space="preserve">Physiological pancreatic uptake is described in over half of patients imaged with receptor PET, there is substantial overlap between physiological and malignant activity, and uptake alone cannot characterise a pancreatic finding. The SNMMI/EANM procedure standard says the same and goes no further: physiologically increased uptake in the pancreatic head and uncinate process occurs in a large proportion of patients and overlaps substantially with the standardised uptake values of true lesions in that region, and the standard offers no decision rule beyond correlating with multiphase CT or MRI and following the patient up. Receptor PET also cannot distinguish a splenule or an intrapancreatic splenule from a small tumour - both take up as avidly as spleen - and should not be used to try.</w:t>
      </w:r>
    </w:p>
    <w:p>
      <w:pPr>
        <w:spacing w:after="60" w:line="276"/>
        <w:ind w:left="240"/>
      </w:pPr>
      <w:r>
        <w:rPr>
          <w:color w:val="5A6069"/>
          <w:sz w:val="16"/>
          <w:szCs w:val="16"/>
        </w:rPr>
        <w:t xml:space="preserve">Sources: NANETS 2020 surgical; SNMMI/EANM SSTR PET</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use somatostatin-receptor imaging to stage a poorly differentiated neuroendocrine carcinoma as a matter of routine.</w:t>
      </w:r>
    </w:p>
    <w:p>
      <w:pPr>
        <w:spacing w:after="50" w:line="276"/>
        <w:ind w:left="240"/>
      </w:pPr>
      <w:r>
        <w:rPr>
          <w:color w:val="15181F"/>
          <w:sz w:val="18"/>
          <w:szCs w:val="18"/>
        </w:rPr>
        <w:t xml:space="preserve">Multiphasic CT of chest, abdomen and pelvis, with brain imaging and FDG-PET as appropriate, is the staging package NCCN sets for this disease.</w:t>
      </w:r>
    </w:p>
    <w:p>
      <w:pPr>
        <w:spacing w:after="50"/>
        <w:ind w:left="240"/>
      </w:pPr>
      <w:r>
        <w:rPr>
          <w:b/>
          <w:bCs/>
          <w:color w:val="8C2F26"/>
          <w:sz w:val="18"/>
          <w:szCs w:val="18"/>
        </w:rPr>
        <w:t xml:space="preserve">Caveat. </w:t>
      </w:r>
      <w:r>
        <w:rPr>
          <w:color w:val="15181F"/>
          <w:sz w:val="18"/>
          <w:szCs w:val="18"/>
        </w:rPr>
        <w:t xml:space="preserve">NCCN states that receptor-based imaging is not part of the routine evaluation of poorly differentiated carcinoma. A negative receptor scan in that setting answers a question nobody needed to ask and delays treatment that is time-critical.</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3 · The functional syndrome, and what it changes</w:t>
      </w:r>
    </w:p>
    <w:p>
      <w:pPr>
        <w:spacing w:after="140"/>
      </w:pPr>
      <w:r>
        <w:rPr>
          <w:b/>
          <w:bCs/>
          <w:color w:val="176A87"/>
          <w:sz w:val="19"/>
          <w:szCs w:val="19"/>
        </w:rPr>
        <w:t xml:space="preserve">The question. </w:t>
      </w:r>
      <w:r>
        <w:rPr>
          <w:sz w:val="19"/>
          <w:szCs w:val="19"/>
        </w:rPr>
        <w:t xml:space="preserve">Which hormone am I treating, where exactly is the tumour, and does the syndrome change the operation or only the preparation for it?</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Insulinoma — neuroglycopenic symptoms with raised insulin, pro-insulin and C-peptide during concurrent hypoglycaemia</w:t>
      </w:r>
    </w:p>
    <w:p>
      <w:pPr>
        <w:pStyle w:val="ListParagraph"/>
        <w:numPr>
          <w:ilvl w:val="0"/>
          <w:numId w:val="2"/>
        </w:numPr>
        <w:spacing w:after="60" w:line="268"/>
      </w:pPr>
      <w:r>
        <w:rPr>
          <w:color w:val="15181F"/>
          <w:sz w:val="18"/>
          <w:szCs w:val="18"/>
        </w:rPr>
        <w:t xml:space="preserve">Gastrinoma — Zollinger-Ellison syndrome with a raised fasting gastrin, interpreted against proton-pump inhibitor use</w:t>
      </w:r>
    </w:p>
    <w:p>
      <w:pPr>
        <w:pStyle w:val="ListParagraph"/>
        <w:numPr>
          <w:ilvl w:val="0"/>
          <w:numId w:val="2"/>
        </w:numPr>
        <w:spacing w:after="60" w:line="268"/>
      </w:pPr>
      <w:r>
        <w:rPr>
          <w:color w:val="15181F"/>
          <w:sz w:val="18"/>
          <w:szCs w:val="18"/>
        </w:rPr>
        <w:t xml:space="preserve">Glucagonoma — glucagon excess with diabetes or necrolytic migratory erythema</w:t>
      </w:r>
    </w:p>
    <w:p>
      <w:pPr>
        <w:pStyle w:val="ListParagraph"/>
        <w:numPr>
          <w:ilvl w:val="0"/>
          <w:numId w:val="2"/>
        </w:numPr>
        <w:spacing w:after="60" w:line="268"/>
      </w:pPr>
      <w:r>
        <w:rPr>
          <w:color w:val="15181F"/>
          <w:sz w:val="18"/>
          <w:szCs w:val="18"/>
        </w:rPr>
        <w:t xml:space="preserve">VIPoma — watery diarrhoea, hypokalaemia and achlorhydria with a raised VIP</w:t>
      </w:r>
    </w:p>
    <w:p>
      <w:pPr>
        <w:pStyle w:val="ListParagraph"/>
        <w:numPr>
          <w:ilvl w:val="0"/>
          <w:numId w:val="2"/>
        </w:numPr>
        <w:spacing w:after="60" w:line="268"/>
      </w:pPr>
      <w:r>
        <w:rPr>
          <w:color w:val="15181F"/>
          <w:sz w:val="18"/>
          <w:szCs w:val="18"/>
        </w:rPr>
        <w:t xml:space="preserve">Any other documented syndrome: somatostatinoma, ACTHoma, PTHrPoma, calcitoninoma, GHRHoma</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A localised, biochemically confirmed functional tumour is resected, whatever its size — the syndrome is the indication and the 2 cm rule does not apply here.</w:t>
      </w:r>
    </w:p>
    <w:p>
      <w:pPr>
        <w:spacing w:after="50" w:line="276"/>
        <w:ind w:left="240"/>
      </w:pPr>
      <w:r>
        <w:rPr>
          <w:color w:val="15181F"/>
          <w:sz w:val="18"/>
          <w:szCs w:val="18"/>
        </w:rPr>
        <w:t xml:space="preserve">Every localised functional tumour without distant metastases, where resection serves both symptom control and cure. Malignant potential runs from 5–15% for insulinoma to 60–90% for gastrinoma, glucagonoma and tumours secreting VIP, PTHrP or ectopic ACTH, so for everything except insulinoma the operation is an oncologic one. Resection of a localised insulinoma gives a 98% biochemical cure rate with a 6% chance of recurrence at 10 years.</w:t>
      </w:r>
    </w:p>
    <w:p>
      <w:pPr>
        <w:spacing w:after="50"/>
        <w:ind w:left="240"/>
      </w:pPr>
      <w:r>
        <w:rPr>
          <w:b/>
          <w:bCs/>
          <w:color w:val="8C2F26"/>
          <w:sz w:val="18"/>
          <w:szCs w:val="18"/>
        </w:rPr>
        <w:t xml:space="preserve">Caveat. </w:t>
      </w:r>
      <w:r>
        <w:rPr>
          <w:color w:val="15181F"/>
          <w:sz w:val="18"/>
          <w:szCs w:val="18"/>
        </w:rPr>
        <w:t xml:space="preserve">Do not apply the small-nonfunctional observation rule to a functional tumour. NCCN's resection requirement for glucagonoma, VIPoma and somatostatinoma is total removal with negative margins, including adjacent organs where involved, with regional nodes — pancreatoduodenectomy for the head, distal pancreatectomy with or without splenectomy for body and tail.</w:t>
      </w:r>
    </w:p>
    <w:p>
      <w:pPr>
        <w:spacing w:after="50" w:line="276"/>
        <w:ind w:left="240"/>
      </w:pPr>
      <w:r>
        <w:rPr>
          <w:i/>
          <w:iCs/>
          <w:color w:val="5A6069"/>
          <w:sz w:val="17"/>
          <w:szCs w:val="17"/>
        </w:rPr>
        <w:t xml:space="preserve">Biochemical cure for apparently sporadic gastrinoma is 60% immediately after resection and 30-40% at 5 years, with 15-year disease-free survival of 15%, so "cured" means something different in each syndrome and should be said in those terms. For gastrinoma the strongest datum for operating is not randomised: on prospective NIH, UCSF and Stanford protocols, 160 patients who had a standardised exploration were compared with 35 who met the same criteria but did not have surgery. A gastrinoma was found and removed in 150 of 160 (94%), 51% were disease-free immediately and 41% at last follow-up. Liver metastases developed in 8 of 160 (5%) against 10 of 35 (29%), p=0.0002; death from any cause in 34 of 160 (21%) against 19 of 35 (54%), p=0.0002; disease-related death in 2 of 160 (1%) against 8 of 35 (23%), p=0.00001; and 15-year disease-related survival from first admission was 98% against 74%. Those 35 controls were not randomly formed - 19 refused after consulting their own physician, 10 had MEN1 with no lesion above 2.5 cm and 5 had comorbidity - non-disease mortality was numerically higher in them (31% against 20%, p=0.18), the surgical arm's disease-related figure rests on 2 deaths, cause of death was adjudicated unblinded by the operating investigators, and the controls were imaged every 6 to 12 months against yearly evaluation in the operated patients. Almost every primary was duodenal or nodal, so none of this transfers to an incidental non-functional pancreatic tumour. See the honest section and approval 4.</w:t>
      </w:r>
    </w:p>
    <w:p>
      <w:pPr>
        <w:spacing w:after="60" w:line="276"/>
        <w:ind w:left="240"/>
      </w:pPr>
      <w:r>
        <w:rPr>
          <w:color w:val="5A6069"/>
          <w:sz w:val="16"/>
          <w:szCs w:val="16"/>
        </w:rPr>
        <w:t xml:space="preserve">Sources: NANETS 2020 surgical; ENETS 2023 functioning; Norton 2006</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Confirm the syndrome biochemically before localising, and read gastrin against the proton-pump inhibitor.</w:t>
      </w:r>
    </w:p>
    <w:p>
      <w:pPr>
        <w:spacing w:after="50" w:line="276"/>
        <w:ind w:left="240"/>
      </w:pPr>
      <w:r>
        <w:rPr>
          <w:color w:val="15181F"/>
          <w:sz w:val="18"/>
          <w:szCs w:val="18"/>
        </w:rPr>
        <w:t xml:space="preserve">Serum gastrin ideally drawn fasting and off a proton-pump inhibitor for more than a week. Where there are overt clinical symptoms of gastrinoma or a risk of complications, NCCN says to continue the acid suppression and interpret the gastrin with that in mind rather than stop it. Consider endocrinology involvement to establish the endocrine diagnosis.</w:t>
      </w:r>
    </w:p>
    <w:p>
      <w:pPr>
        <w:spacing w:after="50"/>
        <w:ind w:left="240"/>
      </w:pPr>
      <w:r>
        <w:rPr>
          <w:b/>
          <w:bCs/>
          <w:color w:val="8C2F26"/>
          <w:sz w:val="18"/>
          <w:szCs w:val="18"/>
        </w:rPr>
        <w:t xml:space="preserve">Caveat. </w:t>
      </w:r>
      <w:r>
        <w:rPr>
          <w:color w:val="15181F"/>
          <w:sz w:val="18"/>
          <w:szCs w:val="18"/>
        </w:rPr>
        <w:t xml:space="preserve">Do not start a localisation workup on a gastrin drawn on a proton-pump inhibitor and do not stop acid suppression in a patient who is symptomatic or at risk of perforation or bleeding to obtain a cleaner number. Genetic counselling and testing is recommended for every gastrinoma — see gate 7.</w:t>
      </w:r>
    </w:p>
    <w:p>
      <w:pPr>
        <w:spacing w:after="60" w:line="276"/>
        <w:ind w:left="240"/>
      </w:pPr>
      <w:r>
        <w:rPr>
          <w:color w:val="5A6069"/>
          <w:sz w:val="16"/>
          <w:szCs w:val="16"/>
        </w:rPr>
        <w:t xml:space="preserve">Sources: ENETS 2023 functioning; NANETS 2020 surgical</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For insulinoma, enucleate an exophytic lesion that is clear of the main pancreatic duct; take a spleen-preserving distal pancreatectomy for a deep lesion or one close to the duct.</w:t>
      </w:r>
    </w:p>
    <w:p>
      <w:pPr>
        <w:spacing w:after="50" w:line="276"/>
        <w:ind w:left="240"/>
      </w:pPr>
      <w:r>
        <w:rPr>
          <w:color w:val="15181F"/>
          <w:sz w:val="18"/>
          <w:szCs w:val="18"/>
        </w:rPr>
        <w:t xml:space="preserve">Insulinomas are highly symptomatic and rarely malignant, which is exactly the setting in which NCCN and NANETS place enucleation. Ninety per cent pursue an indolent course. Where splenic vessels are involved by a larger tumour, splenectomy is performed; otherwise spleen preservation should be considered.</w:t>
      </w:r>
    </w:p>
    <w:p>
      <w:pPr>
        <w:spacing w:after="50"/>
        <w:ind w:left="240"/>
      </w:pPr>
      <w:r>
        <w:rPr>
          <w:b/>
          <w:bCs/>
          <w:color w:val="8C2F26"/>
          <w:sz w:val="18"/>
          <w:szCs w:val="18"/>
        </w:rPr>
        <w:t xml:space="preserve">Caveat. </w:t>
      </w:r>
      <w:r>
        <w:rPr>
          <w:color w:val="15181F"/>
          <w:sz w:val="18"/>
          <w:szCs w:val="18"/>
        </w:rPr>
        <w:t xml:space="preserve">Do not enucleate a lesion within 2-3 mm of the main pancreatic duct, and do not enucleate a tumour large enough to carry nodal risk - see gate 5 for the trade. And cost the fistula honestly: in a pooled analysis of 22 non-randomised comparative studies (432 enucleations against 716 standard resections), pancreatic fistula occurred in 25.5% after enucleation against 19.7% after standard resection, OR 2.09 (95% CI 1.41-3.11), p&lt;0.001, and OR 1.93 (1.14-3.27) for clinically relevant grade B or C disease; the excess lost significance only in the four studies performing more than 20 enucleations in total and at least 4 a year. Vaccinate against pneumococcus, Haemophilus influenzae b and meningococcus at least 14 days before any operation that might include splenectomy.</w:t>
      </w:r>
    </w:p>
    <w:p>
      <w:pPr>
        <w:spacing w:after="50" w:line="276"/>
        <w:ind w:left="240"/>
      </w:pPr>
      <w:r>
        <w:rPr>
          <w:i/>
          <w:iCs/>
          <w:color w:val="5A6069"/>
          <w:sz w:val="17"/>
          <w:szCs w:val="17"/>
        </w:rPr>
        <w:t xml:space="preserve">A formal lymphadenectomy is not part of the operation for a benign insulinoma.</w:t>
      </w:r>
    </w:p>
    <w:p>
      <w:pPr>
        <w:spacing w:after="60" w:line="276"/>
        <w:ind w:left="240"/>
      </w:pPr>
      <w:r>
        <w:rPr>
          <w:color w:val="5A6069"/>
          <w:sz w:val="16"/>
          <w:szCs w:val="16"/>
        </w:rPr>
        <w:t xml:space="preserve">Sources: NANETS 2020 surgical; Hüttner 2015</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Where contrast CT or MRI and endoscopic ultrasound have not found the insulinoma, the next test is GLP-1 receptor imaging or arterial stimulation with venous sampling, not another anatomic study.</w:t>
      </w:r>
    </w:p>
    <w:p>
      <w:pPr>
        <w:spacing w:after="50" w:line="276"/>
        <w:ind w:left="240"/>
      </w:pPr>
      <w:r>
        <w:rPr>
          <w:color w:val="15181F"/>
          <w:sz w:val="18"/>
          <w:szCs w:val="18"/>
        </w:rPr>
        <w:t xml:space="preserve">In a prospective randomised crossover study at one centre, 52 consecutive adults with biochemically proven endogenous hyperinsulinaemic hypoglycaemia had 68Ga-DOTA-exendin-4 PET/CT, 111In-DOTA-exendin-4 SPECT/CT and a standardised 3T MRI within 3 to 4 days, each read independently by three blinded readers, with surgery, histology and postoperative glucose normalisation as the reference standard. Among the 38 who reached surgery with conclusive histology, accuracy was 93.9% (95% CI 87.8-97.5) for GLP-1 receptor PET/CT, 67.5% (58.1-76.0) for the SPECT, 67.6% (58.0-76.1) for the study MRI and 40.0% (23.9-57.9) for the prior external CT or MRI (all comparisons p&lt;0.01 except SPECT against study MRI, p=1.0); reader agreement was 89.5%, 75.7% and 71.1%. Histology confirmed a benign insulinoma in 36 of 38 at a median size of 12 mm (range 5-23) and 37 of 38 normalised their glucose after surgery. ENETS recommends GLP-1 receptor imaging or arterial calcium stimulation with venous sampling when contrast CT or MRI and endoscopic ultrasound are negative.</w:t>
      </w:r>
    </w:p>
    <w:p>
      <w:pPr>
        <w:spacing w:after="50"/>
        <w:ind w:left="240"/>
      </w:pPr>
      <w:r>
        <w:rPr>
          <w:b/>
          <w:bCs/>
          <w:color w:val="8C2F26"/>
          <w:sz w:val="18"/>
          <w:szCs w:val="18"/>
        </w:rPr>
        <w:t xml:space="preserve">Caveat. </w:t>
      </w:r>
      <w:r>
        <w:rPr>
          <w:color w:val="15181F"/>
          <w:sz w:val="18"/>
          <w:szCs w:val="18"/>
        </w:rPr>
        <w:t xml:space="preserve">Read the accuracy figures for what they are. Fourteen of the 52 enrolled patients are absent from that denominator precisely because imaging was negative or discordant or surgery was declined, which is the classic verification bias of an imaging study with a surgical reference standard and which the authors concede inflates sensitivity - the PET showed a suspicious lesion in only 78.8% of all 52 patients. Inclusion required a pathological fasting test, so specificity and negative predictive value cannot be estimated at all. The 40% figure for prior external imaging is an artefact of why these patients were referred, not a general estimate, and that arm was read once at the referring centre against three blinded readers for the index test. GLP-1 receptor expression falls to 4 of 11 (36%) in malignant insulinoma, where 73% express somatostatin receptor 2 instead, so a negative exendin scan in a patient who looks malignant is uninformative. The tracer is not licensed for routine clinical use.</w:t>
      </w:r>
    </w:p>
    <w:p>
      <w:pPr>
        <w:spacing w:after="50" w:line="276"/>
        <w:ind w:left="240"/>
      </w:pPr>
      <w:r>
        <w:rPr>
          <w:i/>
          <w:iCs/>
          <w:color w:val="5A6069"/>
          <w:sz w:val="17"/>
          <w:szCs w:val="17"/>
        </w:rPr>
        <w:t xml:space="preserve">The supporting review is a narrative one by the group that developed, labelled and validated the tracer, with no systematic search, no risk-of-bias appraisal and a comparative sensitivity table that places studies with different reference standards, referral filters and lesion sizes side by side. It does record the practical traps worth knowing: physiological uptake in duodenal Brunner's glands is always present and can be mistaken for an insulinoma, and high renal uptake can mask a lesion in the tail. [EXPERTISE]</w:t>
      </w:r>
    </w:p>
    <w:p>
      <w:pPr>
        <w:spacing w:after="60" w:line="276"/>
        <w:ind w:left="240"/>
      </w:pPr>
      <w:r>
        <w:rPr>
          <w:color w:val="5A6069"/>
          <w:sz w:val="16"/>
          <w:szCs w:val="16"/>
        </w:rPr>
        <w:t xml:space="preserve">Sources: Antwi 2018 GLP-1R PET; Wild 2021 GLP-1R review; ENETS 2023 functioning</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Where the lesion is resectable but the patient is not a surgical candidate, EUS-guided ablation at a centre with expertise is an option for insulinoma.</w:t>
      </w:r>
    </w:p>
    <w:p>
      <w:pPr>
        <w:spacing w:after="50" w:line="276"/>
        <w:ind w:left="240"/>
      </w:pPr>
      <w:r>
        <w:rPr>
          <w:color w:val="15181F"/>
          <w:sz w:val="18"/>
          <w:szCs w:val="18"/>
        </w:rPr>
        <w:t xml:space="preserve">NCCN lists this for highly selected cases only. Stabilise first with diet, diazoxide at 3 to 8 mg/kg per day in three or four divided doses, or everolimus.</w:t>
      </w:r>
    </w:p>
    <w:p>
      <w:pPr>
        <w:spacing w:after="50"/>
        <w:ind w:left="240"/>
      </w:pPr>
      <w:r>
        <w:rPr>
          <w:b/>
          <w:bCs/>
          <w:color w:val="8C2F26"/>
          <w:sz w:val="18"/>
          <w:szCs w:val="18"/>
        </w:rPr>
        <w:t xml:space="preserve">Caveat. </w:t>
      </w:r>
      <w:r>
        <w:rPr>
          <w:color w:val="15181F"/>
          <w:sz w:val="18"/>
          <w:szCs w:val="18"/>
        </w:rPr>
        <w:t xml:space="preserve">This is a symptom-control manoeuvre with no comparative outcome data in this disease and no established oncologic endpoint. Do not offer it to an operable patient. [EXPERTISE]</w:t>
      </w:r>
    </w:p>
    <w:p>
      <w:pPr>
        <w:spacing w:after="50" w:line="276"/>
        <w:ind w:left="240"/>
      </w:pPr>
      <w:r>
        <w:rPr>
          <w:i/>
          <w:iCs/>
          <w:color w:val="5A6069"/>
          <w:sz w:val="17"/>
          <w:szCs w:val="17"/>
        </w:rPr>
        <w:t xml:space="preserve">Correct the metabolic consequences of the syndrome before operating: potassium, magnesium and bicarbonate and dehydration in a VIPoma, glucose in an insulinoma. Glucagonoma carries a described hypercoagulable state and NCCN allows consideration of perioperative anticoagulation.</w:t>
      </w:r>
    </w:p>
    <w:p>
      <w:pPr>
        <w:spacing w:after="60" w:line="276"/>
        <w:ind w:left="240"/>
      </w:pPr>
      <w:r>
        <w:rPr>
          <w:color w:val="5A6069"/>
          <w:sz w:val="16"/>
          <w:szCs w:val="16"/>
        </w:rPr>
        <w:t xml:space="preserve">Sources: NANETS 2020 surgical</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give a somatostatin analogue to a patient with insulinoma whose somatostatin-receptor imaging is negative.</w:t>
      </w:r>
    </w:p>
    <w:p>
      <w:pPr>
        <w:spacing w:after="50" w:line="276"/>
        <w:ind w:left="240"/>
      </w:pPr>
      <w:r>
        <w:rPr>
          <w:color w:val="15181F"/>
          <w:sz w:val="18"/>
          <w:szCs w:val="18"/>
        </w:rPr>
        <w:t xml:space="preserve">Only consider an analogue in insulinoma where the tumour demonstrably expresses somatostatin receptors, and use it with caution even then because it can transiently worsen hypoglycaemia.</w:t>
      </w:r>
    </w:p>
    <w:p>
      <w:pPr>
        <w:spacing w:after="50"/>
        <w:ind w:left="240"/>
      </w:pPr>
      <w:r>
        <w:rPr>
          <w:b/>
          <w:bCs/>
          <w:color w:val="8C2F26"/>
          <w:sz w:val="18"/>
          <w:szCs w:val="18"/>
        </w:rPr>
        <w:t xml:space="preserve">Caveat. </w:t>
      </w:r>
      <w:r>
        <w:rPr>
          <w:color w:val="15181F"/>
          <w:sz w:val="18"/>
          <w:szCs w:val="18"/>
        </w:rPr>
        <w:t xml:space="preserve">Analogues suppress the counter-regulatory hormones — growth hormone, glucagon and catecholamines — and in a receptor-negative insulinoma can precipitously worsen hypoglycaemia with fatal complications reported. About two-thirds of insulinomas are receptor-PET negative, so this is a common trap rather than a rare one, and it is why the receptor scan is obtained before the drug.</w:t>
      </w:r>
    </w:p>
    <w:p>
      <w:pPr>
        <w:spacing w:after="60" w:line="276"/>
        <w:ind w:left="240"/>
      </w:pPr>
      <w:r>
        <w:rPr>
          <w:color w:val="5A6069"/>
          <w:sz w:val="16"/>
          <w:szCs w:val="16"/>
        </w:rPr>
        <w:t xml:space="preserve">Sources: NANETS 2020 surgical; ENETS 2023 functioning</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rely on prophylactic octreotide to prevent an intraoperative crisis.</w:t>
      </w:r>
    </w:p>
    <w:p>
      <w:pPr>
        <w:spacing w:after="50" w:line="276"/>
        <w:ind w:left="240"/>
      </w:pPr>
      <w:r>
        <w:rPr>
          <w:color w:val="15181F"/>
          <w:sz w:val="18"/>
          <w:szCs w:val="18"/>
        </w:rPr>
        <w:t xml:space="preserve">Have vasopressors and fluid immediately available and give them without waiting. The crisis plan, the rescue drug in the room and the carcinoid-heart-disease assessment are set out in the NELM pathway's functional-syndrome gate, which applies unchanged to a patient coming for a pancreatic operation.</w:t>
      </w:r>
    </w:p>
    <w:p>
      <w:pPr>
        <w:spacing w:after="50"/>
        <w:ind w:left="240"/>
      </w:pPr>
      <w:r>
        <w:rPr>
          <w:b/>
          <w:bCs/>
          <w:color w:val="8C2F26"/>
          <w:sz w:val="18"/>
          <w:szCs w:val="18"/>
        </w:rPr>
        <w:t xml:space="preserve">Caveat. </w:t>
      </w:r>
      <w:r>
        <w:rPr>
          <w:color w:val="15181F"/>
          <w:sz w:val="18"/>
          <w:szCs w:val="18"/>
        </w:rPr>
        <w:t xml:space="preserve">NCCN states that prophylactic octreotide is likely ineffective in preventing intraoperative carcinoid crisis and that intraoperative administration should not delay vasopressor use and fluid administration. NANETS calls the role of analogues in preventing crisis in pancreatic NET undefined. Also remember cholecystectomy at the index operation where long-term analogue therapy is anticipated, because of the raised risk of biliary symptoms and cholecystitis.</w:t>
      </w:r>
    </w:p>
    <w:p>
      <w:pPr>
        <w:spacing w:after="60" w:line="276"/>
        <w:ind w:left="240"/>
      </w:pPr>
      <w:r>
        <w:rPr>
          <w:color w:val="5A6069"/>
          <w:sz w:val="16"/>
          <w:szCs w:val="16"/>
        </w:rPr>
        <w:t xml:space="preserve">Sources: NANETS 2020 surgical</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4 · The incidental small nonfunctional tumour: observe or resect</w:t>
      </w:r>
    </w:p>
    <w:p>
      <w:pPr>
        <w:spacing w:after="140"/>
      </w:pPr>
      <w:r>
        <w:rPr>
          <w:b/>
          <w:bCs/>
          <w:color w:val="176A87"/>
          <w:sz w:val="19"/>
          <w:szCs w:val="19"/>
        </w:rPr>
        <w:t xml:space="preserve">The question. </w:t>
      </w:r>
      <w:r>
        <w:rPr>
          <w:sz w:val="19"/>
          <w:szCs w:val="19"/>
        </w:rPr>
        <w:t xml:space="preserve">This patient has a 14 mm lesion in the pancreatic body found on a CT for something else — do I operate, or do I scan again in six months?</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Incidentally discovered, sporadic and non-functional, with no hormonal syndrome</w:t>
      </w:r>
    </w:p>
    <w:p>
      <w:pPr>
        <w:pStyle w:val="ListParagraph"/>
        <w:numPr>
          <w:ilvl w:val="0"/>
          <w:numId w:val="2"/>
        </w:numPr>
        <w:spacing w:after="60" w:line="268"/>
      </w:pPr>
      <w:r>
        <w:rPr>
          <w:color w:val="15181F"/>
          <w:sz w:val="18"/>
          <w:szCs w:val="18"/>
        </w:rPr>
        <w:t xml:space="preserve">2 cm or smaller on the index multiphasic CT or MRI, and low grade</w:t>
      </w:r>
    </w:p>
    <w:p>
      <w:pPr>
        <w:pStyle w:val="ListParagraph"/>
        <w:numPr>
          <w:ilvl w:val="0"/>
          <w:numId w:val="2"/>
        </w:numPr>
        <w:spacing w:after="60" w:line="268"/>
      </w:pPr>
      <w:r>
        <w:rPr>
          <w:color w:val="15181F"/>
          <w:sz w:val="18"/>
          <w:szCs w:val="18"/>
        </w:rPr>
        <w:t xml:space="preserve">No radiological nodal or distant disease, no vascular invasion</w:t>
      </w:r>
    </w:p>
    <w:p>
      <w:pPr>
        <w:pStyle w:val="ListParagraph"/>
        <w:numPr>
          <w:ilvl w:val="0"/>
          <w:numId w:val="2"/>
        </w:numPr>
        <w:spacing w:after="60" w:line="268"/>
      </w:pPr>
      <w:r>
        <w:rPr>
          <w:color w:val="15181F"/>
          <w:sz w:val="18"/>
          <w:szCs w:val="18"/>
        </w:rPr>
        <w:t xml:space="preserve">Main pancreatic duct not dilated</w:t>
      </w:r>
    </w:p>
    <w:p>
      <w:pPr>
        <w:pStyle w:val="ListParagraph"/>
        <w:numPr>
          <w:ilvl w:val="0"/>
          <w:numId w:val="2"/>
        </w:numPr>
        <w:spacing w:after="60" w:line="268"/>
      </w:pPr>
      <w:r>
        <w:rPr>
          <w:color w:val="15181F"/>
          <w:sz w:val="18"/>
          <w:szCs w:val="18"/>
        </w:rPr>
        <w:t xml:space="preserve">A patient who will actually come back for imaging, with the surgical risk and comorbidity burden stated</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Observation is the default for an incidental, low-grade, non-functional tumour of 1 cm or less, and biopsy is not required to make that decision.</w:t>
      </w:r>
    </w:p>
    <w:p>
      <w:pPr>
        <w:spacing w:after="50" w:line="276"/>
        <w:ind w:left="240"/>
      </w:pPr>
      <w:r>
        <w:rPr>
          <w:color w:val="15181F"/>
          <w:sz w:val="18"/>
          <w:szCs w:val="18"/>
        </w:rPr>
        <w:t xml:space="preserve">A sub-centimetre lesion with the imaging phenotype of a neuroendocrine tumour in a patient who will be followed. At 1 cm the guidelines agree: NCCN permits observation for small, low-grade, incidentally discovered non-functional tumours and routes 1 cm or less straight to observation; NANETS calls initial observation without a plan for immediate resection an acceptable strategy for an asymptomatic tumour under 1 cm; and ENETS 2023, now read in full, states that an asymptomatic nonfunctioning tumour of 1 cm or less without main pancreatic duct dilation should undergo active surveillance (level 3 evidence, grade B).</w:t>
      </w:r>
    </w:p>
    <w:p>
      <w:pPr>
        <w:spacing w:after="50"/>
        <w:ind w:left="240"/>
      </w:pPr>
      <w:r>
        <w:rPr>
          <w:b/>
          <w:bCs/>
          <w:color w:val="8C2F26"/>
          <w:sz w:val="18"/>
          <w:szCs w:val="18"/>
        </w:rPr>
        <w:t xml:space="preserve">Caveat. </w:t>
      </w:r>
      <w:r>
        <w:rPr>
          <w:color w:val="15181F"/>
          <w:sz w:val="18"/>
          <w:szCs w:val="18"/>
        </w:rPr>
        <w:t xml:space="preserve">Do not observe a patient who will not return for imaging, and do not observe a lesion you have not characterised on a dedicated pancreas-protocol study. Observation is a programme with dates, not a decision to do nothing. And do not state, as the first draft of this page did from the abstract, that ENETS considers observation for lesions no larger than 2 cm. It does not. ENETS observes 1 cm or less, personalises the band above 1 cm up to 2 cm to the resection that would be required and the patient's comorbidities, and strongly recommends surgery for any nonfunctioning tumour larger than 2 cm or with main pancreatic duct dilation - all three positions at level 3 evidence, grade B.</w:t>
      </w:r>
    </w:p>
    <w:p>
      <w:pPr>
        <w:spacing w:after="50" w:line="276"/>
        <w:ind w:left="240"/>
      </w:pPr>
      <w:r>
        <w:rPr>
          <w:i/>
          <w:iCs/>
          <w:color w:val="5A6069"/>
          <w:sz w:val="17"/>
          <w:szCs w:val="17"/>
        </w:rPr>
        <w:t xml:space="preserve">Grade D, downgraded on the full-text read. Neither 1 cm nor 2 cm was derived from data. NCCN's own supporting citations for the observation footnote are the three cohorts in the next item and nothing stronger; ENETS's surgical thresholds carry level 3 evidence while its strongest wording is reserved for the threshold above which it operates; and the only systematic comparison of surgery against surveillance for lesions of 2 cm or less that exists anywhere - 37 of 3,048 screened publications, 1,814 patients, carried out for the 2025 MEN1 recommendations - found no difference in metastasis or mortality, at low to very low GRADE certainty. The recommendation to observe a sub-centimetre lesion is reasonable and near-universal. It is not derived, and it should not be offered to a patient as though it were.</w:t>
      </w:r>
    </w:p>
    <w:p>
      <w:pPr>
        <w:spacing w:after="60" w:line="276"/>
        <w:ind w:left="240"/>
      </w:pPr>
      <w:r>
        <w:rPr>
          <w:color w:val="5A6069"/>
          <w:sz w:val="16"/>
          <w:szCs w:val="16"/>
        </w:rPr>
        <w:t xml:space="preserve">Sources: Sadot 2016; PANDORA; ASPEN interim; NANETS 2020 surgical; ENETS 2023 NF-PanNET; MEN1 2025 guideline</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State the actual evidence for the threshold when you offer observation: three uncontrolled cohorts with two to four years of follow-up, no randomised comparison, and not one direct comparison of the two strategies in any of them.</w:t>
      </w:r>
    </w:p>
    <w:p>
      <w:pPr>
        <w:spacing w:after="50" w:line="276"/>
        <w:ind w:left="240"/>
      </w:pPr>
      <w:r>
        <w:rPr>
          <w:color w:val="15181F"/>
          <w:sz w:val="18"/>
          <w:szCs w:val="18"/>
        </w:rPr>
        <w:t xml:space="preserve">Every observation conversation, and every tumour board that uses the 2 cm line. The three studies NCCN cites are these, as their full texts report them. Sadot 2016 is a single-centre matched case-control study at one tertiary referral centre, 1993-2013, of sporadic incidentally discovered stage I-II tumours, and its inclusion band was 3 cm or less rather than 2 cm: median size was 1.2 cm (IQR 0.8-1.7) in the observed group and 1.4 cm (1-2) in the resected, and 87% were T1. Of 464 patients reviewed, 104 recommended for observation were matched one-to-one on initial tumour size by a blinded statistician to 77 resected without a period of surveillance, and compared by intention to treat. Median tumour size in the observation group was unchanged at 1.2 cm from first to last imaging (p=0.7) - but the individual trajectories differed: 53 of 104 (51%) grew, 19 (18%) were static and 32 (31%) shrank. Twenty-six of 104 (25%) crossed over to resection at a median of 30 months (range 7-135), for patient preference in 10 (38%), increasing size in 8 (31%), physician preference in 7 (27%) and new duct dilatation in 1 (4%); none had developed symptoms. No observed patient developed radiographic locoregional or distant metastases and nobody in either arm died of disease. In the resected arm 72 of 77 (95%) were G1, 1 was node positive, margins were positive in 9 (12%), and 5 (6%) recurred at a median of 5.1 years (range 2.9-8.1). Operative harm was substantial: any grade 3 complication in 16 of 77 (21%), a grade 3 leak-related complication in 13 (17%), median stay 7 days. PANDORA is the Dutch Pancreatic Cancer Group's nationwide prospective watchful-waiting cohort of 76 patients with a non-functional tumour of 2 cm or less, enrolled 2017-2020, median follow-up 17 months (IQR 8-35). Sixty-eight of 76 (89%) showed no sign of progression; 8 (11%) grew by more than 0.5 cm per year, of whom 2 ended above 2.0 cm, and none of the 8 developed symptoms. Six patients (8%) were operated during follow-up. One of them, who grew from 1.8 to 2.6 cm in a year, had two enlarged nodes on 68Ga-DOTATATE PET-CT and an unexpected peritoneal deposit at operation: final pathology was a 2.0 cm tumour with Ki-67 5-10%, two positive nodes and confirmed peritoneal metastasis, with two new nodes 11 months later requiring a somatostatin analogue. Four patients died, all of non-tumour causes. ASPEN is the largest: a prospective, non-randomised, international cohort of 500 patients at 41 centres, 406 under surveillance and 94 resected, with treatment left to the referring centre, median follow-up 25 months (IQR 16-35). Mean radiological size was 13.2 mm (SD 4.1) - 12.9 mm under surveillance against 14.8 mm in the surgical group, p&lt;0.010. Nine of 406 surveillance patients (2%) came to surgery during follow-up: 4 for increasing size, 3 for increasing duct dilatation, 2 by preference. Distant metastases were present in 4 of 500 (0.8%), all at diagnosis and all operated, and the only recurrence recorded during follow-up was in one of those same patients. Severe complications occurred in 13% of the resected with no deaths.</w:t>
      </w:r>
    </w:p>
    <w:p>
      <w:pPr>
        <w:spacing w:after="50"/>
        <w:ind w:left="240"/>
      </w:pPr>
      <w:r>
        <w:rPr>
          <w:b/>
          <w:bCs/>
          <w:color w:val="8C2F26"/>
          <w:sz w:val="18"/>
          <w:szCs w:val="18"/>
        </w:rPr>
        <w:t xml:space="preserve">Caveat. </w:t>
      </w:r>
      <w:r>
        <w:rPr>
          <w:color w:val="15181F"/>
          <w:sz w:val="18"/>
          <w:szCs w:val="18"/>
        </w:rPr>
        <w:t xml:space="preserve">Do not present any of this as proof of safety, and do not present it as a comparison of strategies, because not one of the three performs one. Sadot's inclusion criterion was under 3 cm, so the paper most often cited for the 2 cm threshold never tested that threshold; its evidence concerns lesions of about a centimetre and it is silent about the 2-3 cm range it nominally covers. A quarter of its observation arm had the very operation the paper argues can be avoided, and they remain in that arm by intention to treat, so part of the arm's clean oncological record was purchased with surgery. The patients genuinely never operated were followed a median of 33 months (IQR 11-72) against 57 months after resection (p&lt;0.001), while the recurrences in the resected arm appeared at a median of 5.1 years - the observation arm was not watched long enough to experience the event the paper reports as absent. The metastasis-free survival advantage for observation, 99% (97-100) against 88% (79-96), p=0.01, is an artefact of the endpoint and not a finding: a resected patient can be recorded as recurring while an unresected patient with stable imaging cannot, so the two arms are not at risk of the same events, and in the observation-only against resection comparison the difference disappears (metastasis-free survival p=0.08, overall survival p=0.3). Matching was on initial size alone: the observation group was significantly older (median 63 against 59, p=0.04; 65 against 59 in the never-operated subgroup, p=0.001), 36 of 104 (35%) never had a tissue diagnosis at all, and 11 of 181 (6%) died of other or unknown causes with no competing-risk analysis. Fifty-one per cent of observed tumours did grow, a fact submerged beneath an unchanged median. ASPEN's 20% rate of aggressive histology - its most quoted number - comes entirely from the 94 patients who were resected, and that group was selected by radiological size over 10 mm (OR 1.9, p=0.030), a main pancreatic duct over 3 mm (OR 3.4, p&lt;0.001), age 64 or under (OR 2.5, p&lt;0.001), enrolment at a surgical centre (OR 2.0, p=0.012) and a HADS anxiety score of 4-6 (OR 2.0, p=0.029). It therefore cannot describe the prevalence of aggressive biology among sub-2 cm lesions and certainly not among the 406 who were watched. Follow-up was 25 months in a disease measured in decades, crossover was 2%, allocation was by the treating centre rather than randomised, and no outcome comparison between the two strategies was performed at all. The metastasis rate is printed in the paper as 0.08 per cent when 4 of 500 is 0.8 per cent - a tenfold typographical understatement of the key safety signal, uncorrected. A third of patients never had a fine-needle aspirate and grade was not evaluable in a quarter of those who did, so the surveillance arm has no histological characterisation and the extent of under-staging in it is unmeasurable. The study was funded by ENETS, whose guideline recommending surveillance is the hypothesis under test, and senior authors wrote that guideline. In PANDORA, six of the eight patients who met the protocol's own criterion for resection refused the operation and elected to continue watchful waiting, so the protocol was in effect not tested and the cohort's benign course reflects patient choice. Protocol adherence was poor: only 17 of 76 (22%) had the scheduled 3-month endoscopic ultrasound, 19 (25%) had only one imaging modality at diagnosis against a protocol requiring two, and 21 (28%) and 11 (15%) had no imaging at all at 6 and 12 months. Eligibility excluded patients with malignant tumour features - exactly the population whose risk determines whether waiting is safe. And one lesion resected for diagnostic uncertainty proved to be an intravascular pyogenic granuloma and not a neuroendocrine tumour at all, which means some surveilled lesions may not be either.</w:t>
      </w:r>
    </w:p>
    <w:p>
      <w:pPr>
        <w:spacing w:after="50" w:line="276"/>
        <w:ind w:left="240"/>
      </w:pPr>
      <w:r>
        <w:rPr>
          <w:i/>
          <w:iCs/>
          <w:color w:val="5A6069"/>
          <w:sz w:val="17"/>
          <w:szCs w:val="17"/>
        </w:rPr>
        <w:t xml:space="preserve">The nearest thing to a comparison of the two strategies is negative. The 2025 MEN1 best-practice exercise ran a systematic review of surgery against active surveillance for nonfunctioning pancreatic neuroendocrine tumours of 2 cm or less: across 37 of 3,048 screened publications - 27 retrospective series, 1 prospective cohort and 9 case series - covering 1,814 patients, combined metastatic disease and mortality rates did not differ between the two strategies, at low to very low GRADE certainty and with low precision. The panel notes that surgery in those series was indicated by growth on serial imaging, so the effect of surgery may be understated. That review is in MEN1, where the gland carries a field defect, lesions are multiple and patients are decades younger, so it does not transfer to sporadic disease - but it is the only systematic comparison in existence at this size, and it found nothing. The same panel then recommended a more cautious approach anyway, on expert judgement rather than on the evidence it had convened to produce, which is a defensible clinical position and should not be quoted as evidence-based.</w:t>
      </w:r>
    </w:p>
    <w:p>
      <w:pPr>
        <w:spacing w:after="60" w:line="276"/>
        <w:ind w:left="240"/>
      </w:pPr>
      <w:r>
        <w:rPr>
          <w:color w:val="5A6069"/>
          <w:sz w:val="16"/>
          <w:szCs w:val="16"/>
        </w:rPr>
        <w:t xml:space="preserve">Sources: Sadot 2016; PANDORA; ASPEN interim; MEN1 2025 guideline</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Set the surveillance programme in writing at the moment observation is chosen, using the post-resection schedule.</w:t>
      </w:r>
    </w:p>
    <w:p>
      <w:pPr>
        <w:spacing w:after="50" w:line="276"/>
        <w:ind w:left="240"/>
      </w:pPr>
      <w:r>
        <w:rPr>
          <w:color w:val="15181F"/>
          <w:sz w:val="18"/>
          <w:szCs w:val="18"/>
        </w:rPr>
        <w:t xml:space="preserve">NCCN states that its surveillance recommendations apply to cases where observation has been chosen: history and examination with multiphasic abdomen with or without pelvis CT or MRI at 12 weeks to 12 months, then every 6 to 12 months to a maximum of 10 years, then as clinically indicated, with chest CT as clinically indicated and earlier imaging if symptoms develop. Use the same modality and contrast agent each time so that growth is measurable rather than inferred - ENETS makes the same point explicitly, that imaging modality, contrast type, contrast timing and tracer should not be changed during follow-up.</w:t>
      </w:r>
    </w:p>
    <w:p>
      <w:pPr>
        <w:spacing w:after="50"/>
        <w:ind w:left="240"/>
      </w:pPr>
      <w:r>
        <w:rPr>
          <w:b/>
          <w:bCs/>
          <w:color w:val="8C2F26"/>
          <w:sz w:val="18"/>
          <w:szCs w:val="18"/>
        </w:rPr>
        <w:t xml:space="preserve">Caveat. </w:t>
      </w:r>
      <w:r>
        <w:rPr>
          <w:color w:val="15181F"/>
          <w:sz w:val="18"/>
          <w:szCs w:val="18"/>
        </w:rPr>
        <w:t xml:space="preserve">Receptor-based imaging and FDG-PET are not recommended for routine surveillance. Do not let the interval drift: the trigger for resection in every one of the three cohorts above was measurable growth, which only exists if the measurements are comparable.</w:t>
      </w:r>
    </w:p>
    <w:p>
      <w:pPr>
        <w:spacing w:after="50" w:line="276"/>
        <w:ind w:left="240"/>
      </w:pPr>
      <w:r>
        <w:rPr>
          <w:i/>
          <w:iCs/>
          <w:color w:val="5A6069"/>
          <w:sz w:val="17"/>
          <w:szCs w:val="17"/>
        </w:rPr>
        <w:t xml:space="preserve">Grade D, and the borrowed schedule is now known to disagree with its own source. The published follow-up recommendations for completely resected gastroenteropancreatic tumours - a 22-member RAND/UCLA panel scoring 193 scenarios against an evidence base of 6 eligible studies plus two then-unpublished cohorts - recommend for a resected pancreatic tumour consultation with triple-phase CT or MRI yearly for 3 years, then every 1 to 2 years to a total of 10 years, deliberately de-intensifying the first three years relative to NCCN, ENETS, ESMO and NANETS while extending surveillance past ten. They also recommend no follow-up at all for a grade 1, node-negative pancreatic tumour smaller than 2 cm. That exemption is expert opinion at a 75% agreement threshold, in a dataset whose cumulative recurrence was 33.5% at 5 years and 48.5% at 10 and whose median time to pancreatic recurrence was 7.2 years, and node-negative in a small tumour usually means few or no nodes were taken. It applies to resected patients and not to observed ones, and this page does not adopt it - but the group should know that the schedule it borrows is contradicted by the paper it is borrowed from. ENETS 2023 sets a third schedule again, imaging at 3 to 6 months after curative resection, then every 6 to 12 months for 5 years, every 12 to 24 months to 10 years and then every 5 years, at level 5 evidence graded B, with patients told to expect at least 20 years and possibly lifelong surveillance. See approval 13.</w:t>
      </w:r>
    </w:p>
    <w:p>
      <w:pPr>
        <w:spacing w:after="60" w:line="276"/>
        <w:ind w:left="240"/>
      </w:pPr>
      <w:r>
        <w:rPr>
          <w:color w:val="5A6069"/>
          <w:sz w:val="16"/>
          <w:szCs w:val="16"/>
        </w:rPr>
        <w:t xml:space="preserve">Sources: Singh 2018 follow-up; ENETS 2023 NF-PanNET</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Define in advance what counts as growth, record a rate rather than a size, and say plainly that no growth threshold in use has been derived.</w:t>
      </w:r>
    </w:p>
    <w:p>
      <w:pPr>
        <w:spacing w:after="50" w:line="276"/>
        <w:ind w:left="240"/>
      </w:pPr>
      <w:r>
        <w:rPr>
          <w:color w:val="15181F"/>
          <w:sz w:val="18"/>
          <w:szCs w:val="18"/>
        </w:rPr>
        <w:t xml:space="preserve">Two thresholds are in circulation and the board should pick one and write it down. PANDORA used growth of more than 0.5 cm per year as its protocol trigger, and 8 of 76 patients (11%) met it at a median of 17 months. The 2025 MEN1 recommendations use growth of under 1 mm per year as the point at which the imaging interval may be lengthened to every 1 to 2 years, at 92% panel agreement, with intervals individualised to the observed growth rate and the absolute size. In ASPEN, increasing size was the stated indication for surgery in only 4 of the 406 surveillance patients, against patient preference in 42 of 94 operated patients and centre preference in 37.</w:t>
      </w:r>
    </w:p>
    <w:p>
      <w:pPr>
        <w:spacing w:after="50"/>
        <w:ind w:left="240"/>
      </w:pPr>
      <w:r>
        <w:rPr>
          <w:b/>
          <w:bCs/>
          <w:color w:val="8C2F26"/>
          <w:sz w:val="18"/>
          <w:szCs w:val="18"/>
        </w:rPr>
        <w:t xml:space="preserve">Caveat. </w:t>
      </w:r>
      <w:r>
        <w:rPr>
          <w:color w:val="15181F"/>
          <w:sz w:val="18"/>
          <w:szCs w:val="18"/>
        </w:rPr>
        <w:t xml:space="preserve">Do not present either number as biological - neither has any cited derivation. One millimetre a year lies below the measurement reproducibility of serial cross-sectional imaging of a small pancreatic lesion across different scanners and readers, and will generate both false stability and false progression. Half a centimetre a year is no better founded: in PANDORA the 8 patients who met it had a mean size at last follow-up of still only 1.2 cm (SD 0.7), and only 2 of them ever crossed 2.0 cm, so the threshold was detecting measurement variation as much as growth. What makes either threshold usable at all is the same modality, the same contrast agent and the same measurement convention every time, which is the one part of this that is entirely within the programme's control.</w:t>
      </w:r>
    </w:p>
    <w:p>
      <w:pPr>
        <w:spacing w:after="50" w:line="276"/>
        <w:ind w:left="240"/>
      </w:pPr>
      <w:r>
        <w:rPr>
          <w:i/>
          <w:iCs/>
          <w:color w:val="5A6069"/>
          <w:sz w:val="17"/>
          <w:szCs w:val="17"/>
        </w:rPr>
        <w:t xml:space="preserve">Record the measurement in the body of the note, in millimetres, naming the phase and sequence it was made on. A growth rate that cannot be recomputed from the chart is not a growth rate. See approval 12.</w:t>
      </w:r>
    </w:p>
    <w:p>
      <w:pPr>
        <w:spacing w:after="60" w:line="276"/>
        <w:ind w:left="240"/>
      </w:pPr>
      <w:r>
        <w:rPr>
          <w:color w:val="5A6069"/>
          <w:sz w:val="16"/>
          <w:szCs w:val="16"/>
        </w:rPr>
        <w:t xml:space="preserve">Sources: PANDORA; ASPEN interim; MEN1 2025 guideline</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treat 2 cm as a biological boundary.</w:t>
      </w:r>
    </w:p>
    <w:p>
      <w:pPr>
        <w:spacing w:after="50" w:line="276"/>
        <w:ind w:left="240"/>
      </w:pPr>
      <w:r>
        <w:rPr>
          <w:color w:val="15181F"/>
          <w:sz w:val="18"/>
          <w:szCs w:val="18"/>
        </w:rPr>
        <w:t xml:space="preserve">Use it as the point at which the conversation changes, and decide with grade, growth rate, duct calibre, calcification, location, age and comorbidity.</w:t>
      </w:r>
    </w:p>
    <w:p>
      <w:pPr>
        <w:spacing w:after="50"/>
        <w:ind w:left="240"/>
      </w:pPr>
      <w:r>
        <w:rPr>
          <w:b/>
          <w:bCs/>
          <w:color w:val="8C2F26"/>
          <w:sz w:val="18"/>
          <w:szCs w:val="18"/>
        </w:rPr>
        <w:t xml:space="preserve">Caveat. </w:t>
      </w:r>
      <w:r>
        <w:rPr>
          <w:color w:val="15181F"/>
          <w:sz w:val="18"/>
          <w:szCs w:val="18"/>
        </w:rPr>
        <w:t xml:space="preserve">The number does not survive a receiver-operating-characteristic analysis: in 5,172 SEER patients with pancreatic neuroendocrine neoplasms, 1,760 of them 2 cm or less, the cutoff best associated with aggressive behaviour was 2.50 cm - area under the curve 0.769 (95% CI 0.755-0.782), sensitivity 81.3%, specificity 63.3% - and in that same dataset a size of 1-2 cm against 1 cm or less was not prognostic for overall survival (HR 0.92, 95% CI 0.65-1.31, p=0.652) while it did predict who was offered an operation (OR 1.60, 1.20-2.12, p=0.001). Below the line, metastatic potential is real rather than absent: 4 of 500 ASPEN patients (0.8%) had distant metastases at diagnosis. And in the National Cancer Data Base, among 1,854 non-functional tumours of 2 cm or less, 303 (29%) presented with regional nodal metastases and 180 (10%) with distant metastases, with nodal involvement failing to fall at the smallest sizes - 33% among the 94 tumours of 0.5 cm or less - while distant metastasis did rise with size (10.5% at 0.5 cm or less, 8.5% at 0.5-1.0 cm, 14.2% at 1-2 cm, p=0.02). Nodal risk may also not be uniform across populations: see the honest section and approval 3.</w:t>
      </w:r>
    </w:p>
    <w:p>
      <w:pPr>
        <w:spacing w:after="50" w:line="276"/>
        <w:ind w:left="240"/>
      </w:pPr>
      <w:r>
        <w:rPr>
          <w:i/>
          <w:iCs/>
          <w:color w:val="5A6069"/>
          <w:sz w:val="17"/>
          <w:szCs w:val="17"/>
        </w:rPr>
        <w:t xml:space="preserve">Do not read any of these in the other direction either. None of them shows that resecting a small tumour saves a life, and each carries a defect that points the same way. The 33% nodal figure for tumours of 5 mm or less rests on a band of 94 patients, in a variable missing in 45% of that cohort, with no confidence interval given; and the National Cancer Data Base by design records only tumours assigned a malignant behaviour code, which removes exactly the indolent small lesions a surveillance policy is about, so 29% and 10% are a ceiling for a selected malignant subset rather than estimates for an incidental lesion. The paper's own authors say the registry may overestimate the malignant potential of small tumours, and it carries no Ki-67, no mitotic rate and no disease-specific survival. The SEER cutoff of 2.50 cm was derived and reported in the same dataset with no validation, against a composite "aggressiveness" outcome assembled from poor differentiation, nodal involvement, liver involvement and advanced stage - variables mathematically entangled with size and with each other, so size was guaranteed to predict the composite - and a specificity of 63% would be unusable at the bedside. In that same analysis, surgery was associated with better overall survival both before and after propensity matching while cancer-specific survival was comparable after matching, which is the signature of confounding by comorbidity rather than a treatment effect: SEER cannot distinguish a patient enrolled in planned surveillance from one never offered an operation, and before matching that arm was older (65 or over in 52.8% against 36.1%) with seven times the rate of liver involvement (7.0% against 1.0%). There is no imaging follow-up, no growth rate and no crossover anywhere in it, so despite its title it has no purchase on surveillance as a strategy.</w:t>
      </w:r>
    </w:p>
    <w:p>
      <w:pPr>
        <w:spacing w:after="60" w:line="276"/>
        <w:ind w:left="240"/>
      </w:pPr>
      <w:r>
        <w:rPr>
          <w:color w:val="5A6069"/>
          <w:sz w:val="16"/>
          <w:szCs w:val="16"/>
        </w:rPr>
        <w:t xml:space="preserve">Sources: Yang 2022 SEER; ASPEN interim; Gratian 2014; Zheng-Pywell 2022</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let an observation decision be made without naming who owns the next scan and when it is due.</w:t>
      </w:r>
    </w:p>
    <w:p>
      <w:pPr>
        <w:spacing w:after="50" w:line="276"/>
        <w:ind w:left="240"/>
      </w:pPr>
      <w:r>
        <w:rPr>
          <w:color w:val="15181F"/>
          <w:sz w:val="18"/>
          <w:szCs w:val="18"/>
        </w:rPr>
        <w:t xml:space="preserve">One owner, one date, one named modality, recorded in the board output. A patient told "we will keep an eye on it" is not under surveillance.</w:t>
      </w:r>
    </w:p>
    <w:p>
      <w:pPr>
        <w:spacing w:after="50"/>
        <w:ind w:left="240"/>
      </w:pPr>
      <w:r>
        <w:rPr>
          <w:b/>
          <w:bCs/>
          <w:color w:val="8C2F26"/>
          <w:sz w:val="18"/>
          <w:szCs w:val="18"/>
        </w:rPr>
        <w:t xml:space="preserve">Caveat. </w:t>
      </w:r>
      <w:r>
        <w:rPr>
          <w:color w:val="15181F"/>
          <w:sz w:val="18"/>
          <w:szCs w:val="18"/>
        </w:rPr>
        <w:t xml:space="preserve">In ASPEN, patient preference was the stated reason for surgery in 42 of 94 cases (45%) and centre preference in 37 (39%) - 84% between them - duct dilatation in 11 (12%) and distant metastases in 4 (4%); a HADS anxiety score of 4-6 was independently associated with operating (OR 2.0, p=0.029) and enrolment at a surgical centre doubled the odds (OR 2.0, p=0.012). Unowned surveillance converts into an operation driven by accumulated anxiety and local culture rather than by tumour behaviour. The PANDORA quality-of-life finding is about the moment of entry rather than the experience of waiting: at baseline, patients scored worse than the reference population for emotional functioning (83.9 against 89.0, p=0.042), insomnia (22.9 against 14.0, p=0.046), dyspnoea (18.8 against 7.1, p=0.004) and nausea and vomiting (6.9 against 2.7, p=0.037), and its authors call the result too premature to interpret. Either way the psychological cost is measurable at the start of surveillance and should be addressed there rather than absorbed - three of PANDORA's six operations had no protocol indication at all, two of them for fear of progression and one because the surgeon did not support watchful waiting.</w:t>
      </w:r>
    </w:p>
    <w:p>
      <w:pPr>
        <w:spacing w:after="60" w:line="276"/>
        <w:ind w:left="240"/>
      </w:pPr>
      <w:r>
        <w:rPr>
          <w:color w:val="5A6069"/>
          <w:sz w:val="16"/>
          <w:szCs w:val="16"/>
        </w:rPr>
        <w:t xml:space="preserve">Sources: ASPEN interim; PANDORA</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5 · Which operation for a resectable tumour</w:t>
      </w:r>
    </w:p>
    <w:p>
      <w:pPr>
        <w:spacing w:after="140"/>
      </w:pPr>
      <w:r>
        <w:rPr>
          <w:b/>
          <w:bCs/>
          <w:color w:val="176A87"/>
          <w:sz w:val="19"/>
          <w:szCs w:val="19"/>
        </w:rPr>
        <w:t xml:space="preserve">The question. </w:t>
      </w:r>
      <w:r>
        <w:rPr>
          <w:sz w:val="19"/>
          <w:szCs w:val="19"/>
        </w:rPr>
        <w:t xml:space="preserve">Does this tumour need a formal oncologic resection, or can I take it out and leave the patient their pancreas?</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Nonfunctional tumour larger than 2 cm, or invasive, or node-positive on imaging</w:t>
      </w:r>
    </w:p>
    <w:p>
      <w:pPr>
        <w:pStyle w:val="ListParagraph"/>
        <w:numPr>
          <w:ilvl w:val="0"/>
          <w:numId w:val="2"/>
        </w:numPr>
        <w:spacing w:after="60" w:line="268"/>
      </w:pPr>
      <w:r>
        <w:rPr>
          <w:color w:val="15181F"/>
          <w:sz w:val="18"/>
          <w:szCs w:val="18"/>
        </w:rPr>
        <w:t xml:space="preserve">Malignant-appearing tumour of any size</w:t>
      </w:r>
    </w:p>
    <w:p>
      <w:pPr>
        <w:pStyle w:val="ListParagraph"/>
        <w:numPr>
          <w:ilvl w:val="0"/>
          <w:numId w:val="2"/>
        </w:numPr>
        <w:spacing w:after="60" w:line="268"/>
      </w:pPr>
      <w:r>
        <w:rPr>
          <w:color w:val="15181F"/>
          <w:sz w:val="18"/>
          <w:szCs w:val="18"/>
        </w:rPr>
        <w:t xml:space="preserve">A functional tumour that has been localised</w:t>
      </w:r>
    </w:p>
    <w:p>
      <w:pPr>
        <w:pStyle w:val="ListParagraph"/>
        <w:numPr>
          <w:ilvl w:val="0"/>
          <w:numId w:val="2"/>
        </w:numPr>
        <w:spacing w:after="60" w:line="268"/>
      </w:pPr>
      <w:r>
        <w:rPr>
          <w:color w:val="15181F"/>
          <w:sz w:val="18"/>
          <w:szCs w:val="18"/>
        </w:rPr>
        <w:t xml:space="preserve">A 1–2 cm tumour where the board has decided to resect</w:t>
      </w:r>
    </w:p>
    <w:p>
      <w:pPr>
        <w:pStyle w:val="ListParagraph"/>
        <w:numPr>
          <w:ilvl w:val="0"/>
          <w:numId w:val="2"/>
        </w:numPr>
        <w:spacing w:after="60" w:line="268"/>
      </w:pPr>
      <w:r>
        <w:rPr>
          <w:color w:val="15181F"/>
          <w:sz w:val="18"/>
          <w:szCs w:val="18"/>
        </w:rPr>
        <w:t xml:space="preserve">Patient fit for the operation that the tumour's position actually requires</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Standard oncologic surgery — distal pancreatectomy with or without splenectomy, or pancreatoduodenectomy — is the operation for most resectable non-metastatic tumours.</w:t>
      </w:r>
    </w:p>
    <w:p>
      <w:pPr>
        <w:spacing w:after="50" w:line="276"/>
        <w:ind w:left="240"/>
      </w:pPr>
      <w:r>
        <w:rPr>
          <w:color w:val="15181F"/>
          <w:sz w:val="18"/>
          <w:szCs w:val="18"/>
        </w:rPr>
        <w:t xml:space="preserve">Tumours larger than 2 cm, malignant-appearing tumours, and functional tumours other than insulinoma. For a tumour larger than 2 cm or malignant-appearing, NCCN requires total removal with negative margins including adjacent organs where involved, together with regional nodes: pancreatoduodenectomy for the head, distal pancreatectomy with or without splenectomy or a spleen-preserving distal pancreatectomy for body and tail.</w:t>
      </w:r>
    </w:p>
    <w:p>
      <w:pPr>
        <w:spacing w:after="50"/>
        <w:ind w:left="240"/>
      </w:pPr>
      <w:r>
        <w:rPr>
          <w:b/>
          <w:bCs/>
          <w:color w:val="8C2F26"/>
          <w:sz w:val="18"/>
          <w:szCs w:val="18"/>
        </w:rPr>
        <w:t xml:space="preserve">Caveat. </w:t>
      </w:r>
      <w:r>
        <w:rPr>
          <w:color w:val="15181F"/>
          <w:sz w:val="18"/>
          <w:szCs w:val="18"/>
        </w:rPr>
        <w:t xml:space="preserve">Do not choose the operation from the size alone — position relative to the main pancreatic duct and the nodal question decide it. Splenectomy is generally included, but spleen preservation should be considered for a benign insulinoma; vaccinate at least 14 days before where splenectomy is possible.</w:t>
      </w:r>
    </w:p>
    <w:p>
      <w:pPr>
        <w:spacing w:after="50" w:line="276"/>
        <w:ind w:left="240"/>
      </w:pPr>
      <w:r>
        <w:rPr>
          <w:i/>
          <w:iCs/>
          <w:color w:val="5A6069"/>
          <w:sz w:val="17"/>
          <w:szCs w:val="17"/>
        </w:rPr>
        <w:t xml:space="preserve">Outcome context from the largest resected series, 3,851 patients in the National Cancer Data Base, 1985-2004: 5-year overall survival 59.3% and 10-year 37.7%, relative survival 65.7% and 47.8%, median follow-up 51 months. The independent predictors were age (55-75 HR 1.57, 95% CI 1.28-1.91; over 75 HR 3.04, 2.17-4.25), a nonfunctional tumour (HR 1.45, 1.06-1.97), high-grade histology (HR 2.03, 1.41-2.92), liver metastases (HR 1.71, 1.36-2.14) and other distant metastases (HR 3.78, 1.51-9.43), with pancreatoduodenectomy against distal pancreatectomy also adverse (HR 1.63, 1.03-2.57, p=0.04). Tumour size was not an independent predictor in any parameterisation, nor were nodal status (HR 1.18, 0.96-1.45, p=0.12), margins (gross positive HR 1.72, 0.95-3.12, p=0.08), chemotherapy, radiotherapy or hospital volume. Read the size result carefully before importing it into the observation decision: only 19% of that cohort's tumours were 2 cm or less, 171 tumours a pathologist had coded benign were excluded by design, grade was missing in 43.5% and size in about 22% with no sensitivity analysis, and the resulting prognostic score was derived and tested in the same 836 complete-case patients with a concordance index of 0.63 (0.59-0.67) - barely above the 0.5 of chance. The paper cannot be used to argue that size is irrelevant to whether to resect a 1 cm incidental lesion. The adverse coefficient for pancreatoduodenectomy is far more plausibly perioperative mortality and tumour location than an effect of the operation, which the authors concede while retaining it. [EXPERTISE]</w:t>
      </w:r>
    </w:p>
    <w:p>
      <w:pPr>
        <w:spacing w:after="60" w:line="276"/>
        <w:ind w:left="240"/>
      </w:pPr>
      <w:r>
        <w:rPr>
          <w:color w:val="5A6069"/>
          <w:sz w:val="16"/>
          <w:szCs w:val="16"/>
        </w:rPr>
        <w:t xml:space="preserve">Sources: NANETS 2020 surgical; Bilimoria 2008</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Aim for a negative margin, but do not extend the resection to get a wider one.</w:t>
      </w:r>
    </w:p>
    <w:p>
      <w:pPr>
        <w:spacing w:after="50" w:line="276"/>
        <w:ind w:left="240"/>
      </w:pPr>
      <w:r>
        <w:rPr>
          <w:color w:val="15181F"/>
          <w:sz w:val="18"/>
          <w:szCs w:val="18"/>
        </w:rPr>
        <w:t xml:space="preserve">NANETS' position is that resection with negative margins should be the goal but that no data support more aggressive resection to obtain wider surgical margins in this disease, which is what makes enucleation legitimate in selected patients. In the 3,851-patient National Cancer Data Base series, margin status was not an independent predictor of survival on multivariable analysis - a grossly positive margin carried HR 1.72 (95% CI 0.95-3.12, p=0.08) - although univariately well or moderately differentiated tumours did far better than poorly differentiated ones (5-year survival 63.9% against 28.3%, p&lt;0.0001).</w:t>
      </w:r>
    </w:p>
    <w:p>
      <w:pPr>
        <w:spacing w:after="50"/>
        <w:ind w:left="240"/>
      </w:pPr>
      <w:r>
        <w:rPr>
          <w:b/>
          <w:bCs/>
          <w:color w:val="8C2F26"/>
          <w:sz w:val="18"/>
          <w:szCs w:val="18"/>
        </w:rPr>
        <w:t xml:space="preserve">Caveat. </w:t>
      </w:r>
      <w:r>
        <w:rPr>
          <w:color w:val="15181F"/>
          <w:sz w:val="18"/>
          <w:szCs w:val="18"/>
        </w:rPr>
        <w:t xml:space="preserve">Do not use a 1 mm margin as a reason for a bigger operation. NANETS reports an 8-centre review of 1,020 resected patients in which R1 (margin 1 mm or less) occurred in 15% and 10-year recurrence-free survival fell to 47% from 63% (HR 1.8, p=0.02) while 10-year overall survival was unchanged at 71.1% against 71.8% (p=0.392), with grade, perineural invasion and vascular invasion significant for overall survival on multivariable analysis and margin status not. That series is not in this page's full-text depot and the figures are quoted as NANETS states them; the three-centre cohort that is in the depot reports R1 in 32 of 211 (15%), significant univariately and dropping out on backward selection.</w:t>
      </w:r>
    </w:p>
    <w:p>
      <w:pPr>
        <w:spacing w:after="50" w:line="276"/>
        <w:ind w:left="240"/>
      </w:pPr>
      <w:r>
        <w:rPr>
          <w:i/>
          <w:iCs/>
          <w:color w:val="5A6069"/>
          <w:sz w:val="17"/>
          <w:szCs w:val="17"/>
        </w:rPr>
        <w:t xml:space="preserve">What does predict recurrence is biology. In 211 curatively resected G1 and G2 non-functional tumours at three high-volume European centres, followed a median of 51 months, 35 (17%) recurred at a median of 43 months (IQR 23-62), 91% of them within 5 years and 69% in the pancreatic remnant; 5- and 10-year disease-specific survival were 98% and 84% and overall survival 91% and 68%. The independent predictors of recurrence within 5 years were grade 2 (HR 4.07, 95% CI 1.87-8.84, p&lt;0.001), positive lymph nodes (HR 2.44, 1.17-5.09, p=0.017) and perineural invasion (HR 2.38, 1.11-5.10, p=0.026); tumour size, R1 and vascular invasion were significant univariately and dropped out on backward selection. Of 107 patients with none of the three factors, 2 recurred. Operative harm in that cohort was substantial too: major complications in 58 of 211 (27%) and grade B or C pancreatic fistula in 46 (22%). All three score components are postoperative findings, so the instrument says nothing about whether to operate - see gate 9 for what it can and cannot do.</w:t>
      </w:r>
    </w:p>
    <w:p>
      <w:pPr>
        <w:spacing w:after="60" w:line="276"/>
        <w:ind w:left="240"/>
      </w:pPr>
      <w:r>
        <w:rPr>
          <w:color w:val="5A6069"/>
          <w:sz w:val="16"/>
          <w:szCs w:val="16"/>
        </w:rPr>
        <w:t xml:space="preserve">Sources: Bilimoria 2008; Genc recurrence score; NANETS 2020 surgical</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Enucleation and central pancreatectomy are legitimate for a small, superficial tumour clear of the main duct - at a centre doing enough of them, and with the nodal question settled before the incision.</w:t>
      </w:r>
    </w:p>
    <w:p>
      <w:pPr>
        <w:spacing w:after="50" w:line="276"/>
        <w:ind w:left="240"/>
      </w:pPr>
      <w:r>
        <w:rPr>
          <w:color w:val="15181F"/>
          <w:sz w:val="18"/>
          <w:szCs w:val="18"/>
        </w:rPr>
        <w:t xml:space="preserve">A tumour clear of the main pancreatic duct by more than 2 to 3 mm in a patient for whom preserving parenchyma matters. In a random-effects meta-analysis of 22 observational comparative studies (1,148 patients: 432 enucleations against 716 standard resections, 388 of them distal pancreatectomies and 328 pancreatoduodenectomies), enucleation gave less endocrine insufficiency (risk difference -0.08, 95% CI -0.12 to -0.04, p&lt;0.001, I-squared 0%) and less exocrine insufficiency (-0.17, -0.31 to -0.04, p=0.01, I-squared 86%), 298 mL less blood loss (p&lt;0.001), 78.4 minutes less operating time (p&lt;0.001) and a stay shorter by 1.31 days (-2.55 to -0.06, p=0.04), with no difference in mortality (OR 1.49, 0.54-4.15), overall complications (OR 1.08, 0.68-1.73) or reoperation (OR 0.97, 0.46-2.04). ENETS adds the context: curative resection of a nonfunctioning tumour carries 5-year survival of 70-80%, and pancreatic resection carries morbidity up to 50% and mortality up to 3% even in high-volume centres.</w:t>
      </w:r>
    </w:p>
    <w:p>
      <w:pPr>
        <w:spacing w:after="50"/>
        <w:ind w:left="240"/>
      </w:pPr>
      <w:r>
        <w:rPr>
          <w:b/>
          <w:bCs/>
          <w:color w:val="8C2F26"/>
          <w:sz w:val="18"/>
          <w:szCs w:val="18"/>
        </w:rPr>
        <w:t xml:space="preserve">Caveat. </w:t>
      </w:r>
      <w:r>
        <w:rPr>
          <w:color w:val="15181F"/>
          <w:sz w:val="18"/>
          <w:szCs w:val="18"/>
        </w:rPr>
        <w:t xml:space="preserve">It costs fistula. Pancreatic fistula occurred in 25.5% after enucleation against 19.7% after standard resection, OR 2.09 (1.41-3.11), p&lt;0.001, holding in the subset using the ISGPF definition (OR 2.15, 1.30-3.57) and for clinically relevant grade B or C disease (OR 1.93, 1.14-3.27, p=0.01, I-squared 0%). The excess lost significance only in the four studies performing more than 20 enucleations in total and at least 4 a year (OR 1.72, 0.87-3.38, p=0.12), which makes this a volume-conditional operation - see approval 5. And do not choose it to avoid a lymphadenectomy the tumour warrants: the review states plainly that it cannot address whether enucleation without lymphadenectomy is oncologically adequate, which is the question a surveillance pathway actually needs answered.</w:t>
      </w:r>
    </w:p>
    <w:p>
      <w:pPr>
        <w:spacing w:after="50" w:line="276"/>
        <w:ind w:left="240"/>
      </w:pPr>
      <w:r>
        <w:rPr>
          <w:i/>
          <w:iCs/>
          <w:color w:val="5A6069"/>
          <w:sz w:val="17"/>
          <w:szCs w:val="17"/>
        </w:rPr>
        <w:t xml:space="preserve">Grade C. No randomised trial exists; all 22 studies were observational, mean methodological quality was 13 of a possible 27 on a modified Downs and Black checklist, only one of the 22 reported information on principal confounders, and only 4 performed more than 20 enucleations. The operations were chosen for anatomically different lesions and the review concedes it cannot tell whether the standard-resection patients were ever enucleation candidates, so part of every difference is lesion size and position rather than the operation. Indications pooled insulinoma, non-functioning tumours, serous and mucinous cystadenoma, IPMN and chronic pancreatitis, so no result is specific to a neuroendocrine tumour; the hospital-stay result is acknowledged to be driven by between-country practice; and the volume threshold was defined by the review's own authors and inserted into the quality checklist, so the least pre-specified analysis is the one carried into the conclusion. [EXPERTISE]</w:t>
      </w:r>
    </w:p>
    <w:p>
      <w:pPr>
        <w:spacing w:after="60" w:line="276"/>
        <w:ind w:left="240"/>
      </w:pPr>
      <w:r>
        <w:rPr>
          <w:color w:val="5A6069"/>
          <w:sz w:val="16"/>
          <w:szCs w:val="16"/>
        </w:rPr>
        <w:t xml:space="preserve">Sources: Hüttner 2015; NANETS 2020 surgical; ENETS 2023 NF-PanNET</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Minimally invasive and robotic approaches are reasonable for distal pancreatectomy and in experienced hands for central pancreatectomy.</w:t>
      </w:r>
    </w:p>
    <w:p>
      <w:pPr>
        <w:spacing w:after="50" w:line="276"/>
        <w:ind w:left="240"/>
      </w:pPr>
      <w:r>
        <w:rPr>
          <w:color w:val="15181F"/>
          <w:sz w:val="18"/>
          <w:szCs w:val="18"/>
        </w:rPr>
        <w:t xml:space="preserve">NCCN suggests considering minimally invasive resection for a distal insulinoma. For central pancreatectomy, a laparoscopic-versus-open comparison reported shorter stay, less blood loss, earlier return to diet and better long-term quality of life, and a randomised trial of robot-assisted versus open central pancreatectomy reported shorter stay, reduced operative time, less blood loss, a lower clinical fistula rate and faster recovery.</w:t>
      </w:r>
    </w:p>
    <w:p>
      <w:pPr>
        <w:spacing w:after="50"/>
        <w:ind w:left="240"/>
      </w:pPr>
      <w:r>
        <w:rPr>
          <w:b/>
          <w:bCs/>
          <w:color w:val="8C2F26"/>
          <w:sz w:val="18"/>
          <w:szCs w:val="18"/>
        </w:rPr>
        <w:t xml:space="preserve">Caveat. </w:t>
      </w:r>
      <w:r>
        <w:rPr>
          <w:color w:val="15181F"/>
          <w:sz w:val="18"/>
          <w:szCs w:val="18"/>
        </w:rPr>
        <w:t xml:space="preserve">Do not let the approach dictate the oncologic operation. A spleen-preserving laparoscopic distal pancreatectomy that cannot deliver the nodal count the tumour warrants is the wrong operation done elegantly. Neither of the central-pancreatectomy comparisons above is in this page's full-text depot; both are quoted as NANETS reports them, neither was powered for an oncologic endpoint, and ENETS notes separately that robust data on minimally invasive pancreatoduodenectomy in this disease are lacking. [EXPERTISE]</w:t>
      </w:r>
    </w:p>
    <w:p>
      <w:pPr>
        <w:spacing w:after="60" w:line="276"/>
        <w:ind w:left="240"/>
      </w:pPr>
      <w:r>
        <w:rPr>
          <w:color w:val="5A6069"/>
          <w:sz w:val="16"/>
          <w:szCs w:val="16"/>
        </w:rPr>
        <w:t xml:space="preserve">Sources: NANETS 2020 surgical</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use neoadjuvant therapy outside a trial or a specific downstaging intention.</w:t>
      </w:r>
    </w:p>
    <w:p>
      <w:pPr>
        <w:spacing w:after="50" w:line="276"/>
        <w:ind w:left="240"/>
      </w:pPr>
      <w:r>
        <w:rPr>
          <w:color w:val="15181F"/>
          <w:sz w:val="18"/>
          <w:szCs w:val="18"/>
        </w:rPr>
        <w:t xml:space="preserve">NANETS states that the efficacy of neoadjuvant therapy for resectable or borderline-resectable disease remains unclear and that randomised trials are needed, while allowing it as an option for downstaging selected patients with advanced or metastatic disease, especially before cytoreductive surgery — which is the NELM pathway's territory.</w:t>
      </w:r>
    </w:p>
    <w:p>
      <w:pPr>
        <w:spacing w:after="50"/>
        <w:ind w:left="240"/>
      </w:pPr>
      <w:r>
        <w:rPr>
          <w:b/>
          <w:bCs/>
          <w:color w:val="8C2F26"/>
          <w:sz w:val="18"/>
          <w:szCs w:val="18"/>
        </w:rPr>
        <w:t xml:space="preserve">Caveat. </w:t>
      </w:r>
      <w:r>
        <w:rPr>
          <w:color w:val="15181F"/>
          <w:sz w:val="18"/>
          <w:szCs w:val="18"/>
        </w:rPr>
        <w:t xml:space="preserve">The supporting data are a retrospective MD Anderson series in which 29 of 356 patients with localised disease received 5-fluorouracil, doxorubicin and streptozocin, 48% went on to pancreatectomy and median overall survival was 112 months in the resected against 41 months in the unresected - a comparison of patients selected by their response. A propensity-matched NCDB study of 301 patients receiving perioperative systemic therapy against 301 having surgery alone found no difference for neoadjuvant therapy (P=0.21) and worse survival in the adjuvant group (P=0.037), with the agents not recorded. Neither series is in this page's full-text depot; both are quoted as NANETS and NCCN report them.</w:t>
      </w:r>
    </w:p>
    <w:p>
      <w:pPr>
        <w:spacing w:after="60" w:line="276"/>
        <w:ind w:left="240"/>
      </w:pPr>
      <w:r>
        <w:rPr>
          <w:color w:val="5A6069"/>
          <w:sz w:val="16"/>
          <w:szCs w:val="16"/>
        </w:rPr>
        <w:t xml:space="preserve">Sources: NANETS 2020 surgical</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book a pancreatoduodenectomy for a tumour you have not finished staging.</w:t>
      </w:r>
    </w:p>
    <w:p>
      <w:pPr>
        <w:spacing w:after="50" w:line="276"/>
        <w:ind w:left="240"/>
      </w:pPr>
      <w:r>
        <w:rPr>
          <w:color w:val="15181F"/>
          <w:sz w:val="18"/>
          <w:szCs w:val="18"/>
        </w:rPr>
        <w:t xml:space="preserve">Liver and nodal status, duct calibre and receptor status before the operating list, not after. A receptor PET that finds an occult liver deposit converts this into the NELM pathway and changes which operation — if any — is right.</w:t>
      </w:r>
    </w:p>
    <w:p>
      <w:pPr>
        <w:spacing w:after="50"/>
        <w:ind w:left="240"/>
      </w:pPr>
      <w:r>
        <w:rPr>
          <w:b/>
          <w:bCs/>
          <w:color w:val="8C2F26"/>
          <w:sz w:val="18"/>
          <w:szCs w:val="18"/>
        </w:rPr>
        <w:t xml:space="preserve">Caveat. </w:t>
      </w:r>
      <w:r>
        <w:rPr>
          <w:color w:val="15181F"/>
          <w:sz w:val="18"/>
          <w:szCs w:val="18"/>
        </w:rPr>
        <w:t xml:space="preserve">NCCN's warning is explicit: a Whipple in metastatic disease is usually not curative and compromises later liver-directed therapy, and liver-directed therapy after a Whipple carries increased risk of cholangitis and liver abscess. That is an irreversible cost imposed on a patient whose disease is going to be managed hepatically for years.</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6 · Lymphadenectomy — how many nodes, and when</w:t>
      </w:r>
    </w:p>
    <w:p>
      <w:pPr>
        <w:spacing w:after="140"/>
      </w:pPr>
      <w:r>
        <w:rPr>
          <w:b/>
          <w:bCs/>
          <w:color w:val="176A87"/>
          <w:sz w:val="19"/>
          <w:szCs w:val="19"/>
        </w:rPr>
        <w:t xml:space="preserve">The question. </w:t>
      </w:r>
      <w:r>
        <w:rPr>
          <w:sz w:val="19"/>
          <w:szCs w:val="19"/>
        </w:rPr>
        <w:t xml:space="preserve">Am I taking nodes to stage this patient, to treat them, or because the operation happened to include them?</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A formal pancreatoduodenectomy or distal pancreatectomy is planned</w:t>
      </w:r>
    </w:p>
    <w:p>
      <w:pPr>
        <w:pStyle w:val="ListParagraph"/>
        <w:numPr>
          <w:ilvl w:val="0"/>
          <w:numId w:val="2"/>
        </w:numPr>
        <w:spacing w:after="60" w:line="268"/>
      </w:pPr>
      <w:r>
        <w:rPr>
          <w:color w:val="15181F"/>
          <w:sz w:val="18"/>
          <w:szCs w:val="18"/>
        </w:rPr>
        <w:t xml:space="preserve">Tumour larger than 1.5 cm, or in the head of the pancreas</w:t>
      </w:r>
    </w:p>
    <w:p>
      <w:pPr>
        <w:pStyle w:val="ListParagraph"/>
        <w:numPr>
          <w:ilvl w:val="0"/>
          <w:numId w:val="2"/>
        </w:numPr>
        <w:spacing w:after="60" w:line="268"/>
      </w:pPr>
      <w:r>
        <w:rPr>
          <w:color w:val="15181F"/>
          <w:sz w:val="18"/>
          <w:szCs w:val="18"/>
        </w:rPr>
        <w:t xml:space="preserve">Ki-67 above 20%, or lymphovascular invasion on biopsy</w:t>
      </w:r>
    </w:p>
    <w:p>
      <w:pPr>
        <w:pStyle w:val="ListParagraph"/>
        <w:numPr>
          <w:ilvl w:val="0"/>
          <w:numId w:val="2"/>
        </w:numPr>
        <w:spacing w:after="60" w:line="268"/>
      </w:pPr>
      <w:r>
        <w:rPr>
          <w:color w:val="15181F"/>
          <w:sz w:val="18"/>
          <w:szCs w:val="18"/>
        </w:rPr>
        <w:t xml:space="preserve">Suspicious nodes on preoperative imaging or at exploration</w:t>
      </w:r>
    </w:p>
    <w:p>
      <w:pPr>
        <w:pStyle w:val="ListParagraph"/>
        <w:numPr>
          <w:ilvl w:val="0"/>
          <w:numId w:val="2"/>
        </w:numPr>
        <w:spacing w:after="60" w:line="268"/>
      </w:pPr>
      <w:r>
        <w:rPr>
          <w:color w:val="15181F"/>
          <w:sz w:val="18"/>
          <w:szCs w:val="18"/>
        </w:rPr>
        <w:t xml:space="preserve">A parenchyma-sparing operation is planned for a tumour of 2 cm or less</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Where a formal pancreatoduodenectomy or distal pancreatectomy is being done, retrieve 11 to 15 nodes for accurate nodal staging.</w:t>
      </w:r>
    </w:p>
    <w:p>
      <w:pPr>
        <w:spacing w:after="50" w:line="276"/>
        <w:ind w:left="240"/>
      </w:pPr>
      <w:r>
        <w:rPr>
          <w:color w:val="15181F"/>
          <w:sz w:val="18"/>
          <w:szCs w:val="18"/>
        </w:rPr>
        <w:t xml:space="preserve">Every oncologic resection. The count is derived rather than tested, and it is not derived in this disease. NANETS reports that compared with 1-5 and 6-10 nodes, examining 11-15 raised the likelihood of finding a nodal metastasis 2.3-fold and 1.5-fold respectively, while 16-20 or more than 20 added nothing; the primary study behind that figure is not in this page's full-text depot, and NANETS itself states that unlike gastric and colon cancer there is no universally accepted minimum node number for prognostication here. With a standard pancreatoduodenectomy or a distal pancreatectomy with splenectomy the count is usually not difficult to achieve. ENETS 2023 draws the line differently again: routine lymphadenectomy for tumours over 3 cm and case-by-case for 2-3 cm, on the ground that no preoperative test accurately predicts nodal involvement.</w:t>
      </w:r>
    </w:p>
    <w:p>
      <w:pPr>
        <w:spacing w:after="50"/>
        <w:ind w:left="240"/>
      </w:pPr>
      <w:r>
        <w:rPr>
          <w:b/>
          <w:bCs/>
          <w:color w:val="8C2F26"/>
          <w:sz w:val="18"/>
          <w:szCs w:val="18"/>
        </w:rPr>
        <w:t xml:space="preserve">Caveat. </w:t>
      </w:r>
      <w:r>
        <w:rPr>
          <w:color w:val="15181F"/>
          <w:sz w:val="18"/>
          <w:szCs w:val="18"/>
        </w:rPr>
        <w:t xml:space="preserve">Do not present the node count as a therapeutic intervention. In the National Cancer Data Base series of 1,854 non-functional tumours of 2 cm or less, 999 of which were resected, 72.8% had a lymphadenectomy with a median of 8 nodes examined and 27% had no node examined at all; after adjustment there was no 2-year or 5-year survival difference between patients who did and did not have one, and no difference by type of resection (p=0.16). NANETS additionally reports a SEER analysis of 981 patients finding no survival advantage from sampling 10 or more nodes, a study not in this page's depot. The count is a staging instrument.</w:t>
      </w:r>
    </w:p>
    <w:p>
      <w:pPr>
        <w:spacing w:after="50" w:line="276"/>
        <w:ind w:left="240"/>
      </w:pPr>
      <w:r>
        <w:rPr>
          <w:i/>
          <w:iCs/>
          <w:color w:val="5A6069"/>
          <w:sz w:val="17"/>
          <w:szCs w:val="17"/>
        </w:rPr>
        <w:t xml:space="preserve">Nodal status does carry prognostic weight, and the reading of it has to be exact. In 136 operated patients with locoregional disease at one unit, 133 of whom had nodes resected, 50 (37.6%) were node positive with a mean of 13.7 plus or minus 11.5 nodes retrieved, and median disease-free survival was 4.5 against 14.6 years (log-rank p&lt;0.0001), with 5- and 10-year disease-free survival 48.2% and 32.1% against 86.8% and 70.8%. Overall survival did not reach significance: 77.1% and 55.4% against 91.3% and 74.6%, log-rank 0.1. The frequency of nodal metastasis rose with tumour size above 1.5 cm (OR 4.7, 95% CI 1.81-12.35, p=0.002), head location against body and tail (OR 2.8, 1.3-5.8, p=0.007), Ki-67 above 20% (OR 6.7, 1.6-27.3, p=0.008) and lymphovascular invasion (OR 3.6, 1.5-8.6, p=0.004) - but on multivariable analysis no variable independently predicted nodal metastasis at all, those odds ratios were fitted on incomplete and varying subsets (lymphovascular invasion known in 97 of 136, Ki-67 in 121, grade in 112), and median nodes examined were 15 for head against 8 for body and tail (p=0.0002), so part of the location effect is a detection effect. Grade D for the 11-to-15 target: a borrowed number supported by a study this page has not read, in a cohort where no preoperative variable independently predicted the thing the count is for.</w:t>
      </w:r>
    </w:p>
    <w:p>
      <w:pPr>
        <w:spacing w:after="60" w:line="276"/>
        <w:ind w:left="240"/>
      </w:pPr>
      <w:r>
        <w:rPr>
          <w:color w:val="5A6069"/>
          <w:sz w:val="16"/>
          <w:szCs w:val="16"/>
        </w:rPr>
        <w:t xml:space="preserve">Sources: NANETS 2020 surgical; Hashim 2014; Gratian 2014; ENETS 2023 NF-PanNET</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Where a parenchyma-sparing operation is planned for a tumour of 2 cm or less, remove any node that looks suspicious on imaging and consider sampling even when imaging is negative.</w:t>
      </w:r>
    </w:p>
    <w:p>
      <w:pPr>
        <w:spacing w:after="50" w:line="276"/>
        <w:ind w:left="240"/>
      </w:pPr>
      <w:r>
        <w:rPr>
          <w:color w:val="15181F"/>
          <w:sz w:val="18"/>
          <w:szCs w:val="18"/>
        </w:rPr>
        <w:t xml:space="preserve">That is NANETS' recommendation verbatim, and the reason is that preoperative variables cannot exclude nodal disease. In the 136-patient series, multivariable analysis identified no independent predictor of nodal metastasis, and on the probability plot even the smallest pancreatic head tumours carried a nodal risk whose lower 95% bound sat just under 20%, with the smallest body and tail tumours estimated near 20% and a lower bound of 8.8%. Nodal metastasis was present in 2 of 17 tumours of 1 cm or less (12%) and 5 of 38 of 1.5 cm or less (13%). NANETS reports nodal metastasis in 12.9% to 27.3% of tumours of 2 cm or less, regardless of location.</w:t>
      </w:r>
    </w:p>
    <w:p>
      <w:pPr>
        <w:spacing w:after="50"/>
        <w:ind w:left="240"/>
      </w:pPr>
      <w:r>
        <w:rPr>
          <w:b/>
          <w:bCs/>
          <w:color w:val="8C2F26"/>
          <w:sz w:val="18"/>
          <w:szCs w:val="18"/>
        </w:rPr>
        <w:t xml:space="preserve">Caveat. </w:t>
      </w:r>
      <w:r>
        <w:rPr>
          <w:color w:val="15181F"/>
          <w:sz w:val="18"/>
          <w:szCs w:val="18"/>
        </w:rPr>
        <w:t xml:space="preserve">Do not treat a spleen-preserving or central resection as nodally adequate by default. For body and tail lesions that means attention to the hepatic artery, celiac axis and splenic artery nodes; for head lesions, the posterior pancreatic and portocaval nodes. Whether removing them changes survival has not been established. And read the low-risk estimates for what they are: 2 of 17 patients carries a confidence interval running from roughly 2% to 36%, which can neither support nor refute any size threshold, and every patient in that cohort was operated at a unit that states its own institutional bias toward complete oncological resection - so the favourable small lesions that would populate a low-risk tail are structurally absent from the dataset, which the authors acknowledge before drawing a management conclusion from it anyway.</w:t>
      </w:r>
    </w:p>
    <w:p>
      <w:pPr>
        <w:spacing w:after="50" w:line="276"/>
        <w:ind w:left="240"/>
      </w:pPr>
      <w:r>
        <w:rPr>
          <w:i/>
          <w:iCs/>
          <w:color w:val="5A6069"/>
          <w:sz w:val="17"/>
          <w:szCs w:val="17"/>
        </w:rPr>
        <w:t xml:space="preserve">Nodal risk may not be uniform across populations. In a multi-institutional resected cohort from the US Neuroendocrine Tumor Study Group and a National Cancer Database validation cohort, nodal metastasis in tumours under 2 cm was 7 of 30 (23%) in Black patients against 8 of 151 (5%) in white patients, and 54 of 258 (21%) against 188 of 1,596 (12%), both p&lt;0.01, with no racial difference in any larger size band; tumour size as a continuous variable predicted nodal metastasis in white patients only. The finding below 1 cm did not replicate - 2 of 8 (25%) against 0 of 33 (0%), p&lt;0.01, in the first dataset but 7 of 67 (10%) against 31 of 354 (9%), p=0.66, in the validation. Every patient in both cohorts was resected with nodes removed, the two datasets overlap institutionally because the study group's own institutions report to the national database, grade was excluded from one and unavailable in the other, and no measure of insurance, income, referral delay or access to imaging was available. See the honest section and approval 3.</w:t>
      </w:r>
    </w:p>
    <w:p>
      <w:pPr>
        <w:spacing w:after="60" w:line="276"/>
        <w:ind w:left="240"/>
      </w:pPr>
      <w:r>
        <w:rPr>
          <w:color w:val="5A6069"/>
          <w:sz w:val="16"/>
          <w:szCs w:val="16"/>
        </w:rPr>
        <w:t xml:space="preserve">Sources: NANETS 2020 surgical; Hashim 2014; Zheng-Pywell 2022</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A pragmatic position: take the nodes because it makes the next decision possible, not because it treats the cancer.</w:t>
      </w:r>
    </w:p>
    <w:p>
      <w:pPr>
        <w:spacing w:after="50" w:line="276"/>
        <w:ind w:left="240"/>
      </w:pPr>
      <w:r>
        <w:rPr>
          <w:color w:val="15181F"/>
          <w:sz w:val="18"/>
          <w:szCs w:val="18"/>
        </w:rPr>
        <w:t xml:space="preserve">NANETS puts it this way — reducing tumour burden through lymphadenectomy, or at the very least removing suspicious nodes seen on imaging or at exploration, is likely to facilitate future management. Nodal metastasis is one of the three independent predictors in the published recurrence score, so a patient whose nodal status is unknown cannot be risk-stratified for surveillance intensity afterwards.</w:t>
      </w:r>
    </w:p>
    <w:p>
      <w:pPr>
        <w:spacing w:after="50"/>
        <w:ind w:left="240"/>
      </w:pPr>
      <w:r>
        <w:rPr>
          <w:b/>
          <w:bCs/>
          <w:color w:val="8C2F26"/>
          <w:sz w:val="18"/>
          <w:szCs w:val="18"/>
        </w:rPr>
        <w:t xml:space="preserve">Caveat. </w:t>
      </w:r>
      <w:r>
        <w:rPr>
          <w:color w:val="15181F"/>
          <w:sz w:val="18"/>
          <w:szCs w:val="18"/>
        </w:rPr>
        <w:t xml:space="preserve">Do not inflate this into a survival claim. The relationship between nodal metastasis and survival is genuinely inconsistent across series, and the reasons are structural: small numbers, inconsistent nodal sampling and pathological assessment, and follow-up too short for an indolent disease. NANETS reports a 326-patient cohort in which overall survival did not differ by nodal status at 2.7 years of follow-up and did differ significantly at 11 years; that paper is not in this page's depot. The one nodal cohort read in full here makes the same point in its own data and in the other direction: nodal status predicted disease-free survival strongly and overall survival not at all (log-rank 0.1), and its authors argue that the overall-survival result will become significant with longer follow-up rather than reporting the result they obtained, then use the disease-free finding to justify routine lymphadenectomy.</w:t>
      </w:r>
    </w:p>
    <w:p>
      <w:pPr>
        <w:spacing w:after="60" w:line="276"/>
        <w:ind w:left="240"/>
      </w:pPr>
      <w:r>
        <w:rPr>
          <w:color w:val="5A6069"/>
          <w:sz w:val="16"/>
          <w:szCs w:val="16"/>
        </w:rPr>
        <w:t xml:space="preserve">Sources: NANETS 2020 surgical; Genc recurrence score; Hashim 2014</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Extended lymphadenectomy has no established place.</w:t>
      </w:r>
    </w:p>
    <w:p>
      <w:pPr>
        <w:spacing w:after="50" w:line="276"/>
        <w:ind w:left="240"/>
      </w:pPr>
      <w:r>
        <w:rPr>
          <w:color w:val="15181F"/>
          <w:sz w:val="18"/>
          <w:szCs w:val="18"/>
        </w:rPr>
        <w:t xml:space="preserve">Take the regional basin that the standard operation delivers and stop there.</w:t>
      </w:r>
    </w:p>
    <w:p>
      <w:pPr>
        <w:spacing w:after="50"/>
        <w:ind w:left="240"/>
      </w:pPr>
      <w:r>
        <w:rPr>
          <w:b/>
          <w:bCs/>
          <w:color w:val="8C2F26"/>
          <w:sz w:val="18"/>
          <w:szCs w:val="18"/>
        </w:rPr>
        <w:t xml:space="preserve">Caveat. </w:t>
      </w:r>
      <w:r>
        <w:rPr>
          <w:color w:val="15181F"/>
          <w:sz w:val="18"/>
          <w:szCs w:val="18"/>
        </w:rPr>
        <w:t xml:space="preserve">No survival benefit of extended dissection has been established, and unlike gastric and colon cancer there is no universally accepted minimum node number for prognostication in this disease — the 11 to 15 figure is borrowed from the pancreatic adenocarcinoma literature.</w:t>
      </w:r>
    </w:p>
    <w:p>
      <w:pPr>
        <w:spacing w:after="60" w:line="276"/>
        <w:ind w:left="240"/>
      </w:pPr>
      <w:r>
        <w:rPr>
          <w:color w:val="5A6069"/>
          <w:sz w:val="16"/>
          <w:szCs w:val="16"/>
        </w:rPr>
        <w:t xml:space="preserve">Sources: NANETS 2020 surgical</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convert a planned enucleation into a Whipple intraoperatively to obtain nodes.</w:t>
      </w:r>
    </w:p>
    <w:p>
      <w:pPr>
        <w:spacing w:after="50" w:line="276"/>
        <w:ind w:left="240"/>
      </w:pPr>
      <w:r>
        <w:rPr>
          <w:color w:val="15181F"/>
          <w:sz w:val="18"/>
          <w:szCs w:val="18"/>
        </w:rPr>
        <w:t xml:space="preserve">Decide the operation, and therefore the nodal strategy, at the board and before the incision. If the nodal question is live enough to need a formal resection, plan one.</w:t>
      </w:r>
    </w:p>
    <w:p>
      <w:pPr>
        <w:spacing w:after="50"/>
        <w:ind w:left="240"/>
      </w:pPr>
      <w:r>
        <w:rPr>
          <w:b/>
          <w:bCs/>
          <w:color w:val="8C2F26"/>
          <w:sz w:val="18"/>
          <w:szCs w:val="18"/>
        </w:rPr>
        <w:t xml:space="preserve">Caveat. </w:t>
      </w:r>
      <w:r>
        <w:rPr>
          <w:color w:val="15181F"/>
          <w:sz w:val="18"/>
          <w:szCs w:val="18"/>
        </w:rPr>
        <w:t xml:space="preserve">The extent of resection has not been shown to change survival in small non-functional tumours: in 1,854 National Cancer Data Base patients with tumours of 2 cm or less, unadjusted 5-year overall survival after excluding metastatic and medically inoperable patients was 83.0% (95% CI 74.0-89.1) after partial pancreatectomy, 72.3% (60.4-81.2) after pancreatoduodenectomy and 86.0% (66.8-94.5) after total pancreatectomy, and after adjustment there was no difference in the risk of death across surgery types (p=0.16) and none with or without regional lymphadenectomy. Escalating the operation in theatre spends morbidity on information.</w:t>
      </w:r>
    </w:p>
    <w:p>
      <w:pPr>
        <w:spacing w:after="50" w:line="276"/>
        <w:ind w:left="240"/>
      </w:pPr>
      <w:r>
        <w:rPr>
          <w:i/>
          <w:iCs/>
          <w:color w:val="5A6069"/>
          <w:sz w:val="17"/>
          <w:szCs w:val="17"/>
        </w:rPr>
        <w:t xml:space="preserve">Grade D. That survival analysis collapses 1,854 patients to 366 by requiring a diagnosis before 2006 and a known surgery type, nodes examined differed systematically by operation (63% of partial pancreatectomies against 89% of pancreatoduodenectomies and 75% of total pancreatectomies), and the registry records only tumours assigned a malignant behaviour code. The same analysis reports 27.6% 5-year survival with no surgery against 83.0% with partial pancreatectomy - a contrast between groups that differed in age (median 63 against 56-57), in poor differentiation (29.9% against 1.8-5.2%), in distant metastases (42.1% against 1.1-2.0%) and in treatment at an academic centre, which the authors concede in the discussion while retaining it in the abstract. It should not be quoted as an argument for operating. The same paper also reports a 15% relative reduction in the risk of death for each later calendar year of diagnosis during a window in which resection rates and metastasis rates did not change, which is far more plausibly stage migration from incidental detection than improving care.</w:t>
      </w:r>
    </w:p>
    <w:p>
      <w:pPr>
        <w:spacing w:after="60" w:line="276"/>
        <w:ind w:left="240"/>
      </w:pPr>
      <w:r>
        <w:rPr>
          <w:color w:val="5A6069"/>
          <w:sz w:val="16"/>
          <w:szCs w:val="16"/>
        </w:rPr>
        <w:t xml:space="preserve">Sources: Gratian 2014</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7 · Hereditary syndromes — different thresholds, different timing</w:t>
      </w:r>
    </w:p>
    <w:p>
      <w:pPr>
        <w:spacing w:after="140"/>
      </w:pPr>
      <w:r>
        <w:rPr>
          <w:b/>
          <w:bCs/>
          <w:color w:val="176A87"/>
          <w:sz w:val="19"/>
          <w:szCs w:val="19"/>
        </w:rPr>
        <w:t xml:space="preserve">The question. </w:t>
      </w:r>
      <w:r>
        <w:rPr>
          <w:sz w:val="19"/>
          <w:szCs w:val="19"/>
        </w:rPr>
        <w:t xml:space="preserve">Is this a sporadic tumour at all, and if it is not, which lesion in this pancreas am I actually operating on?</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Gastrinoma of the duodenum or pancreas, or a type 2 gastric NET</w:t>
      </w:r>
    </w:p>
    <w:p>
      <w:pPr>
        <w:pStyle w:val="ListParagraph"/>
        <w:numPr>
          <w:ilvl w:val="0"/>
          <w:numId w:val="2"/>
        </w:numPr>
        <w:spacing w:after="60" w:line="268"/>
      </w:pPr>
      <w:r>
        <w:rPr>
          <w:color w:val="15181F"/>
          <w:sz w:val="18"/>
          <w:szCs w:val="18"/>
        </w:rPr>
        <w:t xml:space="preserve">Multifocal pancreatic neuroendocrine tumours</w:t>
      </w:r>
    </w:p>
    <w:p>
      <w:pPr>
        <w:pStyle w:val="ListParagraph"/>
        <w:numPr>
          <w:ilvl w:val="0"/>
          <w:numId w:val="2"/>
        </w:numPr>
        <w:spacing w:after="60" w:line="268"/>
      </w:pPr>
      <w:r>
        <w:rPr>
          <w:color w:val="15181F"/>
          <w:sz w:val="18"/>
          <w:szCs w:val="18"/>
        </w:rPr>
        <w:t xml:space="preserve">Known or clinically suspected MEN1, MEN4, von Hippel-Lindau, NF1 or tuberous sclerosis</w:t>
      </w:r>
    </w:p>
    <w:p>
      <w:pPr>
        <w:pStyle w:val="ListParagraph"/>
        <w:numPr>
          <w:ilvl w:val="0"/>
          <w:numId w:val="2"/>
        </w:numPr>
        <w:spacing w:after="60" w:line="268"/>
      </w:pPr>
      <w:r>
        <w:rPr>
          <w:color w:val="15181F"/>
          <w:sz w:val="18"/>
          <w:szCs w:val="18"/>
        </w:rPr>
        <w:t xml:space="preserve">Primary hyperparathyroidism before age 30, multiple parathyroid adenomas, or recurrent hyperparathyroidism</w:t>
      </w:r>
    </w:p>
    <w:p>
      <w:pPr>
        <w:pStyle w:val="ListParagraph"/>
        <w:numPr>
          <w:ilvl w:val="0"/>
          <w:numId w:val="2"/>
        </w:numPr>
        <w:spacing w:after="60" w:line="268"/>
      </w:pPr>
      <w:r>
        <w:rPr>
          <w:color w:val="15181F"/>
          <w:sz w:val="18"/>
          <w:szCs w:val="18"/>
        </w:rPr>
        <w:t xml:space="preserve">A young patient, or a family history of any MEN1-associated tumour</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Send for genetic evaluation rather than assuming a solitary tumour is sporadic.</w:t>
      </w:r>
    </w:p>
    <w:p>
      <w:pPr>
        <w:spacing w:after="50" w:line="276"/>
        <w:ind w:left="240"/>
      </w:pPr>
      <w:r>
        <w:rPr>
          <w:color w:val="15181F"/>
          <w:sz w:val="18"/>
          <w:szCs w:val="18"/>
        </w:rPr>
        <w:t xml:space="preserve">NCCN recommends genetic risk evaluation and testing for gastrinoma, multifocal tumours, parathyroid disease before 30 or multigland disease, clinical suspicion of MEN1, and a mutation on tumour genomic testing with germline implications; it says to consider testing for a duodenal or pancreatic NET at any age. Studies of unselected patients have identified germline variants in 16% to 21% of cases, from relatively small cohorts.</w:t>
      </w:r>
    </w:p>
    <w:p>
      <w:pPr>
        <w:spacing w:after="50"/>
        <w:ind w:left="240"/>
      </w:pPr>
      <w:r>
        <w:rPr>
          <w:b/>
          <w:bCs/>
          <w:color w:val="8C2F26"/>
          <w:sz w:val="18"/>
          <w:szCs w:val="18"/>
        </w:rPr>
        <w:t xml:space="preserve">Caveat. </w:t>
      </w:r>
      <w:r>
        <w:rPr>
          <w:color w:val="15181F"/>
          <w:sz w:val="18"/>
          <w:szCs w:val="18"/>
        </w:rPr>
        <w:t xml:space="preserve">Do not let the result arrive after the operation. In MEN1 the lesion you can see is usually not the only lesion, and the finding changes the operation, its extent and its timing — not just the counselling.</w:t>
      </w:r>
    </w:p>
    <w:p>
      <w:pPr>
        <w:spacing w:after="50" w:line="276"/>
        <w:ind w:left="240"/>
      </w:pPr>
      <w:r>
        <w:rPr>
          <w:i/>
          <w:iCs/>
          <w:color w:val="5A6069"/>
          <w:sz w:val="17"/>
          <w:szCs w:val="17"/>
        </w:rPr>
        <w:t xml:space="preserve">The MEN1 recommendations were comprehensively revised in 2025, and the revision read in full for this page produced 55 recommendations: 52 Delphi consensus statements from an expert panel in 22 countries, plus 3 from systematic reviews that found only 37 of 3,048 screened publications usable, covering 1,814 patients, with all three resulting recommendations rated low or very low certainty by GRADE. Use that document or the separate AACE consensus statement rather than a pre-2021 source for the surveillance schedule. The AACE statement is cited on this page from its abstract only - its full text was not obtained - so every numeric criterion attributed to it must be confirmed against the published paper before use.</w:t>
      </w:r>
    </w:p>
    <w:p>
      <w:pPr>
        <w:spacing w:after="60" w:line="276"/>
        <w:ind w:left="240"/>
      </w:pPr>
      <w:r>
        <w:rPr>
          <w:color w:val="5A6069"/>
          <w:sz w:val="16"/>
          <w:szCs w:val="16"/>
        </w:rPr>
        <w:t xml:space="preserve">Sources: MEN1 2025 guideline; AACE MEN1 2025</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In MEN1, resect a functional tumour whatever its size, observe a nonfunctional tumour under 1 cm, and resect above 2 cm or on significant growth — accepting that surgery will not clear the gland.</w:t>
      </w:r>
    </w:p>
    <w:p>
      <w:pPr>
        <w:spacing w:after="50" w:line="276"/>
        <w:ind w:left="240"/>
      </w:pPr>
      <w:r>
        <w:rPr>
          <w:color w:val="15181F"/>
          <w:sz w:val="18"/>
          <w:szCs w:val="18"/>
        </w:rPr>
        <w:t xml:space="preserve">NANETS: nonfunctional tumours under 1 cm can be observed and tumours over 2 cm should generally be resected; functional tumours should be removed where there is a dominant lesion. AACE 2025, from its abstract: functioning tumours resected regardless of size, nonfunctioning observed below 20 mm and strongly considered for resection above 20 mm or on significant growth under surveillance, with parenchyma-sparing surgery preferred. The 2025 best-practice recommendations say surgery should be considered for a growing nonfunctioning tumour and for one larger than 2 cm, with the indication settled by multidisciplinary discussion and shared decision making; ENETS 2023 observes 2 cm or less and advises resection above 2 cm (level 2, grade B), with 2-3 cm and any G2 tumour decided case by case. NCCN adds relatively rapid growth over 6 to 12 months as a third trigger alongside size and refractory symptoms. The threshold traces to a 108-patient cohort drawn from 579 registered MEN1 patients, in which nonfunctioning pancreatic tumours were the commonest pancreaticoduodenal lesion with a penetrance of 3% at age 20, 34% at 50 and 53% at 80, a mean size of 21 plus or minus 18 mm and a mean of 2.9 plus or minus 2.3 tumours per patient. Metastasis rose with size - 1 of 25 (4%) at 10 mm or less, 4 of 40 (10%) at 11-20 mm, 2 of 11 (18%) at 21-30 mm and 9 of 21 (43%) above 30 mm, Spearman 0.33, p&lt;0.01 - and life expectancy was 68.5 years (95% CI 64-72.9) against 77.1 (74.4-79.9) for MEN1 patients without a pancreatic tumour, p&lt;0.01. The authors concluded against routine surgery at or below 20 mm.</w:t>
      </w:r>
    </w:p>
    <w:p>
      <w:pPr>
        <w:spacing w:after="50"/>
        <w:ind w:left="240"/>
      </w:pPr>
      <w:r>
        <w:rPr>
          <w:b/>
          <w:bCs/>
          <w:color w:val="8C2F26"/>
          <w:sz w:val="18"/>
          <w:szCs w:val="18"/>
        </w:rPr>
        <w:t xml:space="preserve">Caveat. </w:t>
      </w:r>
      <w:r>
        <w:rPr>
          <w:color w:val="15181F"/>
          <w:sz w:val="18"/>
          <w:szCs w:val="18"/>
        </w:rPr>
        <w:t xml:space="preserve">Do not plan an operation intended to be definitive. Microadenomas make complete clearance unachievable, local intrapancreatic recurrence unrelated to margins is reported as high as 50%, and the residual pancreas and duodenum remain at risk because the predisposition does not go away - in that same cohort, 2 of 32 curatively resected patients were reoperated for new tumours. It remains unclear from the literature whether an extensive partial resection reduces malignant progression or prevents new tumours in the remnant.</w:t>
      </w:r>
    </w:p>
    <w:p>
      <w:pPr>
        <w:spacing w:after="50" w:line="276"/>
        <w:ind w:left="240"/>
      </w:pPr>
      <w:r>
        <w:rPr>
          <w:i/>
          <w:iCs/>
          <w:color w:val="5A6069"/>
          <w:sz w:val="17"/>
          <w:szCs w:val="17"/>
        </w:rPr>
        <w:t xml:space="preserve">Grade D, downgraded on the full-text read. The 20 mm cut point was never derived: its two lowest strata are 1 of 25 and 4 of 40 patients whose confidence intervals overlap entirely, metastasis was imaging-defined in 60% of cases in a paper that itself cites evidence that a quarter of radiographically node-negative MEN1 patients have occult metastases at operation, mean follow-up after diagnosis was 4.3 plus or minus 3.3 years in a disease whose victims died at a mean age of 43, and the cohort spans 1956 to 2003 with prospective registration only from 1997, so penetrance and metastasis are estimated from different populations. The same paper's comparison of 32 curatively operated patients against 66 unoperated found no difference in metastasis (16% against 11%, p=0.5), death from the tumour (3.1% against 3%, p=0.99) or progression (22% against 12%, p=0.32) and no separation of the survival curves - an underpowered null, not evidence of equivalence, in groups that differed in follow-up and in mean size (30.2 against 16.3 mm, p=0.01). The 2025 systematic review reaches the same place from the other direction: across 37 studies and 1,814 patients, surgery and active surveillance for lesions of 2 cm or less produced no difference in metastasis or mortality at low to very low certainty. The 2025 recommendations add a surveillance schedule for a newly diagnosed lesion of 2 cm or less - repeat imaging at 6 to 12 months, again after 12 months if stable, then every 1 to 2 years if growth stays under 1 mm per year (92% agreement) - and a somatostatin-receptor PET for every patient planned for duodenopancreatic surgery (100% agreement). Hypergastrinaemia in MEN1 usually comes from small, multiple duodenal gastrinomas rather than from a pancreatic tumour, which is why NANETS allows medical management in many of these patients. Outcomes after surgery are good - 5-year overall survival 90-100% for functional and 65-100% for nonfunctional tumours - in a selected population. [EXPERTISE]</w:t>
      </w:r>
    </w:p>
    <w:p>
      <w:pPr>
        <w:spacing w:after="60" w:line="276"/>
        <w:ind w:left="240"/>
      </w:pPr>
      <w:r>
        <w:rPr>
          <w:color w:val="5A6069"/>
          <w:sz w:val="16"/>
          <w:szCs w:val="16"/>
        </w:rPr>
        <w:t xml:space="preserve">Sources: NANETS 2020 surgical; AACE MEN1 2025; Triponez 2006; MEN1 2025 guideline</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In von Hippel-Lindau, use three factors rather than size alone: size 3 cm or more, doubling time under 500 days, and a germline exon 3 mutation.</w:t>
      </w:r>
    </w:p>
    <w:p>
      <w:pPr>
        <w:spacing w:after="50" w:line="276"/>
        <w:ind w:left="240"/>
      </w:pPr>
      <w:r>
        <w:rPr>
          <w:color w:val="15181F"/>
          <w:sz w:val="18"/>
          <w:szCs w:val="18"/>
        </w:rPr>
        <w:t xml:space="preserve">NANETS: a patient with a tumour under 3 cm, doubling time over 500 days and a mutation outside exon 3 can be safely observed with imaging every 1 to 2 years; one high-risk factor means considering surgery or imaging at 6 to 12 month intervals; two or more means strongly considering resection. The derivation is a prospective NIH protocol in which 633 VHL patients were screened and 108 (17%) had a pancreatic neuroendocrine tumour - none functional by hormone level or symptom - of whom 9 (8.3%) developed metastases and 2 died of them, 1.4% of everyone screened, over a median follow-up of 53 months. A primary larger than 3 cm was present in 6 of the 9 with metastases (67%) against 19 of 99 without (19%), p=0.0046; an exon 3 germline mutation in 7 of 9 (78%) against 32 of 98 (46%), p=0.01; and mean tumour doubling time was 337 days (range 180-463) against 2,628 days (103-9,614), p&lt;0.0001. All 9 metastatic patients met at least two of the three criteria and 6 met all three, while among the 54 assessable patients without metastases 5 met two, 20 met one and 29 met none.</w:t>
      </w:r>
    </w:p>
    <w:p>
      <w:pPr>
        <w:spacing w:after="50"/>
        <w:ind w:left="240"/>
      </w:pPr>
      <w:r>
        <w:rPr>
          <w:b/>
          <w:bCs/>
          <w:color w:val="8C2F26"/>
          <w:sz w:val="18"/>
          <w:szCs w:val="18"/>
        </w:rPr>
        <w:t xml:space="preserve">Caveat. </w:t>
      </w:r>
      <w:r>
        <w:rPr>
          <w:color w:val="15181F"/>
          <w:sz w:val="18"/>
          <w:szCs w:val="18"/>
        </w:rPr>
        <w:t xml:space="preserve">Do not transfer the sporadic 2 cm threshold to VHL - the malignant potential is lower and the observation ceiling is correspondingly higher. Equally, do not assume every solid pancreatic lesion in a VHL patient is a neuroendocrine tumour: NANETS reports that about half of VHL patients develop benign pancreatic cysts, serous cystadenomas or haemangioblastomas, which need no intervention unless symptomatic or causing pancreatitis or biliary compression.</w:t>
      </w:r>
    </w:p>
    <w:p>
      <w:pPr>
        <w:spacing w:after="50" w:line="276"/>
        <w:ind w:left="240"/>
      </w:pPr>
      <w:r>
        <w:rPr>
          <w:i/>
          <w:iCs/>
          <w:color w:val="5A6069"/>
          <w:sz w:val="17"/>
          <w:szCs w:val="17"/>
        </w:rPr>
        <w:t xml:space="preserve">Grade D, downgraded on the full-text read. The three-criterion rule was derived from 9 metastatic events and then declared to capture all 9, so its perfect sensitivity is a tautology of the derivation rather than a finding, with no independent or temporal validation attempted. Doubling time, the criterion with the largest apparent separation, was computable in all 9 metastatic patients but in only 54 of 99 without metastases, and patients with visibly growing lesions are imaged more often, so the exposure and the ability to measure it are entangled and 45 patients are simply absent from the stratification table. Sixty-nine of the 108 lesions were never resected and their diagnosis rests on CT or MRI appearance alone, which the senior author conceded in discussion could include microcystic adenomas. The 3 cm cut point was carried over from the group's own earlier publications and was never tested against 1 or 2 cm within the dataset - a discussant asked exactly that and was told the analysis had not been done - and the study dates are internally inconsistent between abstract and methods. There is no Ki-67, grade or differentiation datum anywhere in the series. Receptor PET is useful here specifically: differentiating a microcystic adenoma from a small tumour is difficult on CT and MRI in VHL, and receptor PET can resolve it. NANETS reports that these tumours cluster in the head and uncinate process (52%) against body (21%) and tail (28%).</w:t>
      </w:r>
    </w:p>
    <w:p>
      <w:pPr>
        <w:spacing w:after="60" w:line="276"/>
        <w:ind w:left="240"/>
      </w:pPr>
      <w:r>
        <w:rPr>
          <w:color w:val="5A6069"/>
          <w:sz w:val="16"/>
          <w:szCs w:val="16"/>
        </w:rPr>
        <w:t xml:space="preserve">Sources: NANETS 2020 surgical; Blansfield 2007</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A somatostatin analogue is a reasonable antiproliferative option for MEN1-related tumours under 2 cm, on prospective but non-randomised evidence.</w:t>
      </w:r>
    </w:p>
    <w:p>
      <w:pPr>
        <w:spacing w:after="50" w:line="276"/>
        <w:ind w:left="240"/>
      </w:pPr>
      <w:r>
        <w:rPr>
          <w:color w:val="15181F"/>
          <w:sz w:val="18"/>
          <w:szCs w:val="18"/>
        </w:rPr>
        <w:t xml:space="preserve">A MEN1 patient with one or more sub-2 cm tumours in whom the aim is to delay or avoid pancreatic surgery. In a prospective observational study at one Italian centre - 23 patients given lanreotide autogel 120 mg every 28 days and 19 continuing active surveillance, 91 lesions in all at a mean size of 6.8 plus or minus 3.4 mm, median follow-up 73 months (range 24-84) - median progression-free survival was not reached with lanreotide against 40 months under surveillance (p&lt;0.001). On treatment there were 4 objective responses (17.4%), 15 stable (65.2%) and 4 progressing (17.4%); under surveillance 13 of 19 (68.4%) progressed and 6 (31.6%) were stable. Toxicity was minimal: one grade 1 diarrhoea and two cases of asymptomatic biliary stone disease, with no dose reduction or interruption.</w:t>
      </w:r>
    </w:p>
    <w:p>
      <w:pPr>
        <w:spacing w:after="50"/>
        <w:ind w:left="240"/>
      </w:pPr>
      <w:r>
        <w:rPr>
          <w:b/>
          <w:bCs/>
          <w:color w:val="8C2F26"/>
          <w:sz w:val="18"/>
          <w:szCs w:val="18"/>
        </w:rPr>
        <w:t xml:space="preserve">Caveat. </w:t>
      </w:r>
      <w:r>
        <w:rPr>
          <w:color w:val="15181F"/>
          <w:sz w:val="18"/>
          <w:szCs w:val="18"/>
        </w:rPr>
        <w:t xml:space="preserve">Treatment was chosen rather than allocated - lanreotide was proposed to every included patient as an alternative to surveillance - and the paper reports no comparison of comorbidity, disease burden, prior surgery or stated reason for the choice, so the arms differ by whatever disposes a patient to accept monthly injections for six years. The lanreotide arm also carried more tumours per patient at baseline (p=0.038), and patient-level progression-free survival is mixed with lesion-level response counting (22 of 62 treated lesions shrank against 0 of 29) with no adjustment for clustering of lesions within patients. Forty-two patients generated 17 radiological progression events in total, assessed unblinded with no central read, under a definition that counts a 20% size increase in a 7 mm lesion. Everything that matters was indistinguishable: liver metastases in 1 patient per arm, operations in 2 of 23 against 5 of 19, and no deaths. Do not extend it to sporadic small tumours, where there is no comparable evidence, no guideline support, and ENETS states explicitly that no evidence supports somatostatin analogues for controlling the progression of a small nonfunctioning tumour under surveillance.</w:t>
      </w:r>
    </w:p>
    <w:p>
      <w:pPr>
        <w:spacing w:after="50" w:line="276"/>
        <w:ind w:left="240"/>
      </w:pPr>
      <w:r>
        <w:rPr>
          <w:i/>
          <w:iCs/>
          <w:color w:val="5A6069"/>
          <w:sz w:val="17"/>
          <w:szCs w:val="17"/>
        </w:rPr>
        <w:t xml:space="preserve">Grade D, downgraded on the full-text read. This is still the only prospective evaluation of analogues in MEN1-related tumours and it is cited by NCCN. The international consensus statement on the pancreas in MEN1 remains the fuller reference for how functioning and nonfunctioning duodenopancreatic disease is managed in this syndrome; it is cited on this page from its abstract only, its full text was not obtained, and the 2025 best-practice recommendations should be read alongside it.</w:t>
      </w:r>
    </w:p>
    <w:p>
      <w:pPr>
        <w:spacing w:after="60" w:line="276"/>
        <w:ind w:left="240"/>
      </w:pPr>
      <w:r>
        <w:rPr>
          <w:color w:val="5A6069"/>
          <w:sz w:val="16"/>
          <w:szCs w:val="16"/>
        </w:rPr>
        <w:t xml:space="preserve">Sources: Faggiano 2020; MEN1 pancreas consensus; ENETS 2023 NF-PanNET</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Belzutifan may be considered for a resectable tumour in a patient with a germline VHL alteration, individualised, and is not a substitute for an operation.</w:t>
      </w:r>
    </w:p>
    <w:p>
      <w:pPr>
        <w:spacing w:after="50" w:line="276"/>
        <w:ind w:left="240"/>
      </w:pPr>
      <w:r>
        <w:rPr>
          <w:color w:val="15181F"/>
          <w:sz w:val="18"/>
          <w:szCs w:val="18"/>
        </w:rPr>
        <w:t xml:space="preserve">NCCN allows consideration of belzutifan for resectable tumours in germline VHL disease, with the decision individualised for small resectable lesions. The supporting trial is a phase 2, open-label, single-group study of 61 patients at 11 centres, all given belzutifan 120 mg daily, whose primary endpoint was objective response in renal cell carcinoma. After a median follow-up of 21.8 months the renal response rate was 49% (95% CI 36-62), all partial, with 24-month progression-free survival 96% (87-99). All 61 patients had pancreatic lesions, of which 47 (77%) responded including 6 complete responses; among the 22 patients who had pancreatic neuroendocrine tumours specifically, 20 (91%) had a confirmed response including 3 complete responses, at a median baseline target size of 21 mm (range 10-52) and a median time to response of 5.5 months. Central nervous system haemangioblastomas responded in 15 of 50 (30%). No patient underwent pancreatic surgery during the trial.</w:t>
      </w:r>
    </w:p>
    <w:p>
      <w:pPr>
        <w:spacing w:after="50"/>
        <w:ind w:left="240"/>
      </w:pPr>
      <w:r>
        <w:rPr>
          <w:b/>
          <w:bCs/>
          <w:color w:val="8C2F26"/>
          <w:sz w:val="18"/>
          <w:szCs w:val="18"/>
        </w:rPr>
        <w:t xml:space="preserve">Caveat. </w:t>
      </w:r>
      <w:r>
        <w:rPr>
          <w:color w:val="15181F"/>
          <w:sz w:val="18"/>
          <w:szCs w:val="18"/>
        </w:rPr>
        <w:t xml:space="preserve">Read the pancreatic figure for what it is: 20 of 22 patients, a secondary endpoint of a single-arm industry-sponsored trial with no comparator, no pre-specified statistical plan for it, no multiplicity control across the several organ systems assessed and no histological confirmation that each measured lesion was a neuroendocrine tumour rather than a serous cystadenoma - the two were deliberately measured together in the larger 77% figure. Eligibility required no renal tumour above 3 cm, no metastases and performance status 0 or 1, so the cohort is the fittest and least advanced end of the VHL population. Anaemia occurred in 90% of patients, grade 3 in 8%, with 20% needing erythropoiesis-stimulating agents and 7% transfusion, and fatigue in 66%; every patient's haemoglobin fell by at least 1.9 g/dL in the first 13 weeks. Twenty-two months of exposure cannot establish durability, cumulative harm or resistance in a drug that might be taken for decades. Nothing here applies to sporadic disease, where the driving lesion is not VHL loss. NCCN states that data for larger tumours, locally advanced unresectable tumours and distant disease are extremely limited and that trials are ongoing. [PAYER]</w:t>
      </w:r>
    </w:p>
    <w:p>
      <w:pPr>
        <w:spacing w:after="50" w:line="276"/>
        <w:ind w:left="240"/>
      </w:pPr>
      <w:r>
        <w:rPr>
          <w:i/>
          <w:iCs/>
          <w:color w:val="5A6069"/>
          <w:sz w:val="17"/>
          <w:szCs w:val="17"/>
        </w:rPr>
        <w:t xml:space="preserve">One correction from the full-text read: the first draft of this page said the trial does not report a response rate for pancreatic neuroendocrine tumours separately. It does - 20 of 22 (91%), which ENETS quotes as 90.9%. The comparison of 327 lifetime tumour-reduction procedures before treatment against 3 afterwards is not a like-for-like rate; the authors' own figure records 64 procedures in the preceding 2.5 years, which is.</w:t>
      </w:r>
    </w:p>
    <w:p>
      <w:pPr>
        <w:spacing w:after="60" w:line="276"/>
        <w:ind w:left="240"/>
      </w:pPr>
      <w:r>
        <w:rPr>
          <w:color w:val="5A6069"/>
          <w:sz w:val="16"/>
          <w:szCs w:val="16"/>
        </w:rPr>
        <w:t xml:space="preserve">Sources: LITESPARK-004</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MEN4, NF1 and tuberous sclerosis: manage on clinical judgement, and say that is what you are doing.</w:t>
      </w:r>
    </w:p>
    <w:p>
      <w:pPr>
        <w:spacing w:after="50" w:line="276"/>
        <w:ind w:left="240"/>
      </w:pPr>
      <w:r>
        <w:rPr>
          <w:color w:val="15181F"/>
          <w:sz w:val="18"/>
          <w:szCs w:val="18"/>
        </w:rPr>
        <w:t xml:space="preserve">Pancreatic tumours are rare in NF1 and tuberous sclerosis, and in tuberous sclerosis they are typically small, well-differentiated and often functional, in the body or tail, with insulin-secreting tumours common; resection of a functional tumour to cure the hormone excess is indicated when safe. MEN4 is newly described, penetrance estimates and surveillance guidelines are not available, and NCCN allows following the MEN1 surveillance recommendations given the clinical overlap.</w:t>
      </w:r>
    </w:p>
    <w:p>
      <w:pPr>
        <w:spacing w:after="50"/>
        <w:ind w:left="240"/>
      </w:pPr>
      <w:r>
        <w:rPr>
          <w:b/>
          <w:bCs/>
          <w:color w:val="8C2F26"/>
          <w:sz w:val="18"/>
          <w:szCs w:val="18"/>
        </w:rPr>
        <w:t xml:space="preserve">Caveat. </w:t>
      </w:r>
      <w:r>
        <w:rPr>
          <w:color w:val="15181F"/>
          <w:sz w:val="18"/>
          <w:szCs w:val="18"/>
        </w:rPr>
        <w:t xml:space="preserve">Do not present any of this as evidence based. By 2012 only 10 tuberous-sclerosis-associated pancreatic NETs had been reported, and NANETS states that no evidence-based surveillance or treatment recommendation can be made.</w:t>
      </w:r>
    </w:p>
    <w:p>
      <w:pPr>
        <w:spacing w:after="60" w:line="276"/>
        <w:ind w:left="240"/>
      </w:pPr>
      <w:r>
        <w:rPr>
          <w:color w:val="5A6069"/>
          <w:sz w:val="16"/>
          <w:szCs w:val="16"/>
        </w:rPr>
        <w:t xml:space="preserve">Sources: NANETS 2020 surgical</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operate for a hormonal syndrome in MEN1 on the assumption that the biggest visible tumour is the source.</w:t>
      </w:r>
    </w:p>
    <w:p>
      <w:pPr>
        <w:spacing w:after="50" w:line="276"/>
        <w:ind w:left="240"/>
      </w:pPr>
      <w:r>
        <w:rPr>
          <w:color w:val="15181F"/>
          <w:sz w:val="18"/>
          <w:szCs w:val="18"/>
        </w:rPr>
        <w:t xml:space="preserve">Attempt preoperative localisation of the functional tumour specifically, and use intraoperative ultrasonography routinely. Refer to a high-volume endocrine surgery centre.</w:t>
      </w:r>
    </w:p>
    <w:p>
      <w:pPr>
        <w:spacing w:after="50"/>
        <w:ind w:left="240"/>
      </w:pPr>
      <w:r>
        <w:rPr>
          <w:b/>
          <w:bCs/>
          <w:color w:val="8C2F26"/>
          <w:sz w:val="18"/>
          <w:szCs w:val="18"/>
        </w:rPr>
        <w:t xml:space="preserve">Caveat. </w:t>
      </w:r>
      <w:r>
        <w:rPr>
          <w:color w:val="15181F"/>
          <w:sz w:val="18"/>
          <w:szCs w:val="18"/>
        </w:rPr>
        <w:t xml:space="preserve">NANETS warns that multiplicity makes definitive preoperative determination that the dominant tumour is the source of hormone overproduction difficult, and that hypergastrinaemia in MEN1 much more often arises from duodenal gastrinomas than from pancreatic tumours. Resecting the dominant nodule and finding the syndrome unchanged is a recognised outcome. [EXPERTISE]</w:t>
      </w:r>
    </w:p>
    <w:p>
      <w:pPr>
        <w:spacing w:after="60" w:line="276"/>
        <w:ind w:left="240"/>
      </w:pPr>
      <w:r>
        <w:rPr>
          <w:color w:val="5A6069"/>
          <w:sz w:val="16"/>
          <w:szCs w:val="16"/>
        </w:rPr>
        <w:t xml:space="preserve">Sources: NANETS 2020 surgical</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use a VHL tumour's location in the head as a reason to resect it earlier.</w:t>
      </w:r>
    </w:p>
    <w:p>
      <w:pPr>
        <w:spacing w:after="50" w:line="276"/>
        <w:ind w:left="240"/>
      </w:pPr>
      <w:r>
        <w:rPr>
          <w:color w:val="15181F"/>
          <w:sz w:val="18"/>
          <w:szCs w:val="18"/>
        </w:rPr>
        <w:t xml:space="preserve">Decide on size, doubling time and mutation; let location decide only which operation is performed.</w:t>
      </w:r>
    </w:p>
    <w:p>
      <w:pPr>
        <w:spacing w:after="50"/>
        <w:ind w:left="240"/>
      </w:pPr>
      <w:r>
        <w:rPr>
          <w:b/>
          <w:bCs/>
          <w:color w:val="8C2F26"/>
          <w:sz w:val="18"/>
          <w:szCs w:val="18"/>
        </w:rPr>
        <w:t xml:space="preserve">Caveat. </w:t>
      </w:r>
      <w:r>
        <w:rPr>
          <w:color w:val="15181F"/>
          <w:sz w:val="18"/>
          <w:szCs w:val="18"/>
        </w:rPr>
        <w:t xml:space="preserve">The earlier proposal of a 2 cm threshold in the head and 3 cm in the body and tail was motivated by a wish to avoid a future pancreatoduodenectomy, not by biology. NANETS states that there is no evidence of any difference in biological behaviour by anatomic location and therefore no evidence that size criteria should be influenced by it — see the flagged item below.</w:t>
      </w:r>
    </w:p>
    <w:p>
      <w:pPr>
        <w:spacing w:after="60" w:line="276"/>
        <w:ind w:left="240"/>
      </w:pPr>
      <w:r>
        <w:rPr>
          <w:color w:val="5A6069"/>
          <w:sz w:val="16"/>
          <w:szCs w:val="16"/>
        </w:rPr>
        <w:t xml:space="preserve">Sources: NANETS 2020 surgical</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8 · High grade: G3 tumour or neuroendocrine carcinoma</w:t>
      </w:r>
    </w:p>
    <w:p>
      <w:pPr>
        <w:spacing w:after="140"/>
      </w:pPr>
      <w:r>
        <w:rPr>
          <w:b/>
          <w:bCs/>
          <w:color w:val="176A87"/>
          <w:sz w:val="19"/>
          <w:szCs w:val="19"/>
        </w:rPr>
        <w:t xml:space="preserve">The question. </w:t>
      </w:r>
      <w:r>
        <w:rPr>
          <w:sz w:val="19"/>
          <w:szCs w:val="19"/>
        </w:rPr>
        <w:t xml:space="preserve">Ki-67 is 34% — is this a well-differentiated G3 tumour I can still operate on, or a carcinoma that needs platinum this week?</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Ki-67 above 20% or more than 20 mitoses per 2 mm²</w:t>
      </w:r>
    </w:p>
    <w:p>
      <w:pPr>
        <w:pStyle w:val="ListParagraph"/>
        <w:numPr>
          <w:ilvl w:val="0"/>
          <w:numId w:val="2"/>
        </w:numPr>
        <w:spacing w:after="60" w:line="268"/>
      </w:pPr>
      <w:r>
        <w:rPr>
          <w:color w:val="15181F"/>
          <w:sz w:val="18"/>
          <w:szCs w:val="18"/>
        </w:rPr>
        <w:t xml:space="preserve">Well-differentiated morphology with a high proliferative index — a G3 NET</w:t>
      </w:r>
    </w:p>
    <w:p>
      <w:pPr>
        <w:pStyle w:val="ListParagraph"/>
        <w:numPr>
          <w:ilvl w:val="0"/>
          <w:numId w:val="2"/>
        </w:numPr>
        <w:spacing w:after="60" w:line="268"/>
      </w:pPr>
      <w:r>
        <w:rPr>
          <w:color w:val="15181F"/>
          <w:sz w:val="18"/>
          <w:szCs w:val="18"/>
        </w:rPr>
        <w:t xml:space="preserve">Small-cell or large-cell poorly differentiated morphology — a neuroendocrine carcinoma</w:t>
      </w:r>
    </w:p>
    <w:p>
      <w:pPr>
        <w:pStyle w:val="ListParagraph"/>
        <w:numPr>
          <w:ilvl w:val="0"/>
          <w:numId w:val="2"/>
        </w:numPr>
        <w:spacing w:after="60" w:line="268"/>
      </w:pPr>
      <w:r>
        <w:rPr>
          <w:color w:val="15181F"/>
          <w:sz w:val="18"/>
          <w:szCs w:val="18"/>
        </w:rPr>
        <w:t xml:space="preserve">A mixed neuroendocrine–non-neuroendocrine neoplasm, each component at least 30%</w:t>
      </w:r>
    </w:p>
    <w:p>
      <w:pPr>
        <w:pStyle w:val="ListParagraph"/>
        <w:numPr>
          <w:ilvl w:val="0"/>
          <w:numId w:val="2"/>
        </w:numPr>
        <w:spacing w:after="60" w:line="268"/>
      </w:pPr>
      <w:r>
        <w:rPr>
          <w:color w:val="15181F"/>
          <w:sz w:val="18"/>
          <w:szCs w:val="18"/>
        </w:rPr>
        <w:t xml:space="preserve">Grade progression in a tumour previously called G1 or G2</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A localised well-differentiated G3 tumour is evaluated for resection with regional lymphadenectomy, after multidisciplinary review, with a clinical trial preferred where one exists.</w:t>
      </w:r>
    </w:p>
    <w:p>
      <w:pPr>
        <w:spacing w:after="50" w:line="276"/>
        <w:ind w:left="240"/>
      </w:pPr>
      <w:r>
        <w:rPr>
          <w:color w:val="15181F"/>
          <w:sz w:val="18"/>
          <w:szCs w:val="18"/>
        </w:rPr>
        <w:t xml:space="preserve">NCCN's locoregional G3 page offers clinical trial as the preferred option, or resection with regional lymphadenectomy if appropriate after multidisciplinary review, or neoadjuvant systemic therapy case by case where the Ki-67 is 55% or above. NANETS: patients with high-grade well-differentiated tumours should be evaluated for resection if localised, in the context of multimodal therapy.</w:t>
      </w:r>
    </w:p>
    <w:p>
      <w:pPr>
        <w:spacing w:after="50"/>
        <w:ind w:left="240"/>
      </w:pPr>
      <w:r>
        <w:rPr>
          <w:b/>
          <w:bCs/>
          <w:color w:val="8C2F26"/>
          <w:sz w:val="18"/>
          <w:szCs w:val="18"/>
        </w:rPr>
        <w:t xml:space="preserve">Caveat. </w:t>
      </w:r>
      <w:r>
        <w:rPr>
          <w:color w:val="15181F"/>
          <w:sz w:val="18"/>
          <w:szCs w:val="18"/>
        </w:rPr>
        <w:t xml:space="preserve">Be honest about what resection achieves here. In 310 resected patients, the 24 with G3 tumours had 5-year overall survival of 20% (relative risk 13.56 against G1) compared with 91% for G1 and 71% for G2; among the G3 patients, those without metastases reached 43% at 5 years and those with metastases 0% (35% at 2 years). In 119 high-grade tumours from 10 Nordic centres, 85% were metastatic at diagnosis; of 14 resected patients without metastases, 13 developed metastases and the fourteenth a local recurrence, at a median of 7 months.</w:t>
      </w:r>
    </w:p>
    <w:p>
      <w:pPr>
        <w:spacing w:after="50" w:line="276"/>
        <w:ind w:left="240"/>
      </w:pPr>
      <w:r>
        <w:rPr>
          <w:i/>
          <w:iCs/>
          <w:color w:val="5A6069"/>
          <w:sz w:val="17"/>
          <w:szCs w:val="17"/>
        </w:rPr>
        <w:t xml:space="preserve">The 310-patient and 119-patient resected series quoted above are taken from the NANETS consensus text and are not in this page's full-text depot. The 305-patient Nordic study of advanced gastrointestinal neuroendocrine carcinoma that is in the depot concerns unresectable disease and bears on this gate only through its prognostic findings: median survival was 11 months (95% CI 9.4-12.6) with palliative chemotherapy and 1 month (0.3-1.8) with best supportive care, but the untreated group was twelve years older with 52% at performance status 3-4, so that contrast is late referral rather than a treatment effect. Pancreatic primaries, 71 of the 305, had the longest median survival of any site - 15 months against 8 for colonic, p=0.01 across sites - and were more often receptor-positive (46% against 0-25%, p=0.001). Performance status dominated the final model: median survival 18 months at PS 0, 12 at PS 1 and 5 at PS 2, alongside primary site, platelets below 400 and a normal lactate dehydrogenase. There is no role for adjuvant therapy here outside a trial.</w:t>
      </w:r>
    </w:p>
    <w:p>
      <w:pPr>
        <w:spacing w:after="60" w:line="276"/>
        <w:ind w:left="240"/>
      </w:pPr>
      <w:r>
        <w:rPr>
          <w:color w:val="5A6069"/>
          <w:sz w:val="16"/>
          <w:szCs w:val="16"/>
        </w:rPr>
        <w:t xml:space="preserve">Sources: NANETS 2020 surgical; Tang 2016; NORDIC NEC</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Do not resect a poorly differentiated pancreatic neuroendocrine carcinoma for cure; treat it as a carcinoma.</w:t>
      </w:r>
    </w:p>
    <w:p>
      <w:pPr>
        <w:spacing w:after="50" w:line="276"/>
        <w:ind w:left="240"/>
      </w:pPr>
      <w:r>
        <w:rPr>
          <w:color w:val="15181F"/>
          <w:sz w:val="18"/>
          <w:szCs w:val="18"/>
        </w:rPr>
        <w:t xml:space="preserve">NANETS states that patients with poorly differentiated carcinoma, small or large cell, should not undergo resection, given the aggressive behaviour and extremely poor prognosis that does not appear to be affected by surgery. ENETS 2023 allows that surgery can benefit localised disease after extensive preoperative imaging, and places carboplatin with etoposide first line in metastatic disease, with irinotecan and a fluoropyrimidine as the best-evidenced second line; median survival in metastatic disease is 11 to 12 months.</w:t>
      </w:r>
    </w:p>
    <w:p>
      <w:pPr>
        <w:spacing w:after="50"/>
        <w:ind w:left="240"/>
      </w:pPr>
      <w:r>
        <w:rPr>
          <w:b/>
          <w:bCs/>
          <w:color w:val="8C2F26"/>
          <w:sz w:val="18"/>
          <w:szCs w:val="18"/>
        </w:rPr>
        <w:t xml:space="preserve">Caveat. </w:t>
      </w:r>
      <w:r>
        <w:rPr>
          <w:color w:val="15181F"/>
          <w:sz w:val="18"/>
          <w:szCs w:val="18"/>
        </w:rPr>
        <w:t xml:space="preserve">Do not read the two guidelines as agreeing. NANETS is close to absolute; ENETS leaves a door open for genuinely localised disease after thorough imaging. Where they do agree is that cytoreduction of liver metastases is not indicated in this histology because of high relapse rates and poor survival, and that chemotherapy comes first.</w:t>
      </w:r>
    </w:p>
    <w:p>
      <w:pPr>
        <w:spacing w:after="50" w:line="276"/>
        <w:ind w:left="240"/>
      </w:pPr>
      <w:r>
        <w:rPr>
          <w:i/>
          <w:iCs/>
          <w:color w:val="5A6069"/>
          <w:sz w:val="17"/>
          <w:szCs w:val="17"/>
        </w:rPr>
        <w:t xml:space="preserve">Immunotherapy plays a minor role in biomarker-unselected patients. Molecular profiling is encouraged to identify new targets, which is a statement about the research agenda rather than about today's treatment. The ENETS digestive neuroendocrine carcinoma guidance is cited on this page from the programme-supplied guideline text and was not part of the full-text depot read for this revision.</w:t>
      </w:r>
    </w:p>
    <w:p>
      <w:pPr>
        <w:spacing w:after="60" w:line="276"/>
        <w:ind w:left="240"/>
      </w:pPr>
      <w:r>
        <w:rPr>
          <w:color w:val="5A6069"/>
          <w:sz w:val="16"/>
          <w:szCs w:val="16"/>
        </w:rPr>
        <w:t xml:space="preserve">Sources: NANETS 2020 surgical; ENETS 2023 NEC</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Treat the Ki-67 55% split as a prompt for discussion rather than a decision rule - it is not independently prognostic in the study that produced it.</w:t>
      </w:r>
    </w:p>
    <w:p>
      <w:pPr>
        <w:spacing w:after="50" w:line="276"/>
        <w:ind w:left="240"/>
      </w:pPr>
      <w:r>
        <w:rPr>
          <w:color w:val="15181F"/>
          <w:sz w:val="18"/>
          <w:szCs w:val="18"/>
        </w:rPr>
        <w:t xml:space="preserve">NCCN offers neoadjuvant systemic therapy case by case where the Ki-67 is 55% or above. The cut point comes from 305 patients with advanced gastrointestinal neuroendocrine carcinoma at twelve Nordic centres, in whom the first-line response rate to platinum was 15% below 55% against 42% at or above it (p&lt;0.001). Platinum schedule made no difference to response or survival, small-cell and non-small-cell morphology made no difference either (median survival 12 against 11 months), and later lines retained activity - second-line response 18%, third-line 7%, platinum reintroduction after a break 15%.</w:t>
      </w:r>
    </w:p>
    <w:p>
      <w:pPr>
        <w:spacing w:after="50"/>
        <w:ind w:left="240"/>
      </w:pPr>
      <w:r>
        <w:rPr>
          <w:b/>
          <w:bCs/>
          <w:color w:val="8C2F26"/>
          <w:sz w:val="18"/>
          <w:szCs w:val="18"/>
        </w:rPr>
        <w:t xml:space="preserve">Caveat. </w:t>
      </w:r>
      <w:r>
        <w:rPr>
          <w:color w:val="15181F"/>
          <w:sz w:val="18"/>
          <w:szCs w:val="18"/>
        </w:rPr>
        <w:t xml:space="preserve">Do not use 55% to decide an operation. The cut point was derived by receiver-operating-characteristic analysis in 42 randomly selected patients and then applied to the rest of the same cohort with no external validation; median survival was longer below it, not above it (14 against 10 months, p&lt;0.001, with 30-month survival 23% against 7%); and it dropped out of both the full and the final multivariable models because of its strong association with primary site, so the paper's signature marker is not independently prognostic in its own analysis - a point the abstract does not convey. Ki-67 was read by many pathologists in several countries with no central review, and response was assessed by RECIST 1.0 from radiological reports rather than from measured target lesions. The regression producing the final model ran on 170 of 252 chemotherapy patients.</w:t>
      </w:r>
    </w:p>
    <w:p>
      <w:pPr>
        <w:spacing w:after="50" w:line="276"/>
        <w:ind w:left="240"/>
      </w:pPr>
      <w:r>
        <w:rPr>
          <w:i/>
          <w:iCs/>
          <w:color w:val="5A6069"/>
          <w:sz w:val="17"/>
          <w:szCs w:val="17"/>
        </w:rPr>
        <w:t xml:space="preserve">What the model did retain was performance status (PS 0 odds ratio 0.24, 0.14-0.42, p&lt;0.001), primary tumour site (p=0.007), platelets below 400 x 10^9 (0.47, 0.31-0.72) and a normal lactate dehydrogenase (0.50, 0.32-0.78). See approval 6.</w:t>
      </w:r>
    </w:p>
    <w:p>
      <w:pPr>
        <w:spacing w:after="60" w:line="276"/>
        <w:ind w:left="240"/>
      </w:pPr>
      <w:r>
        <w:rPr>
          <w:color w:val="5A6069"/>
          <w:sz w:val="16"/>
          <w:szCs w:val="16"/>
        </w:rPr>
        <w:t xml:space="preserve">Sources: NORDIC NEC; NANETS 2020 surgical</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In a mixed neuroendocrine–non-neuroendocrine neoplasm, have each component diagnosed and graded, and stage by the non-neuroendocrine counterpart.</w:t>
      </w:r>
    </w:p>
    <w:p>
      <w:pPr>
        <w:spacing w:after="50" w:line="276"/>
        <w:ind w:left="240"/>
      </w:pPr>
      <w:r>
        <w:rPr>
          <w:color w:val="15181F"/>
          <w:sz w:val="18"/>
          <w:szCs w:val="18"/>
        </w:rPr>
        <w:t xml:space="preserve">NCCN requires each component to be diagnosed and graded separately where the smaller component is at least 30% of the tumour mass. Extrapulmonary carcinomas, including these mixed neoplasms, are staged according to the organ-specific criteria for their non-neuroendocrine counterpart — for the pancreas, that means adenocarcinoma staging.</w:t>
      </w:r>
    </w:p>
    <w:p>
      <w:pPr>
        <w:spacing w:after="50"/>
        <w:ind w:left="240"/>
      </w:pPr>
      <w:r>
        <w:rPr>
          <w:b/>
          <w:bCs/>
          <w:color w:val="8C2F26"/>
          <w:sz w:val="18"/>
          <w:szCs w:val="18"/>
        </w:rPr>
        <w:t xml:space="preserve">Caveat. </w:t>
      </w:r>
      <w:r>
        <w:rPr>
          <w:color w:val="15181F"/>
          <w:sz w:val="18"/>
          <w:szCs w:val="18"/>
        </w:rPr>
        <w:t xml:space="preserve">There is no pathway for this entity. NCCN calls management controversial and notes that chemotherapy regimens directed at the non-neuroendocrine component may be considered. Do not pretend a decision rule exists.</w:t>
      </w:r>
    </w:p>
    <w:p>
      <w:pPr>
        <w:spacing w:after="60" w:line="276"/>
        <w:ind w:left="240"/>
      </w:pPr>
      <w:r>
        <w:rPr>
          <w:color w:val="5A6069"/>
          <w:sz w:val="16"/>
          <w:szCs w:val="16"/>
        </w:rPr>
        <w:t xml:space="preserve">Sources: NANETS 2020 surgical</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route a high-grade tumour to a pathway on the Ki-67 alone.</w:t>
      </w:r>
    </w:p>
    <w:p>
      <w:pPr>
        <w:spacing w:after="50" w:line="276"/>
        <w:ind w:left="240"/>
      </w:pPr>
      <w:r>
        <w:rPr>
          <w:color w:val="15181F"/>
          <w:sz w:val="18"/>
          <w:szCs w:val="18"/>
        </w:rPr>
        <w:t xml:space="preserve">Differentiation first, then grade. NCCN says it in the plainest terms available: not all high-grade neoplasms with Ki-67 above 20% are poorly differentiated.</w:t>
      </w:r>
    </w:p>
    <w:p>
      <w:pPr>
        <w:spacing w:after="50"/>
        <w:ind w:left="240"/>
      </w:pPr>
      <w:r>
        <w:rPr>
          <w:b/>
          <w:bCs/>
          <w:color w:val="8C2F26"/>
          <w:sz w:val="18"/>
          <w:szCs w:val="18"/>
        </w:rPr>
        <w:t xml:space="preserve">Caveat. </w:t>
      </w:r>
      <w:r>
        <w:rPr>
          <w:color w:val="15181F"/>
          <w:sz w:val="18"/>
          <w:szCs w:val="18"/>
        </w:rPr>
        <w:t xml:space="preserve">Treating a well-differentiated G3 tumour as a small-cell carcinoma costs a patient a potentially curative operation - median disease-specific survival in well-differentiated tumours with a morphologically apparent high-grade component was 55 months (range 16-119), with 2-year and 5-year survival 88-89% and 48-49%, against 16 months and 24% and 24% for true pancreatic poorly differentiated carcinoma. Treating a carcinoma as a NET costs weeks that patient does not have. NCCN's own statement is that advanced carcinoma patients should be considered for chemotherapy without delay.</w:t>
      </w:r>
    </w:p>
    <w:p>
      <w:pPr>
        <w:spacing w:after="50" w:line="276"/>
        <w:ind w:left="240"/>
      </w:pPr>
      <w:r>
        <w:rPr>
          <w:i/>
          <w:iCs/>
          <w:color w:val="5A6069"/>
          <w:sz w:val="17"/>
          <w:szCs w:val="17"/>
        </w:rPr>
        <w:t xml:space="preserve">Two cautions from the full-text read. First, the 55-against-16-month contrast is unmatched: once stage IV was matched, pancreatic grade 1-2 tumours and those with a high-grade component did not differ significantly in disease-specific survival, and both did far better than poorly differentiated carcinoma (median 61 against 16 months, p&lt;0.001), which is the result most corrosive to a sharp prognostic split between the first two. The first draft of this page gave 11 months for the carcinoma comparator; the paper's figure is 16. Second, the Ki-67 55% cut point NCCN uses is not independently prognostic in its own derivation study - see the reasonable-alternative item above and approval 6.</w:t>
      </w:r>
    </w:p>
    <w:p>
      <w:pPr>
        <w:spacing w:after="60" w:line="276"/>
        <w:ind w:left="240"/>
      </w:pPr>
      <w:r>
        <w:rPr>
          <w:color w:val="5A6069"/>
          <w:sz w:val="16"/>
          <w:szCs w:val="16"/>
        </w:rPr>
        <w:t xml:space="preserve">Sources: Tang 2016; NANETS 2020 surgical; NORDIC NEC</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give adjuvant systemic therapy after resection of a high-grade tumour outside a trial.</w:t>
      </w:r>
    </w:p>
    <w:p>
      <w:pPr>
        <w:spacing w:after="50" w:line="276"/>
        <w:ind w:left="240"/>
      </w:pPr>
      <w:r>
        <w:rPr>
          <w:color w:val="15181F"/>
          <w:sz w:val="18"/>
          <w:szCs w:val="18"/>
        </w:rPr>
        <w:t xml:space="preserve">Enrol in a clinical trial. NCCN states there is no role for adjuvant therapy outside one and asks for trial enrolment to be considered.</w:t>
      </w:r>
    </w:p>
    <w:p>
      <w:pPr>
        <w:spacing w:after="50"/>
        <w:ind w:left="240"/>
      </w:pPr>
      <w:r>
        <w:rPr>
          <w:b/>
          <w:bCs/>
          <w:color w:val="8C2F26"/>
          <w:sz w:val="18"/>
          <w:szCs w:val="18"/>
        </w:rPr>
        <w:t xml:space="preserve">Caveat. </w:t>
      </w:r>
      <w:r>
        <w:rPr>
          <w:color w:val="15181F"/>
          <w:sz w:val="18"/>
          <w:szCs w:val="18"/>
        </w:rPr>
        <w:t xml:space="preserve">The temptation is strong because relapse is near-universal, but nothing establishes benefit, and the only comparative data in this disease — propensity-matched NCDB — found worse survival in the adjuvant group (P=0.037).</w:t>
      </w:r>
    </w:p>
    <w:p>
      <w:pPr>
        <w:spacing w:after="60" w:line="276"/>
        <w:ind w:left="240"/>
      </w:pPr>
      <w:r>
        <w:rPr>
          <w:color w:val="5A6069"/>
          <w:sz w:val="16"/>
          <w:szCs w:val="16"/>
        </w:rPr>
        <w:t xml:space="preserve">Sources: NANETS 2020 surgical</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9 · After resection, and where this page ends</w:t>
      </w:r>
    </w:p>
    <w:p>
      <w:pPr>
        <w:spacing w:after="140"/>
      </w:pPr>
      <w:r>
        <w:rPr>
          <w:b/>
          <w:bCs/>
          <w:color w:val="176A87"/>
          <w:sz w:val="19"/>
          <w:szCs w:val="19"/>
        </w:rPr>
        <w:t xml:space="preserve">The question. </w:t>
      </w:r>
      <w:r>
        <w:rPr>
          <w:sz w:val="19"/>
          <w:szCs w:val="19"/>
        </w:rPr>
        <w:t xml:space="preserve">What am I scanning for, how often, for how long, and what do I do the day a liver lesion appears?</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A completely resected primary tumour</w:t>
      </w:r>
    </w:p>
    <w:p>
      <w:pPr>
        <w:pStyle w:val="ListParagraph"/>
        <w:numPr>
          <w:ilvl w:val="0"/>
          <w:numId w:val="2"/>
        </w:numPr>
        <w:spacing w:after="60" w:line="268"/>
      </w:pPr>
      <w:r>
        <w:rPr>
          <w:color w:val="15181F"/>
          <w:sz w:val="18"/>
          <w:szCs w:val="18"/>
        </w:rPr>
        <w:t xml:space="preserve">An observed tumour being followed on the same schedule</w:t>
      </w:r>
    </w:p>
    <w:p>
      <w:pPr>
        <w:pStyle w:val="ListParagraph"/>
        <w:numPr>
          <w:ilvl w:val="0"/>
          <w:numId w:val="2"/>
        </w:numPr>
        <w:spacing w:after="60" w:line="268"/>
      </w:pPr>
      <w:r>
        <w:rPr>
          <w:color w:val="15181F"/>
          <w:sz w:val="18"/>
          <w:szCs w:val="18"/>
        </w:rPr>
        <w:t xml:space="preserve">Grade, nodal status and perineural invasion known from the specimen</w:t>
      </w:r>
    </w:p>
    <w:p>
      <w:pPr>
        <w:pStyle w:val="ListParagraph"/>
        <w:numPr>
          <w:ilvl w:val="0"/>
          <w:numId w:val="2"/>
        </w:numPr>
        <w:spacing w:after="60" w:line="268"/>
      </w:pPr>
      <w:r>
        <w:rPr>
          <w:color w:val="15181F"/>
          <w:sz w:val="18"/>
          <w:szCs w:val="18"/>
        </w:rPr>
        <w:t xml:space="preserve">Functional syndrome status, for biochemical follow-up</w:t>
      </w:r>
    </w:p>
    <w:p>
      <w:pPr>
        <w:pStyle w:val="ListParagraph"/>
        <w:numPr>
          <w:ilvl w:val="0"/>
          <w:numId w:val="2"/>
        </w:numPr>
        <w:spacing w:after="60" w:line="268"/>
      </w:pPr>
      <w:r>
        <w:rPr>
          <w:color w:val="15181F"/>
          <w:sz w:val="18"/>
          <w:szCs w:val="18"/>
        </w:rPr>
        <w:t xml:space="preserve">Recurrence found — local, pancreatic remnant, or hepatic</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There is no established adjuvant therapy after resection of a pancreatic neuroendocrine tumour — say so rather than offering something.</w:t>
      </w:r>
    </w:p>
    <w:p>
      <w:pPr>
        <w:spacing w:after="50" w:line="276"/>
        <w:ind w:left="240"/>
      </w:pPr>
      <w:r>
        <w:rPr>
          <w:color w:val="15181F"/>
          <w:sz w:val="18"/>
          <w:szCs w:val="18"/>
        </w:rPr>
        <w:t xml:space="preserve">Every resected patient. NCCN states flatly that there is no known role for systemic treatment in the adjuvant setting, and repeats it on the grade 1–2 and grade 3 pages. A randomised trial of chemotherapy after resection is ongoing (NCT05040360) and is the right place for a patient who wants treatment.</w:t>
      </w:r>
    </w:p>
    <w:p>
      <w:pPr>
        <w:spacing w:after="50"/>
        <w:ind w:left="240"/>
      </w:pPr>
      <w:r>
        <w:rPr>
          <w:b/>
          <w:bCs/>
          <w:color w:val="8C2F26"/>
          <w:sz w:val="18"/>
          <w:szCs w:val="18"/>
        </w:rPr>
        <w:t xml:space="preserve">Caveat. </w:t>
      </w:r>
      <w:r>
        <w:rPr>
          <w:color w:val="15181F"/>
          <w:sz w:val="18"/>
          <w:szCs w:val="18"/>
        </w:rPr>
        <w:t xml:space="preserve">Do not improvise. The only comparative data are a propensity-matched NCDB analysis of 301 patients receiving perioperative systemic therapy against 301 having surgery alone, in which the adjuvant group did worse (P=0.037) - a result that is almost certainly selection rather than harm, since the agents were not recorded, but which does not support treating. That analysis is quoted from the NANETS and NCCN text and is not in this page's full-text depot.</w:t>
      </w:r>
    </w:p>
    <w:p>
      <w:pPr>
        <w:spacing w:after="50" w:line="276"/>
        <w:ind w:left="240"/>
      </w:pPr>
      <w:r>
        <w:rPr>
          <w:i/>
          <w:iCs/>
          <w:color w:val="5A6069"/>
          <w:sz w:val="17"/>
          <w:szCs w:val="17"/>
        </w:rPr>
        <w:t xml:space="preserve">Somatostatin analogues are not adjuvant therapy. Their antiproliferative evidence is in advanced disease, the only prospective study in small tumours is in MEN1 and was not randomised (see gate 7), and ENETS states plainly that no evidence supports somatostatin analogues for controlling the progression of a small nonfunctioning tumour under surveillance.</w:t>
      </w:r>
    </w:p>
    <w:p>
      <w:pPr>
        <w:spacing w:after="60" w:line="276"/>
        <w:ind w:left="240"/>
      </w:pPr>
      <w:r>
        <w:rPr>
          <w:color w:val="5A6069"/>
          <w:sz w:val="16"/>
          <w:szCs w:val="16"/>
        </w:rPr>
        <w:t xml:space="preserve">Sources: NANETS 2020 surgical; ENETS 2023 NF-PanNET</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Follow the schedule: imaging at 12 weeks to 12 months, then every 6 to 12 months to a maximum of 10 years, then as clinically indicated.</w:t>
      </w:r>
    </w:p>
    <w:p>
      <w:pPr>
        <w:spacing w:after="50" w:line="276"/>
        <w:ind w:left="240"/>
      </w:pPr>
      <w:r>
        <w:rPr>
          <w:color w:val="15181F"/>
          <w:sz w:val="18"/>
          <w:szCs w:val="18"/>
        </w:rPr>
        <w:t xml:space="preserve">History and examination, multiphasic abdomen with or without pelvis CT or MRI, chest CT as clinically indicated, and biochemical markers for functional tumours as clinically indicated. Earlier if symptoms. Use the same modality and contrast agent each time. For high-grade disease the interval is shorter: every 12 to 24 weeks for 2 years, then every 6 to 12 months for up to 10 years depending on biology and Ki-67.</w:t>
      </w:r>
    </w:p>
    <w:p>
      <w:pPr>
        <w:spacing w:after="50"/>
        <w:ind w:left="240"/>
      </w:pPr>
      <w:r>
        <w:rPr>
          <w:b/>
          <w:bCs/>
          <w:color w:val="8C2F26"/>
          <w:sz w:val="18"/>
          <w:szCs w:val="18"/>
        </w:rPr>
        <w:t xml:space="preserve">Caveat. </w:t>
      </w:r>
      <w:r>
        <w:rPr>
          <w:color w:val="15181F"/>
          <w:sz w:val="18"/>
          <w:szCs w:val="18"/>
        </w:rPr>
        <w:t xml:space="preserve">Receptor-based imaging and FDG-PET are not recommended for routine surveillance. Do not stop at 5 years in a G2 or node-positive patient: recurrences appear at a median of 5.1 years after resection of small tumours in the matched case-control series, at a median of 43 months in the three-centre European cohort of G1-G2 non-functional tumours, and at a median of 7.2 years for pancreatic primaries in the Ontario population cohort behind the published follow-up recommendations, where cumulative recurrence reached 33.5% at 5 years and 48.5% at 10. Ten-year overall survival after resection is 37.7% across the whole resected National Cancer Data Base population. ENETS tells patients to expect at least 20 years of surveillance and possibly lifelong. The tail of this disease is long.</w:t>
      </w:r>
    </w:p>
    <w:p>
      <w:pPr>
        <w:spacing w:after="50" w:line="276"/>
        <w:ind w:left="240"/>
      </w:pPr>
      <w:r>
        <w:rPr>
          <w:i/>
          <w:iCs/>
          <w:color w:val="5A6069"/>
          <w:sz w:val="17"/>
          <w:szCs w:val="17"/>
        </w:rPr>
        <w:t xml:space="preserve">This schedule is consensus, not trial-derived, and the three consensus sources disagree with one another. NCCN starts at 12 weeks to 12 months and runs to a maximum of 10 years. ENETS 2023 starts at 3 to 6 months with a somatostatin-receptor PET, then every 6 to 12 months for 5 years, every 12 to 24 months to 10 years and then every 5 years, at level 5 evidence graded B - an inversion the GRADE framework it claims to follow would not permit. The RAND/UCLA follow-up recommendations for completely resected gastroenteropancreatic tumours deliberately de-intensify the first three years - yearly imaging for 3 years, then every 1 to 2 years to 10, with the decision to continue or stop discussed with the patient at 10 - while extending beyond 10, and exempt a grade 1, node-negative pancreatic tumour under 2 cm from follow-up altogether. That exemption came from a 22-member panel at a 75% agreement threshold, over an evidence base of 6 eligible studies plus two then-unpublished cohorts that carried no grade, stage or margin data - the very variables the recommendations stratify on. It is not adopted here. All three agree on one thing: no serum or urine biomarker has a routine role, and an isolated rise in chromogranin A is not an indication to change treatment without radiological progression. See approval 13.</w:t>
      </w:r>
    </w:p>
    <w:p>
      <w:pPr>
        <w:spacing w:after="60" w:line="276"/>
        <w:ind w:left="240"/>
      </w:pPr>
      <w:r>
        <w:rPr>
          <w:color w:val="5A6069"/>
          <w:sz w:val="16"/>
          <w:szCs w:val="16"/>
        </w:rPr>
        <w:t xml:space="preserve">Sources: Singh 2018 follow-up; NANETS 2020 surgical; ENETS 2023 NF-PanNET</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Risk-stratify the surveillance intensity on grade, nodal status and perineural invasion rather than on size.</w:t>
      </w:r>
    </w:p>
    <w:p>
      <w:pPr>
        <w:spacing w:after="50" w:line="276"/>
        <w:ind w:left="240"/>
      </w:pPr>
      <w:r>
        <w:rPr>
          <w:color w:val="15181F"/>
          <w:sz w:val="18"/>
          <w:szCs w:val="18"/>
        </w:rPr>
        <w:t xml:space="preserve">In 211 curatively resected G1 and G2 non-functional tumours at three high-volume European centres, followed a median of 51 months, 35 (17%) recurred at a median of 43 months (IQR 23-62), 91% within 5 years and 69% in the pancreatic remnant; 5- and 10-year disease-specific survival were 98% and 84% and overall survival 91% and 68%. The independent predictors of recurrence within 5 years were grade 2 (HR 4.07, 95% CI 1.87-8.84, p&lt;0.001), lymph node metastasis (HR 2.44, 1.17-5.09, p=0.017) and perineural invasion (HR 2.38, 1.11-5.10, p=0.026), and the resulting score discriminated well internally (Harrell c-statistic 0.81, 95% CI 0.75-0.87) and calibrated adequately (Hosmer-Lemeshow chi-square 11.25, p=0.258). Of 107 patients with none of the three factors, 2 recurred.</w:t>
      </w:r>
    </w:p>
    <w:p>
      <w:pPr>
        <w:spacing w:after="50"/>
        <w:ind w:left="240"/>
      </w:pPr>
      <w:r>
        <w:rPr>
          <w:b/>
          <w:bCs/>
          <w:color w:val="8C2F26"/>
          <w:sz w:val="18"/>
          <w:szCs w:val="18"/>
        </w:rPr>
        <w:t xml:space="preserve">Caveat. </w:t>
      </w:r>
      <w:r>
        <w:rPr>
          <w:color w:val="15181F"/>
          <w:sz w:val="18"/>
          <w:szCs w:val="18"/>
        </w:rPr>
        <w:t xml:space="preserve">Grade D on the full-text read, and the score has not been shown to add to grading: WHO grade alone gave a c-statistic of 0.72 (0.64-0.79) and the difference between the two was p=0.059, so by the paper's own test it is not better than grade. Its cut-off of 24 was selected by receiver-operating-characteristic analysis in the same data by both Youden index and log-rank, so 91% sensitivity is optimistic by construction and 62% specificity does not discriminate clinically. External validation was still ongoing at publication and the authors chose to publish without it. All three components are postoperative findings, so the instrument cannot inform whether to operate, only how often to scan afterwards. Imaging intensity during follow-up was explicitly keyed to chromogranin A, grade and nodal status, so the score's predictors also predicted the chance of detecting a recurrence - a surveillance bias the authors note and do not adjust for. The cohort excluded MEN1, VHL, grade 3 and all metastatic disease, so the 17% recurrence rate and the 2-of-107 figure apply to a cleaner population than clinic presents. In the sub-2 cm subgroup, which is what any size threshold needs, there were 4 recurrence events in 84 patients and the univariable hazard ratios span two orders of magnitude (perineural invasion 30.7, 95% CI 3.19-295.74); no multivariable model was possible and none should be inferred. The work was funded by Ipsen and its stated purpose is to identify high-risk patients for future adjuvant therapy trials.</w:t>
      </w:r>
    </w:p>
    <w:p>
      <w:pPr>
        <w:spacing w:after="50" w:line="276"/>
        <w:ind w:left="240"/>
      </w:pPr>
      <w:r>
        <w:rPr>
          <w:i/>
          <w:iCs/>
          <w:color w:val="5A6069"/>
          <w:sz w:val="17"/>
          <w:szCs w:val="17"/>
        </w:rPr>
        <w:t xml:space="preserve">In MEN1 the remnant is the problem rather than the margin: local intrapancreatic recurrence unrelated to margin status is reported as high as 50%, so a MEN1 patient's surveillance is lifelong and is about new disease, not about this operation.</w:t>
      </w:r>
    </w:p>
    <w:p>
      <w:pPr>
        <w:spacing w:after="60" w:line="276"/>
        <w:ind w:left="240"/>
      </w:pPr>
      <w:r>
        <w:rPr>
          <w:color w:val="5A6069"/>
          <w:sz w:val="16"/>
          <w:szCs w:val="16"/>
        </w:rPr>
        <w:t xml:space="preserve">Sources: Genc recurrence score</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When hepatic metastases appear, this becomes the NELM pathway — hand the patient over by name and keep the pancreatic history with them.</w:t>
      </w:r>
    </w:p>
    <w:p>
      <w:pPr>
        <w:spacing w:after="50" w:line="276"/>
        <w:ind w:left="240"/>
      </w:pPr>
      <w:r>
        <w:rPr>
          <w:color w:val="15181F"/>
          <w:sz w:val="18"/>
          <w:szCs w:val="18"/>
        </w:rPr>
        <w:t xml:space="preserve">The NELM page is where hepatic burden and distribution, cytoreduction thresholds, liver-directed modality selection, systemic sequencing, carcinoid-crisis precautions and the transplant question live. Two facts from this page travel with the patient and change what that page can offer: whether a pancreatoduodenectomy has been done, because liver-directed therapy afterwards carries an increased risk of cholangitis and liver abscess; and whether a cholecystectomy was performed, because long-term somatostatin analogue therapy raises the risk of biliary symptoms and cholecystitis.</w:t>
      </w:r>
    </w:p>
    <w:p>
      <w:pPr>
        <w:spacing w:after="50"/>
        <w:ind w:left="240"/>
      </w:pPr>
      <w:r>
        <w:rPr>
          <w:b/>
          <w:bCs/>
          <w:color w:val="8C2F26"/>
          <w:sz w:val="18"/>
          <w:szCs w:val="18"/>
        </w:rPr>
        <w:t xml:space="preserve">Caveat. </w:t>
      </w:r>
      <w:r>
        <w:rPr>
          <w:color w:val="15181F"/>
          <w:sz w:val="18"/>
          <w:szCs w:val="18"/>
        </w:rPr>
        <w:t xml:space="preserve">Do not start systemic therapy for hepatic metastases on this page. Do not restage with a pancreas-only protocol. And do not let a transplant-relevant patient be committed to a pancreatic reoperation before the NELM page's transplant gate has been asked, since Milan-NET criteria require the primary to have been resected with all extrahepatic disease and a documented disease-free interval.</w:t>
      </w:r>
    </w:p>
    <w:p>
      <w:pPr>
        <w:spacing w:after="50" w:line="276"/>
        <w:ind w:left="240"/>
      </w:pPr>
      <w:r>
        <w:rPr>
          <w:i/>
          <w:iCs/>
          <w:color w:val="5A6069"/>
          <w:sz w:val="17"/>
          <w:szCs w:val="17"/>
        </w:rPr>
        <w:t xml:space="preserve">Resection of recurrent locoregional disease, an isolated distant metastasis, or a previously unresectable tumour that has regressed should be considered for selected patients with adequate performance status — that is NCCN's position and it is the one circumstance where this page and the NELM page are deciding the same operation together.</w:t>
      </w:r>
    </w:p>
    <w:p>
      <w:pPr>
        <w:spacing w:after="60" w:line="276"/>
        <w:ind w:left="240"/>
      </w:pPr>
      <w:r>
        <w:rPr>
          <w:color w:val="5A6069"/>
          <w:sz w:val="16"/>
          <w:szCs w:val="16"/>
        </w:rPr>
        <w:t xml:space="preserve">Sources: NANETS 2020 surgical</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Receptor PET has a defined place in follow-up, and it is not routine imaging.</w:t>
      </w:r>
    </w:p>
    <w:p>
      <w:pPr>
        <w:spacing w:after="50" w:line="276"/>
        <w:ind w:left="240"/>
      </w:pPr>
      <w:r>
        <w:rPr>
          <w:color w:val="15181F"/>
          <w:sz w:val="18"/>
          <w:szCs w:val="18"/>
        </w:rPr>
        <w:t xml:space="preserve">The appropriate-use indications NANETS reproduces are three: monitoring disease seen predominantly on receptor PET; restaging at clinical or biochemical progression without progression on conventional imaging; and a new indeterminate lesion on conventional imaging with unclear progression. Where disease is visible on both and conventional imaging is stable, intermittent PET every 2 to 3 years may help; where the tumour is readily seen on CT or MRI, receptor PET is not needed for monitoring.</w:t>
      </w:r>
    </w:p>
    <w:p>
      <w:pPr>
        <w:spacing w:after="50"/>
        <w:ind w:left="240"/>
      </w:pPr>
      <w:r>
        <w:rPr>
          <w:b/>
          <w:bCs/>
          <w:color w:val="8C2F26"/>
          <w:sz w:val="18"/>
          <w:szCs w:val="18"/>
        </w:rPr>
        <w:t xml:space="preserve">Caveat. </w:t>
      </w:r>
      <w:r>
        <w:rPr>
          <w:color w:val="15181F"/>
          <w:sz w:val="18"/>
          <w:szCs w:val="18"/>
        </w:rPr>
        <w:t xml:space="preserve">The supporting evidence is thin and mostly expert opinion. NANETS reports that in 63 patients imaged after resection sensitivity and specificity for recurrence were 92% and 80%, and that in a 143-patient multicentre follow-up cohort receptor imaging detected 75.8% (132 of 174) of new lesions and 29.3% (51 of 174) that CT had missed, being judged useful in 73.4% of patients - but "useful" was defined as changing a subsequent action, not as changing an outcome, and neither series is in this page's full-text depot. The SNMMI/EANM procedure standard, which is, gives no guidance at all on whether or how to use receptor PET in a small pancreatic lesion under surveillance, and warns that an increase or decrease in lesional uptake must not be taken as an indicator of response or progression the way it would be with other radiotracers - which removes the obvious use. The standard also carries no systematic review, no evidence grading and no strength-of-recommendation scheme, so a prospective trial and a package insert carry equal weight in it.</w:t>
      </w:r>
    </w:p>
    <w:p>
      <w:pPr>
        <w:spacing w:after="60" w:line="276"/>
        <w:ind w:left="240"/>
      </w:pPr>
      <w:r>
        <w:rPr>
          <w:color w:val="5A6069"/>
          <w:sz w:val="16"/>
          <w:szCs w:val="16"/>
        </w:rPr>
        <w:t xml:space="preserve">Sources: NANETS 2020 surgical; SNMMI/EANM SSTR PET</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Manage the sequelae of the operation as part of follow-up, not as someone else's problem.</w:t>
      </w:r>
    </w:p>
    <w:p>
      <w:pPr>
        <w:spacing w:after="50" w:line="276"/>
        <w:ind w:left="240"/>
      </w:pPr>
      <w:r>
        <w:rPr>
          <w:color w:val="15181F"/>
          <w:sz w:val="18"/>
          <w:szCs w:val="18"/>
        </w:rPr>
        <w:t xml:space="preserve">New endocrine and exocrine insufficiency is the commonest durable harm of this pathway and it is measurable. In a random-effects meta-analysis of 22 observational comparative studies (1,148 patients: 432 enucleations against 716 standard resections), enucleation gave less endocrine insufficiency (risk difference -0.08, 95% CI -0.12 to -0.04, p&lt;0.001, I-squared 0%) and less exocrine insufficiency (-0.17, -0.31 to -0.04, p=0.01, I-squared 86%). NANETS adds that after central pancreatectomy endocrine and exocrine insufficiency rates were 4% and 5% against 24% and 17% after distal pancreatectomy and 17% and 29% after pancreatoduodenectomy. Screen for both, and for pancreatic exocrine deficiency in anyone on long-term analogue therapy. ENETS adds the late iatrogenic harms to screen for after systemic treatment: renal dysfunction after streptozotocin or peptide receptor radionuclide therapy, heart failure after sunitinib or doxorubicin, and marrow effects after radionuclide therapy or alkylating agents.</w:t>
      </w:r>
    </w:p>
    <w:p>
      <w:pPr>
        <w:spacing w:after="50"/>
        <w:ind w:left="240"/>
      </w:pPr>
      <w:r>
        <w:rPr>
          <w:b/>
          <w:bCs/>
          <w:color w:val="8C2F26"/>
          <w:sz w:val="18"/>
          <w:szCs w:val="18"/>
        </w:rPr>
        <w:t xml:space="preserve">Caveat. </w:t>
      </w:r>
      <w:r>
        <w:rPr>
          <w:color w:val="15181F"/>
          <w:sz w:val="18"/>
          <w:szCs w:val="18"/>
        </w:rPr>
        <w:t xml:space="preserve">Do not count a resection a success on imaging alone in a patient who now has diabetes they did not have, for a tumour that might have been observed. And do not read the functional advantage as an effect of the operation alone: the review concedes it cannot tell whether the standard-resection patients were ever enucleation candidates, the indications pooled are insulinoma, non-functioning tumours, serous and mucinous cystadenoma, IPMN and chronic pancreatitis, mean methodological quality was 13 of a possible 27, only one of the 22 studies reported information on principal confounders, and the exocrine result carries I-squared 86% across 5 studies with no standardised definition or timing of assessment.</w:t>
      </w:r>
    </w:p>
    <w:p>
      <w:pPr>
        <w:spacing w:after="60" w:line="276"/>
        <w:ind w:left="240"/>
      </w:pPr>
      <w:r>
        <w:rPr>
          <w:color w:val="5A6069"/>
          <w:sz w:val="16"/>
          <w:szCs w:val="16"/>
        </w:rPr>
        <w:t xml:space="preserve">Sources: NANETS 2020 surgical; Hüttner 2015; ENETS 2023 NF-PanNET</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surveil an observed primary less carefully than a resected one.</w:t>
      </w:r>
    </w:p>
    <w:p>
      <w:pPr>
        <w:spacing w:after="50" w:line="276"/>
        <w:ind w:left="240"/>
      </w:pPr>
      <w:r>
        <w:rPr>
          <w:color w:val="15181F"/>
          <w:sz w:val="18"/>
          <w:szCs w:val="18"/>
        </w:rPr>
        <w:t xml:space="preserve">NCCN applies the same surveillance schedule to patients in whom observation was chosen. The whole safety case for observation rests on detecting growth, and the crossover rates in the published cohorts are the mechanism by which that case holds, or fails to: 26 of 104 (25%) over a median of 30 months in the matched case-control series, 9 of 406 (2%) over 25 months in ASPEN, and 6 of 76 (8%) over 17 months in PANDORA. Read each of them as the full text reports it. In the first, the crossovers stay in the observation arm by intention to treat, so part of that arm's clean record was bought with the operation the paper argues can be avoided. In PANDORA, six of the eight patients who met the protocol's own resection criterion refused the operation, so the protocol was never tested. And in ASPEN only 4 of 406 surveillance patients came to surgery for growth at all.</w:t>
      </w:r>
    </w:p>
    <w:p>
      <w:pPr>
        <w:spacing w:after="50"/>
        <w:ind w:left="240"/>
      </w:pPr>
      <w:r>
        <w:rPr>
          <w:b/>
          <w:bCs/>
          <w:color w:val="8C2F26"/>
          <w:sz w:val="18"/>
          <w:szCs w:val="18"/>
        </w:rPr>
        <w:t xml:space="preserve">Caveat. </w:t>
      </w:r>
      <w:r>
        <w:rPr>
          <w:color w:val="15181F"/>
          <w:sz w:val="18"/>
          <w:szCs w:val="18"/>
        </w:rPr>
        <w:t xml:space="preserve">An observed tumour with no owner and no interval is not being observed. This is the single most likely way for this pathway to fail a patient.</w:t>
      </w:r>
    </w:p>
    <w:p>
      <w:pPr>
        <w:spacing w:after="60" w:line="276"/>
        <w:ind w:left="240"/>
      </w:pPr>
      <w:r>
        <w:rPr>
          <w:color w:val="5A6069"/>
          <w:sz w:val="16"/>
          <w:szCs w:val="16"/>
        </w:rPr>
        <w:t xml:space="preserve">Sources: ASPEN interim; Sadot 2016; PANDORA</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use routine FDG-PET or receptor PET as a surveillance scan.</w:t>
      </w:r>
    </w:p>
    <w:p>
      <w:pPr>
        <w:spacing w:after="50" w:line="276"/>
        <w:ind w:left="240"/>
      </w:pPr>
      <w:r>
        <w:rPr>
          <w:color w:val="15181F"/>
          <w:sz w:val="18"/>
          <w:szCs w:val="18"/>
        </w:rPr>
        <w:t xml:space="preserve">Multiphasic CT or MRI on the schedule above, with the functional scans reserved for the three appropriate-use situations.</w:t>
      </w:r>
    </w:p>
    <w:p>
      <w:pPr>
        <w:spacing w:after="50"/>
        <w:ind w:left="240"/>
      </w:pPr>
      <w:r>
        <w:rPr>
          <w:b/>
          <w:bCs/>
          <w:color w:val="8C2F26"/>
          <w:sz w:val="18"/>
          <w:szCs w:val="18"/>
        </w:rPr>
        <w:t xml:space="preserve">Caveat. </w:t>
      </w:r>
      <w:r>
        <w:rPr>
          <w:color w:val="15181F"/>
          <w:sz w:val="18"/>
          <w:szCs w:val="18"/>
        </w:rPr>
        <w:t xml:space="preserve">NCCN states that receptor-based imaging and FDG-PET are not recommended for routine surveillance. Receptor PET also has not been shown to add significantly to conventional imaging for assessing response to peptide receptor radionuclide therapy.</w:t>
      </w:r>
    </w:p>
    <w:p>
      <w:pPr>
        <w:spacing w:after="60" w:line="276"/>
        <w:ind w:left="240"/>
      </w:pPr>
      <w:r>
        <w:rPr>
          <w:color w:val="5A6069"/>
          <w:sz w:val="16"/>
          <w:szCs w:val="16"/>
        </w:rPr>
        <w:t xml:space="preserve">Sources: NANETS 2020 surgical</w:t>
      </w:r>
    </w:p>
    <w:p>
      <w:pPr>
        <w:pBdr>
          <w:bottom w:val="single" w:color="D3DCE4" w:sz="6" w:space="1"/>
        </w:pBdr>
        <w:spacing w:after="80"/>
      </w:pPr>
    </w:p>
    <w:p>
      <w:pPr>
        <w:pStyle w:val="Heading1"/>
        <w:keepNext/>
        <w:pageBreakBefore/>
        <w:spacing w:after="110" w:before="320"/>
      </w:pPr>
      <w:r>
        <w:rPr>
          <w:rFonts w:ascii="Cambria" w:cs="Cambria" w:eastAsia="Cambria" w:hAnsi="Cambria"/>
          <w:b/>
          <w:bCs/>
          <w:color w:val="17365D"/>
          <w:sz w:val="32"/>
          <w:szCs w:val="32"/>
        </w:rPr>
        <w:t xml:space="preserve">Quick reference</w:t>
      </w:r>
    </w:p>
    <w:p>
      <w:pPr>
        <w:pStyle w:val="Heading3"/>
        <w:keepNext/>
        <w:spacing w:after="110" w:before="240"/>
      </w:pPr>
      <w:r>
        <w:rPr>
          <w:rFonts w:ascii="Cambria" w:cs="Cambria" w:eastAsia="Cambria" w:hAnsi="Cambria"/>
          <w:b/>
          <w:bCs/>
          <w:color w:val="17365D"/>
          <w:sz w:val="22"/>
          <w:szCs w:val="22"/>
        </w:rPr>
        <w:t xml:space="preserve">WHO 2019 grade and the Ki-67 thresholds</w:t>
      </w:r>
    </w:p>
    <w:p>
      <w:pPr>
        <w:spacing w:after="120" w:line="276"/>
      </w:pPr>
      <w:r>
        <w:rPr>
          <w:i/>
          <w:iCs/>
          <w:color w:val="5A6069"/>
          <w:sz w:val="18"/>
          <w:szCs w:val="18"/>
        </w:rPr>
        <w:t xml:space="preserve">The classification that forks this pathway. Differentiation and grade are separate questions and both have to be answered.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NET, G1 — well differentiated</w:t>
            </w:r>
          </w:p>
        </w:tc>
        <w:tc>
          <w:tcPr>
            <w:tcW w:type="dxa" w:w="5260"/>
            <w:tcMar>
              <w:top w:type="dxa" w:w="70"/>
              <w:left w:type="dxa" w:w="110"/>
              <w:bottom w:type="dxa" w:w="70"/>
              <w:right w:type="dxa" w:w="110"/>
            </w:tcMar>
            <w:vAlign w:val="top"/>
          </w:tcPr>
          <w:p>
            <w:pPr>
              <w:spacing w:after="0" w:line="276"/>
            </w:pPr>
            <w:r>
              <w:rPr>
                <w:color w:val="15181F"/>
                <w:sz w:val="17"/>
                <w:szCs w:val="17"/>
              </w:rPr>
              <w:t xml:space="preserve">Under 2 mitoses/2 mm² and Ki-67 under 3%</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NET, G2 — well differentiated</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2 to 20 mitoses/2 mm² and/or Ki-67 3 to 20%</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NET, G3 — well differentiated</w:t>
            </w:r>
          </w:p>
        </w:tc>
        <w:tc>
          <w:tcPr>
            <w:tcW w:type="dxa" w:w="5260"/>
            <w:tcMar>
              <w:top w:type="dxa" w:w="70"/>
              <w:left w:type="dxa" w:w="110"/>
              <w:bottom w:type="dxa" w:w="70"/>
              <w:right w:type="dxa" w:w="110"/>
            </w:tcMar>
            <w:vAlign w:val="top"/>
          </w:tcPr>
          <w:p>
            <w:pPr>
              <w:spacing w:after="0" w:line="276"/>
            </w:pPr>
            <w:r>
              <w:rPr>
                <w:color w:val="15181F"/>
                <w:sz w:val="17"/>
                <w:szCs w:val="17"/>
              </w:rPr>
              <w:t xml:space="preserve">Over 20 mitoses/2 mm² and/or Ki-67 over 20%</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Small-cell carcinoma (SCNEC) — poorly differentiated</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Over 20 mitoses/2 mm², Ki-67 over 20%; not formally graded, high grade by definition</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Large-cell carcinoma (LCNEC) — poorly differentiated</w:t>
            </w:r>
          </w:p>
        </w:tc>
        <w:tc>
          <w:tcPr>
            <w:tcW w:type="dxa" w:w="5260"/>
            <w:tcMar>
              <w:top w:type="dxa" w:w="70"/>
              <w:left w:type="dxa" w:w="110"/>
              <w:bottom w:type="dxa" w:w="70"/>
              <w:right w:type="dxa" w:w="110"/>
            </w:tcMar>
            <w:vAlign w:val="top"/>
          </w:tcPr>
          <w:p>
            <w:pPr>
              <w:spacing w:after="0" w:line="276"/>
            </w:pPr>
            <w:r>
              <w:rPr>
                <w:color w:val="15181F"/>
                <w:sz w:val="17"/>
                <w:szCs w:val="17"/>
              </w:rPr>
              <w:t xml:space="preserve">Over 20 mitoses/2 mm², Ki-67 over 20%; not formally graded, high grade by definition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MiNEN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Variable; each component graded separately where the smaller is at least 30% of the mass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Ki-67 counting rule</w:t>
            </w:r>
          </w:p>
        </w:tc>
        <w:tc>
          <w:tcPr>
            <w:tcW w:type="dxa" w:w="5260"/>
            <w:tcMar>
              <w:top w:type="dxa" w:w="70"/>
              <w:left w:type="dxa" w:w="110"/>
              <w:bottom w:type="dxa" w:w="70"/>
              <w:right w:type="dxa" w:w="110"/>
            </w:tcMar>
            <w:vAlign w:val="top"/>
          </w:tcPr>
          <w:p>
            <w:pPr>
              <w:spacing w:after="0" w:line="276"/>
            </w:pPr>
            <w:r>
              <w:rPr>
                <w:color w:val="15181F"/>
                <w:sz w:val="17"/>
                <w:szCs w:val="17"/>
              </w:rPr>
              <w:t xml:space="preserve">At least 500 cells in the hot spot of highest labelling; report the exact index, not a range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Mitotic counting rule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Per 2 mm² = 10 high-power fields at 40× with a 0.5 mm ocular field, counted in 50 fields of 0.2 mm²</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If the two indices disagree</w:t>
            </w:r>
          </w:p>
        </w:tc>
        <w:tc>
          <w:tcPr>
            <w:tcW w:type="dxa" w:w="5260"/>
            <w:tcMar>
              <w:top w:type="dxa" w:w="70"/>
              <w:left w:type="dxa" w:w="110"/>
              <w:bottom w:type="dxa" w:w="70"/>
              <w:right w:type="dxa" w:w="110"/>
            </w:tcMar>
            <w:vAlign w:val="top"/>
          </w:tcPr>
          <w:p>
            <w:pPr>
              <w:spacing w:after="0" w:line="276"/>
            </w:pPr>
            <w:r>
              <w:rPr>
                <w:color w:val="15181F"/>
                <w:sz w:val="17"/>
                <w:szCs w:val="17"/>
              </w:rPr>
              <w:t xml:space="preserve">Assign the higher grade</w:t>
            </w:r>
          </w:p>
        </w:tc>
      </w:tr>
    </w:tbl>
    <w:p>
      <w:pPr>
        <w:spacing w:after="200" w:line="276"/>
      </w:pPr>
      <w:r>
        <w:rPr>
          <w:i/>
          <w:iCs/>
          <w:color w:val="5A6069"/>
          <w:sz w:val="16"/>
          <w:szCs w:val="16"/>
        </w:rPr>
        <w:t xml:space="preserve">Not all high-grade neoplasms are poorly differentiated, and that distinction decides whether an operation is on the table at all. Well-differentiated tumours with a morphologically apparent high-grade component had median disease-specific survival of 55 months (range 16-119; 2-year 88-89%, 5-year 48-49%) against 162 months for institutional low and intermediate grade pancreatic tumours (97% and 90%) and 16 months for true pancreatic poorly differentiated carcinoma (24% and 24%), p&lt;0.001 - but once stage IV was matched, grade 1-2 tumours and those with a high-grade component did not differ significantly from each other. Genotype separates the carcinomas: Rb protein lost in 59% of them against 0% of well-differentiated tumours of any grade, abnormal p53 in 56% against 0%, and a DAXX, ATRX or MEN1 mutation in 0 of 28 carcinomas against 57% of low and intermediate grade tumours. Grade from a needle biopsy is a floor: agreement between EUS-FNA cytology and the resection specimen gave a kappa of 0.21 (p=0.09) in the primary study, with 10 of 14 histological G2 tumours (71%) called cytological G1 and histological Ki-67 averaging 1.3 times the cytological value; NANETS reports agreement under 50% for G2 and G3 and areas with Ki-67 of 2% or less common within G2 tumours; and the only prospective core-biopsy study found 83% concordance in 30 patients. Where differentiation is genuinely uncertain in a pancreatic neoplasm, NCCN lists Rb, p53, p16, ATRX and DAXX as an optional panel. Verify the table against the current WHO digestive system volume and the current NCCN pathology principles before use.</w:t>
      </w:r>
    </w:p>
    <w:p>
      <w:pPr>
        <w:pStyle w:val="Heading3"/>
        <w:keepNext/>
        <w:spacing w:after="110" w:before="240"/>
      </w:pPr>
      <w:r>
        <w:rPr>
          <w:rFonts w:ascii="Cambria" w:cs="Cambria" w:eastAsia="Cambria" w:hAnsi="Cambria"/>
          <w:b/>
          <w:bCs/>
          <w:color w:val="17365D"/>
          <w:sz w:val="22"/>
          <w:szCs w:val="22"/>
        </w:rPr>
        <w:t xml:space="preserve">The 2 cm threshold — who says what, and what is behind it</w:t>
      </w:r>
    </w:p>
    <w:p>
      <w:pPr>
        <w:spacing w:after="120" w:line="276"/>
      </w:pPr>
      <w:r>
        <w:rPr>
          <w:i/>
          <w:iCs/>
          <w:color w:val="5A6069"/>
          <w:sz w:val="18"/>
          <w:szCs w:val="18"/>
        </w:rPr>
        <w:t xml:space="preserve">For the small incidental nonfunctional tumour. Read the guideline column against the evidence column before quoting the number to a patient.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NCCN — algorithm</w:t>
            </w:r>
          </w:p>
        </w:tc>
        <w:tc>
          <w:tcPr>
            <w:tcW w:type="dxa" w:w="5260"/>
            <w:tcMar>
              <w:top w:type="dxa" w:w="70"/>
              <w:left w:type="dxa" w:w="110"/>
              <w:bottom w:type="dxa" w:w="70"/>
              <w:right w:type="dxa" w:w="110"/>
            </w:tcMar>
            <w:vAlign w:val="top"/>
          </w:tcPr>
          <w:p>
            <w:pPr>
              <w:spacing w:after="0" w:line="276"/>
            </w:pPr>
            <w:r>
              <w:rPr>
                <w:color w:val="15181F"/>
                <w:sz w:val="17"/>
                <w:szCs w:val="17"/>
              </w:rPr>
              <w:t xml:space="preserve">1 cm or less: observation. Over 1 to 2 cm: observation or pancreatectomy. Over 2 cm, invasive or node-positive: resection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NCCN — surgical principles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G1 under 2 cm can be safely observed and this is the recommended course; G2 should be considered for resection if patient factors allow</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ENETS 2023 (read in full)</w:t>
            </w:r>
          </w:p>
        </w:tc>
        <w:tc>
          <w:tcPr>
            <w:tcW w:type="dxa" w:w="5260"/>
            <w:tcMar>
              <w:top w:type="dxa" w:w="70"/>
              <w:left w:type="dxa" w:w="110"/>
              <w:bottom w:type="dxa" w:w="70"/>
              <w:right w:type="dxa" w:w="110"/>
            </w:tcMar>
            <w:vAlign w:val="top"/>
          </w:tcPr>
          <w:p>
            <w:pPr>
              <w:spacing w:after="0" w:line="276"/>
            </w:pPr>
            <w:r>
              <w:rPr>
                <w:color w:val="15181F"/>
                <w:sz w:val="17"/>
                <w:szCs w:val="17"/>
              </w:rPr>
              <w:t xml:space="preserve">1 cm or less without duct dilation: active surveillance. Above 1 cm to 2 cm without duct dilation: personalise to the resection required and comorbidities, no rule given. Above 2 cm, or any duct dilation: surgery strongly recommended. All three at level 3 evidence, grade B</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NANETS 2020</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Observation acceptable under 1 cm; the 1–2 cm decision individualised on age, comorbidity, growth, symptom risk, imaging, grade, extent of resection required, patient wishes and access to follow-up</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Delphi consensus (as reported by NANETS)</w:t>
            </w:r>
          </w:p>
        </w:tc>
        <w:tc>
          <w:tcPr>
            <w:tcW w:type="dxa" w:w="5260"/>
            <w:tcMar>
              <w:top w:type="dxa" w:w="70"/>
              <w:left w:type="dxa" w:w="110"/>
              <w:bottom w:type="dxa" w:w="70"/>
              <w:right w:type="dxa" w:w="110"/>
            </w:tcMar>
            <w:vAlign w:val="top"/>
          </w:tcPr>
          <w:p>
            <w:pPr>
              <w:spacing w:after="0" w:line="276"/>
            </w:pPr>
            <w:r>
              <w:rPr>
                <w:color w:val="15181F"/>
                <w:sz w:val="17"/>
                <w:szCs w:val="17"/>
              </w:rPr>
              <w:t xml:space="preserve">Consensus to observe under 1 cm and resect over 2 cm; no consensus for 1–2 cm</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ASPEN authors' own conclusion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Surveillance preferred up to 2 cm, but personalise above 1 cm, in young patients, and on measurable growth; surgery always mandatory with a dilated main pancreatic duct - asserted in the same paper that performed no comparison between the two strategies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MEN1 (NANETS; AACE 2025 abstract; 2025 best practice)</w:t>
            </w:r>
          </w:p>
        </w:tc>
        <w:tc>
          <w:tcPr>
            <w:tcW w:type="dxa" w:w="5260"/>
            <w:tcMar>
              <w:top w:type="dxa" w:w="70"/>
              <w:left w:type="dxa" w:w="110"/>
              <w:bottom w:type="dxa" w:w="70"/>
              <w:right w:type="dxa" w:w="110"/>
            </w:tcMar>
            <w:vAlign w:val="top"/>
          </w:tcPr>
          <w:p>
            <w:pPr>
              <w:spacing w:after="0" w:line="276"/>
            </w:pPr>
            <w:r>
              <w:rPr>
                <w:color w:val="15181F"/>
                <w:sz w:val="17"/>
                <w:szCs w:val="17"/>
              </w:rPr>
              <w:t xml:space="preserve">Observe nonfunctional tumours under 1-2 cm; resect above 20 mm or on significant growth; functional tumours resected regardless of size. The 2025 systematic review found no difference in metastasis or mortality between surgery and surveillance at 2 cm or less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von Hippel-Lindau (NANETS)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Observe under 3 cm with doubling time over 500 days and mutation outside exon 3; one risk factor, consider surgery; two or more, strongly consider resection</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2025 MEN1 systematic review (the only comparison that exists)</w:t>
            </w:r>
          </w:p>
        </w:tc>
        <w:tc>
          <w:tcPr>
            <w:tcW w:type="dxa" w:w="5260"/>
            <w:tcMar>
              <w:top w:type="dxa" w:w="70"/>
              <w:left w:type="dxa" w:w="110"/>
              <w:bottom w:type="dxa" w:w="70"/>
              <w:right w:type="dxa" w:w="110"/>
            </w:tcMar>
            <w:vAlign w:val="top"/>
          </w:tcPr>
          <w:p>
            <w:pPr>
              <w:spacing w:after="0" w:line="276"/>
            </w:pPr>
            <w:r>
              <w:rPr>
                <w:color w:val="15181F"/>
                <w:sz w:val="17"/>
                <w:szCs w:val="17"/>
              </w:rPr>
              <w:t xml:space="preserve">Surgery against active surveillance for nonfunctioning tumours of 2 cm or less: no difference in combined metastatic disease and mortality, across 37 studies and 1,814 patients, at low to very low GRADE certainty</w:t>
            </w:r>
          </w:p>
        </w:tc>
      </w:tr>
    </w:tbl>
    <w:p>
      <w:pPr>
        <w:spacing w:after="200" w:line="276"/>
      </w:pPr>
      <w:r>
        <w:rPr>
          <w:i/>
          <w:iCs/>
          <w:color w:val="5A6069"/>
          <w:sz w:val="16"/>
          <w:szCs w:val="16"/>
        </w:rPr>
        <w:t xml:space="preserve">The evidence is three uncontrolled cohorts, none randomised and none of which compares the two strategies, plus one systematic review that does and found nothing. Sadot 2016: 104 observed matched on initial size to 77 resected, inclusion band under 3 cm rather than 2 cm with median lesion 1.2-1.4 cm and 87% T1; 26 of 104 (25%) resected later at a median of 30 months and retained in the observation arm by intention to treat; median size unchanged at 1.2 cm (p=0.7) although 53 of 104 (51%) grew; no observed patient developed metastases; median follow-up 44 months overall but only 33 months (IQR 11-72) in the patients never operated, against recurrences at a median of 5.1 years in the resected arm; the metastasis-free survival advantage of 99% against 88% (p=0.01) is an endpoint artefact and disappears in the observation-only comparison (p=0.08); 21% grade 3 complications in the resected. PANDORA: 76 patients with tumours of 2 cm or less, median follow-up 17 months; 8 (11%) growing by more than 0.5 cm per year of whom 6 refused the protocol-mandated operation; one occult nodal plus peritoneal metastasis at 2.0 cm; only 22% had the scheduled 3-month endoscopic ultrasound; baseline quality of life worse than the reference population. ASPEN interim: 500 patients at 41 centres, 406 surveillance and 94 surgery, median follow-up 25 months (IQR 16-35), 9 of 406 (2%) coming to surgery, severe complications in 13% of the resected with no deaths - and two findings that cut the other way, distant metastases in 4 of 500 (0.8%, printed in the paper as 0.08%) all present at diagnosis, and one or more aggressive histological features in 19 of 94 resected tumours (20%), a figure that comes only from the resected and cannot describe the 406 watched. The threshold does not survive a ROC analysis: in 5,172 SEER patients the cutoff best associated with a composite aggressiveness outcome was 2.50 cm (AUC 0.769, sensitivity 81.3%, specificity 63.3%), and 1-2 cm against 1 cm or less was not prognostic for survival (HR 0.92, 0.65-1.31, p=0.652). And it may not hold across populations: nodal metastasis below 2 cm was 5% and 12% in white patients against 23% and 21% in Black patients in two overlapping resected datasets (p&lt;0.01 in both), with the sub-1 cm finding failing to replicate.</w:t>
      </w:r>
    </w:p>
    <w:p>
      <w:pPr>
        <w:pStyle w:val="Heading3"/>
        <w:keepNext/>
        <w:spacing w:after="110" w:before="240"/>
      </w:pPr>
      <w:r>
        <w:rPr>
          <w:rFonts w:ascii="Cambria" w:cs="Cambria" w:eastAsia="Cambria" w:hAnsi="Cambria"/>
          <w:b/>
          <w:bCs/>
          <w:color w:val="17365D"/>
          <w:sz w:val="22"/>
          <w:szCs w:val="22"/>
        </w:rPr>
        <w:t xml:space="preserve">Nodal risk by size and feature, and the node count to aim for</w:t>
      </w:r>
    </w:p>
    <w:p>
      <w:pPr>
        <w:spacing w:after="120" w:line="276"/>
      </w:pPr>
      <w:r>
        <w:rPr>
          <w:i/>
          <w:iCs/>
          <w:color w:val="5A6069"/>
          <w:sz w:val="18"/>
          <w:szCs w:val="18"/>
        </w:rPr>
        <w:t xml:space="preserve">For the lymphadenectomy decision and for arguing about whether a parenchyma-sparing operation is adequate.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Tumour 2 cm or less, any location</w:t>
            </w:r>
          </w:p>
        </w:tc>
        <w:tc>
          <w:tcPr>
            <w:tcW w:type="dxa" w:w="5260"/>
            <w:tcMar>
              <w:top w:type="dxa" w:w="70"/>
              <w:left w:type="dxa" w:w="110"/>
              <w:bottom w:type="dxa" w:w="70"/>
              <w:right w:type="dxa" w:w="110"/>
            </w:tcMar>
            <w:vAlign w:val="top"/>
          </w:tcPr>
          <w:p>
            <w:pPr>
              <w:spacing w:after="0" w:line="276"/>
            </w:pPr>
            <w:r>
              <w:rPr>
                <w:color w:val="15181F"/>
                <w:sz w:val="17"/>
                <w:szCs w:val="17"/>
              </w:rPr>
              <w:t xml:space="preserve">Nodal metastasis 12.9% to 27.3% (NANETS, pooled across series)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Tumour 2 cm or less (SEER, 1,760 patients)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Nodal involvement 8.4% among the 1,760 tumours of 2 cm or less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Tumour 1 cm or less / 1.5 cm or less (136 resected patients)</w:t>
            </w:r>
          </w:p>
        </w:tc>
        <w:tc>
          <w:tcPr>
            <w:tcW w:type="dxa" w:w="5260"/>
            <w:tcMar>
              <w:top w:type="dxa" w:w="70"/>
              <w:left w:type="dxa" w:w="110"/>
              <w:bottom w:type="dxa" w:w="70"/>
              <w:right w:type="dxa" w:w="110"/>
            </w:tcMar>
            <w:vAlign w:val="top"/>
          </w:tcPr>
          <w:p>
            <w:pPr>
              <w:spacing w:after="0" w:line="276"/>
            </w:pPr>
            <w:r>
              <w:rPr>
                <w:color w:val="15181F"/>
                <w:sz w:val="17"/>
                <w:szCs w:val="17"/>
              </w:rPr>
              <w:t xml:space="preserve">Nodal metastasis 2 of 17 (12%) and 5 of 38 (13%); no variable independently predicted nodal metastasis on multivariable analysis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Nonfunctional tumour 2 cm or less (NCDB, 1,854 patients)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Regional nodal metastasis in 303 (29%) and distant in 180 (10%), not falling at the smallest sizes - but the registry records only tumours coded malignant</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Tumour under 2 cm, by race (two overlapping resected datasets)</w:t>
            </w:r>
          </w:p>
        </w:tc>
        <w:tc>
          <w:tcPr>
            <w:tcW w:type="dxa" w:w="5260"/>
            <w:tcMar>
              <w:top w:type="dxa" w:w="70"/>
              <w:left w:type="dxa" w:w="110"/>
              <w:bottom w:type="dxa" w:w="70"/>
              <w:right w:type="dxa" w:w="110"/>
            </w:tcMar>
            <w:vAlign w:val="top"/>
          </w:tcPr>
          <w:p>
            <w:pPr>
              <w:spacing w:after="0" w:line="276"/>
            </w:pPr>
            <w:r>
              <w:rPr>
                <w:color w:val="15181F"/>
                <w:sz w:val="17"/>
                <w:szCs w:val="17"/>
              </w:rPr>
              <w:t xml:space="preserve">Nodal metastasis 7 of 30 (23%) and 54 of 258 (21%) in Black patients against 8 of 151 (5%) and 188 of 1,596 (12%) in white patients, both p&lt;0.01; the sub-1 cm finding did not replicate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Tumour over 1.5 cm</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Odds ratio 4.7 (95% CI 1.81-12.35, p=0.002) for nodal metastasis - univariable</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Head versus body or tail</w:t>
            </w:r>
          </w:p>
        </w:tc>
        <w:tc>
          <w:tcPr>
            <w:tcW w:type="dxa" w:w="5260"/>
            <w:tcMar>
              <w:top w:type="dxa" w:w="70"/>
              <w:left w:type="dxa" w:w="110"/>
              <w:bottom w:type="dxa" w:w="70"/>
              <w:right w:type="dxa" w:w="110"/>
            </w:tcMar>
            <w:vAlign w:val="top"/>
          </w:tcPr>
          <w:p>
            <w:pPr>
              <w:spacing w:after="0" w:line="276"/>
            </w:pPr>
            <w:r>
              <w:rPr>
                <w:color w:val="15181F"/>
                <w:sz w:val="17"/>
                <w:szCs w:val="17"/>
              </w:rPr>
              <w:t xml:space="preserve">Odds ratio 2.8 (1.3-5.8, p=0.007) - but median nodes examined 15 against 8 (p=0.0002)</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Ki-67 over 20%</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Odds ratio 6.7 (1.6-27.3, p=0.008)</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Lymphovascular invasion</w:t>
            </w:r>
          </w:p>
        </w:tc>
        <w:tc>
          <w:tcPr>
            <w:tcW w:type="dxa" w:w="5260"/>
            <w:tcMar>
              <w:top w:type="dxa" w:w="70"/>
              <w:left w:type="dxa" w:w="110"/>
              <w:bottom w:type="dxa" w:w="70"/>
              <w:right w:type="dxa" w:w="110"/>
            </w:tcMar>
            <w:vAlign w:val="top"/>
          </w:tcPr>
          <w:p>
            <w:pPr>
              <w:spacing w:after="0" w:line="276"/>
            </w:pPr>
            <w:r>
              <w:rPr>
                <w:color w:val="15181F"/>
                <w:sz w:val="17"/>
                <w:szCs w:val="17"/>
              </w:rPr>
              <w:t xml:space="preserve">Odds ratio 3.6 (1.5-8.6, p=0.004)</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Radiographic calcification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Nodal metastasis 36% versus 24% (p=0.011); distant metastasis 13% versus 4% (p&lt;0.001)</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Cystic morphology (over 50% of tumour area)</w:t>
            </w:r>
          </w:p>
        </w:tc>
        <w:tc>
          <w:tcPr>
            <w:tcW w:type="dxa" w:w="5260"/>
            <w:tcMar>
              <w:top w:type="dxa" w:w="70"/>
              <w:left w:type="dxa" w:w="110"/>
              <w:bottom w:type="dxa" w:w="70"/>
              <w:right w:type="dxa" w:w="110"/>
            </w:tcMar>
            <w:vAlign w:val="top"/>
          </w:tcPr>
          <w:p>
            <w:pPr>
              <w:spacing w:after="0" w:line="276"/>
            </w:pPr>
            <w:r>
              <w:rPr>
                <w:color w:val="15181F"/>
                <w:sz w:val="17"/>
                <w:szCs w:val="17"/>
              </w:rPr>
              <w:t xml:space="preserve">Nodal metastasis 12% versus 30% (p&lt;0.001)</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Nodes to retrieve at a formal PD or DP</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11 to 15, for accurate nodal staging</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Nodes at a parenchyma-sparing operation for 2 cm or less</w:t>
            </w:r>
          </w:p>
        </w:tc>
        <w:tc>
          <w:tcPr>
            <w:tcW w:type="dxa" w:w="5260"/>
            <w:tcMar>
              <w:top w:type="dxa" w:w="70"/>
              <w:left w:type="dxa" w:w="110"/>
              <w:bottom w:type="dxa" w:w="70"/>
              <w:right w:type="dxa" w:w="110"/>
            </w:tcMar>
            <w:vAlign w:val="top"/>
          </w:tcPr>
          <w:p>
            <w:pPr>
              <w:spacing w:after="0" w:line="276"/>
            </w:pPr>
            <w:r>
              <w:rPr>
                <w:color w:val="15181F"/>
                <w:sz w:val="17"/>
                <w:szCs w:val="17"/>
              </w:rPr>
              <w:t xml:space="preserve">Remove suspicious nodes seen on imaging; consider sampling if imaging is negative</w:t>
            </w:r>
          </w:p>
        </w:tc>
      </w:tr>
    </w:tbl>
    <w:p>
      <w:pPr>
        <w:spacing w:after="200" w:line="276"/>
      </w:pPr>
      <w:r>
        <w:rPr>
          <w:i/>
          <w:iCs/>
          <w:color w:val="5A6069"/>
          <w:sz w:val="16"/>
          <w:szCs w:val="16"/>
        </w:rPr>
        <w:t xml:space="preserve">Every figure in this table comes from a cohort in which every patient was operated, which is the defect that matters most: there is no series anywhere reporting nodal status in unoperated small tumours, because obtaining it requires the operation under debate. Node-positive disease carries prognostic weight - median disease-free survival 4.5 against 14.6 years (p&lt;0.0001) in 136 resected patients, with nodal metastasis one of the three independent predictors in the published recurrence score - but overall survival in that same cohort did not reach significance (5- and 10-year 77.1% and 55.4% against 91.3% and 74.6%, log-rank 0.1), and lymphadenectomy itself has not been shown to change survival. In the National Cancer Data Base analysis of 1,854 tumours of 2 cm or less, 999 of them resected with a median of 8 nodes examined and 27% with none, there was no difference by type of surgery or by the addition of lymphadenectomy (p=0.16), and nodes were examined in 63% of partial pancreatectomies against 89% of pancreatoduodenectomies, so that comparison is between groups with different staging completeness. NANETS reports a 999-patient NCDB study and a 981-patient SEER study with the same null result; neither is in this page's full-text depot. The 11-15 figure is derived from the yield of finding a positive node, is borrowed from the pancreatic adenocarcinoma literature, and its primary study is not in the depot either; ENETS instead makes lymphadenectomy routine above 3 cm and case-by-case at 2-3 cm. The imaging-feature figures are hypothesis-generating only: calcification's independent hazard ratio was 11.5 with a confidence interval of 1.1 to 125.0, cystic morphology was not independent at all (p=0.69), and 28-29% of that cohort has no data on either exposure.</w:t>
      </w:r>
    </w:p>
    <w:p>
      <w:pPr>
        <w:pStyle w:val="Heading3"/>
        <w:keepNext/>
        <w:spacing w:after="110" w:before="240"/>
      </w:pPr>
      <w:r>
        <w:rPr>
          <w:rFonts w:ascii="Cambria" w:cs="Cambria" w:eastAsia="Cambria" w:hAnsi="Cambria"/>
          <w:b/>
          <w:bCs/>
          <w:color w:val="17365D"/>
          <w:sz w:val="22"/>
          <w:szCs w:val="22"/>
        </w:rPr>
        <w:t xml:space="preserve">Localising a functional tumour</w:t>
      </w:r>
    </w:p>
    <w:p>
      <w:pPr>
        <w:spacing w:after="120" w:line="276"/>
      </w:pPr>
      <w:r>
        <w:rPr>
          <w:i/>
          <w:iCs/>
          <w:color w:val="5A6069"/>
          <w:sz w:val="18"/>
          <w:szCs w:val="18"/>
        </w:rPr>
        <w:t xml:space="preserve">Which test finds which tumour. The insulinoma column is the one people get wrong.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Multiphasic CT or MRI, arterial and portal venous phases</w:t>
            </w:r>
          </w:p>
        </w:tc>
        <w:tc>
          <w:tcPr>
            <w:tcW w:type="dxa" w:w="5260"/>
            <w:tcMar>
              <w:top w:type="dxa" w:w="70"/>
              <w:left w:type="dxa" w:w="110"/>
              <w:bottom w:type="dxa" w:w="70"/>
              <w:right w:type="dxa" w:w="110"/>
            </w:tcMar>
            <w:vAlign w:val="top"/>
          </w:tcPr>
          <w:p>
            <w:pPr>
              <w:spacing w:after="0" w:line="276"/>
            </w:pPr>
            <w:r>
              <w:rPr>
                <w:color w:val="15181F"/>
                <w:sz w:val="17"/>
                <w:szCs w:val="17"/>
              </w:rPr>
              <w:t xml:space="preserve">First test for every syndrome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Somatostatin-receptor PET, non-insulinoma tumours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Sensitivity 100%, specificity 57%, accuracy 94.8%</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Somatostatin-receptor PET, insulinoma</w:t>
            </w:r>
          </w:p>
        </w:tc>
        <w:tc>
          <w:tcPr>
            <w:tcW w:type="dxa" w:w="5260"/>
            <w:tcMar>
              <w:top w:type="dxa" w:w="70"/>
              <w:left w:type="dxa" w:w="110"/>
              <w:bottom w:type="dxa" w:w="70"/>
              <w:right w:type="dxa" w:w="110"/>
            </w:tcMar>
            <w:vAlign w:val="top"/>
          </w:tcPr>
          <w:p>
            <w:pPr>
              <w:spacing w:after="0" w:line="276"/>
            </w:pPr>
            <w:r>
              <w:rPr>
                <w:color w:val="15181F"/>
                <w:sz w:val="17"/>
                <w:szCs w:val="17"/>
              </w:rPr>
              <w:t xml:space="preserve">Accuracy approximately 25%; about two-thirds of insulinomas are receptor-PET negative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GLP-1 receptor PET/CT (68Ga-DOTA-exendin-4), occult insulinoma</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Accuracy 93.9% (95% CI 87.8–97.5)</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GLP-1 receptor SPECT/CT (111In-DOTA-exendin-4)</w:t>
            </w:r>
          </w:p>
        </w:tc>
        <w:tc>
          <w:tcPr>
            <w:tcW w:type="dxa" w:w="5260"/>
            <w:tcMar>
              <w:top w:type="dxa" w:w="70"/>
              <w:left w:type="dxa" w:w="110"/>
              <w:bottom w:type="dxa" w:w="70"/>
              <w:right w:type="dxa" w:w="110"/>
            </w:tcMar>
            <w:vAlign w:val="top"/>
          </w:tcPr>
          <w:p>
            <w:pPr>
              <w:spacing w:after="0" w:line="276"/>
            </w:pPr>
            <w:r>
              <w:rPr>
                <w:color w:val="15181F"/>
                <w:sz w:val="17"/>
                <w:szCs w:val="17"/>
              </w:rPr>
              <w:t xml:space="preserve">Accuracy 67.5% (58.1–76.0)</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MRI in the same prospective crossover cohort</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Accuracy 67.6% (58.0–76.1)</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Prior external CT or MRI in the same patients</w:t>
            </w:r>
          </w:p>
        </w:tc>
        <w:tc>
          <w:tcPr>
            <w:tcW w:type="dxa" w:w="5260"/>
            <w:tcMar>
              <w:top w:type="dxa" w:w="70"/>
              <w:left w:type="dxa" w:w="110"/>
              <w:bottom w:type="dxa" w:w="70"/>
              <w:right w:type="dxa" w:w="110"/>
            </w:tcMar>
            <w:vAlign w:val="top"/>
          </w:tcPr>
          <w:p>
            <w:pPr>
              <w:spacing w:after="0" w:line="276"/>
            </w:pPr>
            <w:r>
              <w:rPr>
                <w:color w:val="15181F"/>
                <w:sz w:val="17"/>
                <w:szCs w:val="17"/>
              </w:rPr>
              <w:t xml:space="preserve">Accuracy 40.0% (23.9–57.9)</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Selective arterial calcium stimulation with venous sampling</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Regionalises rather than localises; for persistent or recurrent hypoglycaemia when other tests are equivocal</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EUS in MEN1</w:t>
            </w:r>
          </w:p>
        </w:tc>
        <w:tc>
          <w:tcPr>
            <w:tcW w:type="dxa" w:w="5260"/>
            <w:tcMar>
              <w:top w:type="dxa" w:w="70"/>
              <w:left w:type="dxa" w:w="110"/>
              <w:bottom w:type="dxa" w:w="70"/>
              <w:right w:type="dxa" w:w="110"/>
            </w:tcMar>
            <w:vAlign w:val="top"/>
          </w:tcPr>
          <w:p>
            <w:pPr>
              <w:spacing w:after="0" w:line="276"/>
            </w:pPr>
            <w:r>
              <w:rPr>
                <w:color w:val="15181F"/>
                <w:sz w:val="17"/>
                <w:szCs w:val="17"/>
              </w:rPr>
              <w:t xml:space="preserve">268 lesions found against 158 on MRI in 90 patients; 83% accuracy and 101 lesions in 34 of 41 patients prospectively, mean size 9.1 mm</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Gastrinoma location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Approximately 70% in the duodenum</w:t>
            </w:r>
          </w:p>
        </w:tc>
      </w:tr>
    </w:tbl>
    <w:p>
      <w:pPr>
        <w:spacing w:after="200" w:line="276"/>
      </w:pPr>
      <w:r>
        <w:rPr>
          <w:i/>
          <w:iCs/>
          <w:color w:val="5A6069"/>
          <w:sz w:val="16"/>
          <w:szCs w:val="16"/>
        </w:rPr>
        <w:t xml:space="preserve">The crossover study behind the GLP-1 receptor figures recruited 52 consecutive patients and analysed the 38 who reached surgery with conclusive histology, with all comparisons against PET at p&lt;0.01 except SPECT against study MRI; it changed surgical planning in 42.3% of previously negative or inconclusive patients and reader agreement was 89.5%. Read those numbers with their verification bias: the 14 enrolled patients absent from the denominator are absent precisely because imaging was negative or discordant or surgery was declined, the PET showed a suspicious lesion in only 78.8% of all 52, inclusion required a pathological fasting test so specificity and negative predictive value cannot be estimated, and the 40% figure for prior external imaging reflects why these patients were referred rather than how those tests perform. GLP-1 receptor expression falls to 36% in malignant insulinoma, where 73% express somatostatin receptor 2 instead. ENETS recommends GLP-1 receptor imaging or arterial stimulation testing when contrast CT or MRI and EUS are negative; the tracer is not licensed for routine clinical use. Two cautions on the receptor PET: physiological pancreatic uptake occurs in a large proportion of patients, with substantial SUV overlap in the head and uncinate process, so pancreatic uptake needs a pancreas-protocol CT before it means anything; and the scan cannot distinguish a splenule from a small tumour. One caution on exendin tracers: physiological uptake in duodenal Brunner's glands is always present and can be mistaken for an insulinoma. The reason the insulinoma row matters clinically is drug safety - a somatostatin analogue given to a receptor-negative insulinoma can precipitously worsen hypoglycaemia, with fatal complications reported.</w:t>
      </w:r>
    </w:p>
    <w:p>
      <w:pPr>
        <w:pStyle w:val="Heading1"/>
        <w:keepNext/>
        <w:pageBreakBefore/>
        <w:spacing w:after="110" w:before="320"/>
      </w:pPr>
      <w:r>
        <w:rPr>
          <w:rFonts w:ascii="Cambria" w:cs="Cambria" w:eastAsia="Cambria" w:hAnsi="Cambria"/>
          <w:b/>
          <w:bCs/>
          <w:color w:val="17365D"/>
          <w:sz w:val="32"/>
          <w:szCs w:val="32"/>
        </w:rPr>
        <w:t xml:space="preserve">What we are not sure about</w:t>
      </w:r>
    </w:p>
    <w:p>
      <w:pPr>
        <w:spacing w:after="200" w:line="276"/>
      </w:pPr>
      <w:r>
        <w:rPr>
          <w:i/>
          <w:iCs/>
          <w:color w:val="5A6069"/>
          <w:sz w:val="20"/>
          <w:szCs w:val="20"/>
        </w:rPr>
        <w:t xml:space="preserve">Every statement below is a limit on what this page can claim. They come from reading each cited paper in full, including the limitations the authors state themselves and the objections the text supports but the authors do not raise.</w:t>
      </w:r>
    </w:p>
    <w:p>
      <w:pPr>
        <w:spacing w:after="60" w:before="160"/>
      </w:pPr>
      <w:r>
        <w:rPr>
          <w:b/>
          <w:bCs/>
          <w:color w:val="8E5008"/>
          <w:sz w:val="19"/>
          <w:szCs w:val="19"/>
        </w:rPr>
        <w:t xml:space="preserve">1. </w:t>
      </w:r>
      <w:r>
        <w:rPr>
          <w:b/>
          <w:bCs/>
          <w:sz w:val="19"/>
          <w:szCs w:val="19"/>
        </w:rPr>
        <w:t xml:space="preserve">The 2 cm threshold is an operating convention that has hardened into a biological claim, and the full-text read makes that worse rather than better. This page uses it as the point at which the conversation changes, not as a boundary between benign and malignant.</w:t>
      </w:r>
    </w:p>
    <w:p>
      <w:pPr>
        <w:spacing w:after="40" w:line="276"/>
        <w:ind w:left="260"/>
      </w:pPr>
      <w:r>
        <w:rPr>
          <w:color w:val="15181F"/>
          <w:sz w:val="18"/>
          <w:szCs w:val="18"/>
        </w:rPr>
        <w:t xml:space="preserve">Grade C at best and arguably D. No study randomises observation against resection at this size, none is powered for disease-specific survival, not one of the three cohorts behind the threshold performs any comparison between the two strategies, and the longest prospective follow-up is 25 months in a disease whose recurrences arrive at a median of 4 to 7 years. The only systematic comparison that exists anywhere - 37 studies, 1,814 patients, run for the 2025 MEN1 recommendations - found no difference in metastasis or mortality between surgery and surveillance for lesions of 2 cm or less, at low to very low GRADE certainty. A receiver-operating-characteristic analysis of 5,172 SEER patients put the optimal cutoff for a composite aggressiveness outcome at 2.50 cm with 63% specificity, and in the same dataset 1-2 cm against 1 cm or less was not prognostic for survival at all. Meanwhile 4 of 500 ASPEN patients (0.8%) with tumours of 2 cm or less had distant metastases at diagnosis. The number is defensible as a trigger for a discussion and indefensible as a statement about biology.</w:t>
      </w:r>
    </w:p>
    <w:p>
      <w:pPr>
        <w:spacing w:after="60" w:before="160"/>
      </w:pPr>
      <w:r>
        <w:rPr>
          <w:b/>
          <w:bCs/>
          <w:color w:val="8E5008"/>
          <w:sz w:val="19"/>
          <w:szCs w:val="19"/>
        </w:rPr>
        <w:t xml:space="preserve">2. </w:t>
      </w:r>
      <w:r>
        <w:rPr>
          <w:b/>
          <w:bCs/>
          <w:sz w:val="19"/>
          <w:szCs w:val="19"/>
        </w:rPr>
        <w:t xml:space="preserve">The paper most often cited for the 2 cm threshold never tested it.</w:t>
      </w:r>
    </w:p>
    <w:p>
      <w:pPr>
        <w:spacing w:after="40" w:line="276"/>
        <w:ind w:left="260"/>
      </w:pPr>
      <w:r>
        <w:rPr>
          <w:color w:val="15181F"/>
          <w:sz w:val="18"/>
          <w:szCs w:val="18"/>
        </w:rPr>
        <w:t xml:space="preserve">Sadot 2016's inclusion band was 3 cm or less, not 2 cm, and in practice median lesion size was 1.2 cm in the observed group and 1.4 cm in the resected with 87% T1 - so its evidence concerns tumours of about a centimetre and it is silent about the 2-3 cm range it nominally covers. Three further features change what it can be cited for. Twenty-six of 104 observed patients (25%) had an operation and remain in the observation arm by intention to treat, so part of that arm's clean oncological record was purchased with the surgery the paper argues can be avoided. The patients genuinely never operated were followed a median of 33 months against a median time to recurrence of 5.1 years in the resected arm, so the arm was not watched long enough to experience the event reported as absent. And the metastasis-free survival advantage for observation, 99% against 88%, p=0.01, is an artefact of the endpoint rather than a finding - a resected patient can be recorded as recurring and an unresected patient with stable imaging cannot - and it disappears in the observation-only comparison (p=0.08). Fifty-one per cent of observed tumours did grow; the unchanged median size of 1.2 cm conceals that 53 grew, 19 were static and 32 shrank. Thirty-five per cent of the observation group never had tissue at all.</w:t>
      </w:r>
    </w:p>
    <w:p>
      <w:pPr>
        <w:spacing w:after="60" w:before="160"/>
      </w:pPr>
      <w:r>
        <w:rPr>
          <w:b/>
          <w:bCs/>
          <w:color w:val="8E5008"/>
          <w:sz w:val="19"/>
          <w:szCs w:val="19"/>
        </w:rPr>
        <w:t xml:space="preserve">3. </w:t>
      </w:r>
      <w:r>
        <w:rPr>
          <w:b/>
          <w:bCs/>
          <w:sz w:val="19"/>
          <w:szCs w:val="19"/>
        </w:rPr>
        <w:t xml:space="preserve">ASPEN's 20% rate of aggressive histology, which this page used as the counterweight to a flat 2 cm rule, cannot describe the patients who were watched.</w:t>
      </w:r>
    </w:p>
    <w:p>
      <w:pPr>
        <w:spacing w:after="40" w:line="276"/>
        <w:ind w:left="260"/>
      </w:pPr>
      <w:r>
        <w:rPr>
          <w:color w:val="15181F"/>
          <w:sz w:val="18"/>
          <w:szCs w:val="18"/>
        </w:rPr>
        <w:t xml:space="preserve">The figure is 19 of 94 - and those 94 are the resected patients, a denominator selected by radiological size over 10 mm (OR 1.9), a main pancreatic duct over 3 mm (OR 3.4), age 64 or under (OR 2.5), enrolment at a surgical centre (OR 2.0) and a HADS anxiety score of 4-6 (OR 2.0). It is the prevalence of aggressive biology among people chosen for an operation, not among sub-2 cm lesions, and certainly not among the 406 who were surveilled. The surveillance arm has no histological characterisation at all: a third of patients never had an aspirate and grade was not evaluable in a quarter of those who did. Follow-up was 25 months, crossover 2%, allocation was by the referring centre, and the paper performed no comparison between the two strategies. Its metastasis rate is printed as 0.08 per cent when 4 of 500 is 0.8 per cent, a tenfold understatement of its own safety signal that remains uncorrected. ASPEN was funded by ENETS, whose surveillance recommendation is the hypothesis under test, and senior authors wrote that recommendation. It is the best prospective evidence in this disease and it still cannot answer the question.</w:t>
      </w:r>
    </w:p>
    <w:p>
      <w:pPr>
        <w:spacing w:after="60" w:before="160"/>
      </w:pPr>
      <w:r>
        <w:rPr>
          <w:b/>
          <w:bCs/>
          <w:color w:val="8E5008"/>
          <w:sz w:val="19"/>
          <w:szCs w:val="19"/>
        </w:rPr>
        <w:t xml:space="preserve">4. </w:t>
      </w:r>
      <w:r>
        <w:rPr>
          <w:b/>
          <w:bCs/>
          <w:sz w:val="19"/>
          <w:szCs w:val="19"/>
        </w:rPr>
        <w:t xml:space="preserve">PANDORA did not test the protocol it is cited for.</w:t>
      </w:r>
    </w:p>
    <w:p>
      <w:pPr>
        <w:spacing w:after="40" w:line="276"/>
        <w:ind w:left="260"/>
      </w:pPr>
      <w:r>
        <w:rPr>
          <w:color w:val="15181F"/>
          <w:sz w:val="18"/>
          <w:szCs w:val="18"/>
        </w:rPr>
        <w:t xml:space="preserve">Six of the eight patients who met the study's own criterion for resection - growth beyond 0.5 cm per year - refused the operation and continued watchful waiting, so the cohort's benign course reflects patient choice rather than a protocol that was followed and held. Adherence failed elsewhere too: only 17 of 76 (22%) had the scheduled 3-month endoscopic ultrasound, 19 (25%) were enrolled on a single imaging modality against a protocol requiring two, and 28% and 15% had no imaging at all at 6 and 12 months, so progression could have been missed rather than absent. Eligibility excluded patients whose lesion already looked malignant, which is exactly the population whose risk decides whether waiting is safe. Seventy-six patients at a median of 17 months cannot support a statement about oncological safety, and the single most informative event in the study cuts against it: a lesion that grew from 1.8 to 2.6 cm proved at operation to be a 2.0 cm tumour with two positive nodes and peritoneal metastasis. One resected lesion was not a neuroendocrine tumour at all.</w:t>
      </w:r>
    </w:p>
    <w:p>
      <w:pPr>
        <w:spacing w:after="60" w:before="160"/>
      </w:pPr>
      <w:r>
        <w:rPr>
          <w:b/>
          <w:bCs/>
          <w:color w:val="8E5008"/>
          <w:sz w:val="19"/>
          <w:szCs w:val="19"/>
        </w:rPr>
        <w:t xml:space="preserve">5. </w:t>
      </w:r>
      <w:r>
        <w:rPr>
          <w:b/>
          <w:bCs/>
          <w:sz w:val="19"/>
          <w:szCs w:val="19"/>
        </w:rPr>
        <w:t xml:space="preserve">The nodal-risk literature that justifies operating on small tumours is entirely a resected-population literature, and that is a structural defect rather than a caveat.</w:t>
      </w:r>
    </w:p>
    <w:p>
      <w:pPr>
        <w:spacing w:after="40" w:line="276"/>
        <w:ind w:left="260"/>
      </w:pPr>
      <w:r>
        <w:rPr>
          <w:color w:val="15181F"/>
          <w:sz w:val="18"/>
          <w:szCs w:val="18"/>
        </w:rPr>
        <w:t xml:space="preserve">Every figure this page quotes for nodal metastasis below 2 cm comes from a cohort in which every patient was operated. Hashim's 136 patients were drawn from a surgical database at a unit that states its own institutional bias toward complete oncological resection, and the authors acknowledge that patients selected for observation were not included before drawing a management conclusion from the dataset anyway; its claim that no preoperative variable defines a low-risk group is therefore generated from a population in which the low-risk tail is structurally absent, and its headline 12% rate in tumours of 1 cm or less is 2 of 17 patients. Zheng-Pywell's racial comparison and Makris's imaging-feature analysis share the same design, and Makris's authors concede they cannot even identify which patients were managed non-operatively. The National Cancer Data Base, which supplies the 29% nodal and 10% distant rates, records only tumours assigned a malignant behaviour code and so removes precisely the indolent lesions a surveillance policy concerns. There is no cohort anywhere that reports nodal status in unoperated small tumours, because obtaining it requires the operation under debate. This page therefore cannot state a nodal risk for the patient in front of you, and should not pretend to.</w:t>
      </w:r>
    </w:p>
    <w:p>
      <w:pPr>
        <w:spacing w:after="60" w:before="160"/>
      </w:pPr>
      <w:r>
        <w:rPr>
          <w:b/>
          <w:bCs/>
          <w:color w:val="8E5008"/>
          <w:sz w:val="19"/>
          <w:szCs w:val="19"/>
        </w:rPr>
        <w:t xml:space="preserve">6. </w:t>
      </w:r>
      <w:r>
        <w:rPr>
          <w:b/>
          <w:bCs/>
          <w:sz w:val="19"/>
          <w:szCs w:val="19"/>
        </w:rPr>
        <w:t xml:space="preserve">The ENETS position on the 1-2 cm band was mis-stated in the first draft of this page, and the correction matters.</w:t>
      </w:r>
    </w:p>
    <w:p>
      <w:pPr>
        <w:spacing w:after="40" w:line="276"/>
        <w:ind w:left="260"/>
      </w:pPr>
      <w:r>
        <w:rPr>
          <w:color w:val="15181F"/>
          <w:sz w:val="18"/>
          <w:szCs w:val="18"/>
        </w:rPr>
        <w:t xml:space="preserve">The ENETS 2023 nonfunctioning pancreatic NET guidance was available only as its abstract when this page was drafted, and the position was taken from how NANETS and the ASPEN investigators report it: observation considered for lesions no larger than 2 cm. The full text, read on 7 October 2026, says something different and narrower. ENETS recommends active surveillance for an asymptomatic tumour of 1 cm or less without main pancreatic duct dilation; it personalises the band above 1 cm up to 2 cm to the resection that would be required and the patient's comorbidities, with no decision rule offered; and it strongly recommends surgery for any nonfunctioning tumour larger than 2 cm or with main duct dilation. All three carry level 3 evidence and grade B, and the strongest wording in the document is reserved for the threshold above which it operates. So the three guidelines are closer together at 1 cm and further apart above it than this page previously said, and the 1-2 cm band is handed back to the clinician by all three.</w:t>
      </w:r>
    </w:p>
    <w:p>
      <w:pPr>
        <w:spacing w:after="60" w:before="160"/>
      </w:pPr>
      <w:r>
        <w:rPr>
          <w:b/>
          <w:bCs/>
          <w:color w:val="8E5008"/>
          <w:sz w:val="19"/>
          <w:szCs w:val="19"/>
        </w:rPr>
        <w:t xml:space="preserve">7. </w:t>
      </w:r>
      <w:r>
        <w:rPr>
          <w:b/>
          <w:bCs/>
          <w:sz w:val="19"/>
          <w:szCs w:val="19"/>
        </w:rPr>
        <w:t xml:space="preserve">A dilated main pancreatic duct is treated here as a strong reason to resect a small nonfunctional tumour, and the supporting data are weaker than that posture implies.</w:t>
      </w:r>
    </w:p>
    <w:p>
      <w:pPr>
        <w:spacing w:after="40" w:line="276"/>
        <w:ind w:left="260"/>
      </w:pPr>
      <w:r>
        <w:rPr>
          <w:color w:val="15181F"/>
          <w:sz w:val="18"/>
          <w:szCs w:val="18"/>
        </w:rPr>
        <w:t xml:space="preserve">This follows the ASPEN authors and ENETS rather than NCCN, which does not list duct dilatation as a resection trigger anywhere in its algorithm. ASPEN's authors state that surgery is always mandatory with a dilated duct, and ENETS strongly recommends it - but the underlying observation is association, not outcome: a duct above 3 mm was independently associated with the decision to operate (OR 3.4, p&lt;0.001), and duct dilatation was the stated indication in 11 of 94 operations. The histological evidence is thinner than it reads. Of the 19 resected tumours with an aggressive feature, 17 were radiologically over 10 mm and the remaining 2 had a dilated duct - but only 5 of the 19 had a radiological duct over 3 mm at all. So duct dilatation identified the two aggressive sub-centimetre lesions and most aggressive lesions did not have it. Grade D as a rule, and it needs ratification. See approval 2.</w:t>
      </w:r>
    </w:p>
    <w:p>
      <w:pPr>
        <w:spacing w:after="60" w:before="160"/>
      </w:pPr>
      <w:r>
        <w:rPr>
          <w:b/>
          <w:bCs/>
          <w:color w:val="8E5008"/>
          <w:sz w:val="19"/>
          <w:szCs w:val="19"/>
        </w:rPr>
        <w:t xml:space="preserve">8. </w:t>
      </w:r>
      <w:r>
        <w:rPr>
          <w:b/>
          <w:bCs/>
          <w:sz w:val="19"/>
          <w:szCs w:val="19"/>
        </w:rPr>
        <w:t xml:space="preserve">Whether the size threshold should differ by race is unresolved, and the full-text read makes the evidence thinner rather than stronger.</w:t>
      </w:r>
    </w:p>
    <w:p>
      <w:pPr>
        <w:spacing w:after="40" w:line="276"/>
        <w:ind w:left="260"/>
      </w:pPr>
      <w:r>
        <w:rPr>
          <w:color w:val="15181F"/>
          <w:sz w:val="18"/>
          <w:szCs w:val="18"/>
        </w:rPr>
        <w:t xml:space="preserve">The signal is real and worth taking seriously: nodal metastasis below 2 cm was 7 of 30 (23%) in Black patients against 8 of 151 (5%) in white patients in the study group cohort and 54 of 258 (21%) against 188 of 1,596 (12%) in the national database, both p&lt;0.01, with no difference in any larger band, and tumour size predicted nodal metastasis in white patients only. But the policy-relevant cell is 7 of 30, the sub-1 cm claim is 2 of 8 and it fails to replicate in the validation cohort (10% against 9%, p=0.66) - which the paper reports and then does not let alter its conclusion. The two datasets overlap institutionally, so the validation partly re-analyses the same patients. Every patient in both was resected with nodes removed. Grade was excluded from one dataset and is unavailable in the other, so the difference may track grade. Race was recorded administratively with no measure of insurance, income, referral delay or access to imaging, any of which would produce the same association, and the group's own earlier finding that node-negative Black patients had better recurrence-free survival is quoted in the discussion and left unreconciled. Six size strata across two datasets with no correction for multiple comparisons. It is strong enough to require a local position and an annual audit, and not strong enough for this page to state one. See approval 3.</w:t>
      </w:r>
    </w:p>
    <w:p>
      <w:pPr>
        <w:spacing w:after="60" w:before="160"/>
      </w:pPr>
      <w:r>
        <w:rPr>
          <w:b/>
          <w:bCs/>
          <w:color w:val="8E5008"/>
          <w:sz w:val="19"/>
          <w:szCs w:val="19"/>
        </w:rPr>
        <w:t xml:space="preserve">9. </w:t>
      </w:r>
      <w:r>
        <w:rPr>
          <w:b/>
          <w:bCs/>
          <w:sz w:val="19"/>
          <w:szCs w:val="19"/>
        </w:rPr>
        <w:t xml:space="preserve">Lymphadenectomy is done here to stage the patient and to make the next decision possible, not because it has been shown to treat the disease - and the 11-to-15 node target is not this disease's number.</w:t>
      </w:r>
    </w:p>
    <w:p>
      <w:pPr>
        <w:spacing w:after="40" w:line="276"/>
        <w:ind w:left="260"/>
      </w:pPr>
      <w:r>
        <w:rPr>
          <w:color w:val="15181F"/>
          <w:sz w:val="18"/>
          <w:szCs w:val="18"/>
        </w:rPr>
        <w:t xml:space="preserve">Grade C for the prognostic value of nodal status and grade D for the act and for the count. The 11-to-15 figure is derived from the yield of finding a positive node rather than from any outcome, is borrowed from the pancreatic adenocarcinoma literature, and the primary study behind it is not in this page's full-text depot; NANETS itself states there is no universally accepted minimum node number for prognostication here, and ENETS draws the line at 3 cm instead. In the National Cancer Data Base analysis of tumours of 2 cm or less, adding a lymphadenectomy made no difference to 2-year or 5-year survival - though nodes examined differed systematically by operation (63% of partial pancreatectomies against 89% of pancreatoduodenectomies), so that comparison is between groups with different staging completeness and is uninformative either way. And in the 136-patient cohort read in full, nodal status predicted disease-free survival strongly (median 4.5 against 14.6 years) while overall survival did not reach significance (log-rank 0.1), and multivariable analysis identified no independent predictor of nodal metastasis at all.</w:t>
      </w:r>
    </w:p>
    <w:p>
      <w:pPr>
        <w:spacing w:after="60" w:before="160"/>
      </w:pPr>
      <w:r>
        <w:rPr>
          <w:b/>
          <w:bCs/>
          <w:color w:val="8E5008"/>
          <w:sz w:val="19"/>
          <w:szCs w:val="19"/>
        </w:rPr>
        <w:t xml:space="preserve">10. </w:t>
      </w:r>
      <w:r>
        <w:rPr>
          <w:b/>
          <w:bCs/>
          <w:sz w:val="19"/>
          <w:szCs w:val="19"/>
        </w:rPr>
        <w:t xml:space="preserve">The surveillance intervals on this page are consensus throughout, the same intervals are applied to an observed tumour as to a resected one because NCCN says to, and the three consensus sources contradict each other.</w:t>
      </w:r>
    </w:p>
    <w:p>
      <w:pPr>
        <w:spacing w:after="40" w:line="276"/>
        <w:ind w:left="260"/>
      </w:pPr>
      <w:r>
        <w:rPr>
          <w:color w:val="15181F"/>
          <w:sz w:val="18"/>
          <w:szCs w:val="18"/>
        </w:rPr>
        <w:t xml:space="preserve">Grade D. No trial compares surveillance schedules in this disease. NCCN starts at 12 weeks to 12 months and runs to 10 years. ENETS 2023 starts at 3 to 6 months and runs past 10 to a stated expectation of at least 20 years and possibly lifelong, at level 5 evidence graded B. The RAND/UCLA follow-up recommendations - the source this page borrows its structure from - deliberately de-intensify the first three years to yearly imaging and extend past ten, and exempt a grade 1, node-negative pancreatic tumour under 2 cm from any follow-up at all. That exemption rests on a 22-member panel at a 75% agreement threshold, in a dataset whose cumulative recurrence was 33.5% at 5 years and 48.5% at 10 and whose median time to pancreatic recurrence was 7.2 years, and node-negative in a small tumour usually means few or no nodes were removed. This page does not adopt it, but it cannot claim its intervals are evidence-based when the paper it borrows from says something else. The safety case for observation rests entirely on detecting growth, and the interval that detects it has never been determined empirically. See approval 13.</w:t>
      </w:r>
    </w:p>
    <w:p>
      <w:pPr>
        <w:spacing w:after="60" w:before="160"/>
      </w:pPr>
      <w:r>
        <w:rPr>
          <w:b/>
          <w:bCs/>
          <w:color w:val="8E5008"/>
          <w:sz w:val="19"/>
          <w:szCs w:val="19"/>
        </w:rPr>
        <w:t xml:space="preserve">11. </w:t>
      </w:r>
      <w:r>
        <w:rPr>
          <w:b/>
          <w:bCs/>
          <w:sz w:val="19"/>
          <w:szCs w:val="19"/>
        </w:rPr>
        <w:t xml:space="preserve">No growth threshold in use has been derived, and the two in circulation disagree by a factor of five.</w:t>
      </w:r>
    </w:p>
    <w:p>
      <w:pPr>
        <w:spacing w:after="40" w:line="276"/>
        <w:ind w:left="260"/>
      </w:pPr>
      <w:r>
        <w:rPr>
          <w:color w:val="15181F"/>
          <w:sz w:val="18"/>
          <w:szCs w:val="18"/>
        </w:rPr>
        <w:t xml:space="preserve">PANDORA used more than 0.5 cm per year; the 2025 MEN1 recommendations use under 1 mm per year as the point at which the interval can be lengthened, at 92% panel agreement. Neither has a cited derivation. One millimetre a year lies below the measurement reproducibility of serial cross-sectional imaging of a small pancreatic lesion across different scanners and readers, so it will manufacture both false stability and false progression. Half a centimetre a year is no better founded: the 8 PANDORA patients who met it had a mean size at last follow-up of still only 1.2 cm, and only 2 ever crossed 2.0 cm, so the threshold was detecting measurement variation as much as growth. Meanwhile growth was the stated indication for surgery in only 4 of 406 ASPEN surveillance patients, against patient and centre preference in 79 of 94 operations. The programme has to pick a threshold and a measurement convention and write both down, and then say plainly that neither is derived. See approval 12.</w:t>
      </w:r>
    </w:p>
    <w:p>
      <w:pPr>
        <w:spacing w:after="60" w:before="160"/>
      </w:pPr>
      <w:r>
        <w:rPr>
          <w:b/>
          <w:bCs/>
          <w:color w:val="8E5008"/>
          <w:sz w:val="19"/>
          <w:szCs w:val="19"/>
        </w:rPr>
        <w:t xml:space="preserve">12. </w:t>
      </w:r>
      <w:r>
        <w:rPr>
          <w:b/>
          <w:bCs/>
          <w:sz w:val="19"/>
          <w:szCs w:val="19"/>
        </w:rPr>
        <w:t xml:space="preserve">Enucleation is offered as a parenchyma-sparing alternative on the strength of pooled retrospective comparisons in which the enucleable tumours were, by definition, the favourable ones.</w:t>
      </w:r>
    </w:p>
    <w:p>
      <w:pPr>
        <w:spacing w:after="40" w:line="276"/>
        <w:ind w:left="260"/>
      </w:pPr>
      <w:r>
        <w:rPr>
          <w:color w:val="15181F"/>
          <w:sz w:val="18"/>
          <w:szCs w:val="18"/>
        </w:rPr>
        <w:t xml:space="preserve">Grade C. All 22 studies in the meta-analysis were non-randomised and observational, mean methodological quality was 13 of a possible 27, and only one of the 22 reported information on principal confounders - so the random-effects pooling is combining uncontrolled comparisons. The review concedes it cannot tell whether the standard-resection patients were ever enucleation candidates, which makes part of every difference in blood loss, operating time and pancreatic insufficiency an artefact of lesion size and position. Indications pooled insulinoma, non-functioning tumours, serous and mucinous cystadenoma, IPMN and chronic pancreatitis, so no result is specific to a neuroendocrine tumour. The functional advantages are consistent and plausible (endocrine risk difference -0.08, exocrine -0.17, the latter with I-squared 86%); the fistula excess is real (OR 2.09, 1.41-3.11) and disappeared only in four studies doing more than 20 enucleations in total and more than 4 a year - a volume threshold the review's own authors defined and inserted into their quality checklist, which makes the least pre-specified analysis the one carried into the conclusion. And the question a surveillance pathway actually needs, whether enucleation without lymphadenectomy is oncologically adequate, is the one the review states it cannot address. Local annual volume has not been set and needs to be. See approval 5.</w:t>
      </w:r>
    </w:p>
    <w:p>
      <w:pPr>
        <w:spacing w:after="60" w:before="160"/>
      </w:pPr>
      <w:r>
        <w:rPr>
          <w:b/>
          <w:bCs/>
          <w:color w:val="8E5008"/>
          <w:sz w:val="19"/>
          <w:szCs w:val="19"/>
        </w:rPr>
        <w:t xml:space="preserve">13. </w:t>
      </w:r>
      <w:r>
        <w:rPr>
          <w:b/>
          <w:bCs/>
          <w:sz w:val="19"/>
          <w:szCs w:val="19"/>
        </w:rPr>
        <w:t xml:space="preserve">Grade from a needle biopsy is treated as a floor rather than a fact, and observation decisions are made on it anyway.</w:t>
      </w:r>
    </w:p>
    <w:p>
      <w:pPr>
        <w:spacing w:after="40" w:line="276"/>
        <w:ind w:left="260"/>
      </w:pPr>
      <w:r>
        <w:rPr>
          <w:color w:val="15181F"/>
          <w:sz w:val="18"/>
          <w:szCs w:val="18"/>
        </w:rPr>
        <w:t xml:space="preserve">Mechanistically sound and uncomfortable, and the primary study is worse than the page previously implied. The paper's title advertises high reproducibility, which is true only of two readers scoring the same slide (r-squared 0.93 and 0.94); the clinically relevant comparison, cytological against histological grade, returned a kappa of 0.21 (p=0.09), rising only to 0.24 when at least 200 cells were counted and no better at a 5% cut-off, and 10 of 14 histological G2 tumours (71%) were called cytological G1 with histological Ki-67 averaging 1.3 times the cytological value. NANETS reports agreement under 50% for G2 and G3 and areas with Ki-67 of 2% or less common within G2 tumours; the only prospective core-biopsy study enrolled 30 patients and is not in this depot. The survival separation that makes cytological grade look useful is carried by 4 cytological G3 patients, all of whom were locally advanced, node-positive or metastatic at diagnosis, and the concordance analysis could only include resected tumours - so nothing in it describes the small lesions actually being watched. We are observing some tumours whose true grade is higher than the number in the chart, and no study quantifies how often or with what consequence.</w:t>
      </w:r>
    </w:p>
    <w:p>
      <w:pPr>
        <w:spacing w:after="60" w:before="160"/>
      </w:pPr>
      <w:r>
        <w:rPr>
          <w:b/>
          <w:bCs/>
          <w:color w:val="8E5008"/>
          <w:sz w:val="19"/>
          <w:szCs w:val="19"/>
        </w:rPr>
        <w:t xml:space="preserve">14. </w:t>
      </w:r>
      <w:r>
        <w:rPr>
          <w:b/>
          <w:bCs/>
          <w:sz w:val="19"/>
          <w:szCs w:val="19"/>
        </w:rPr>
        <w:t xml:space="preserve">Whether to obtain tissue at all before choosing surveillance is a live guideline disagreement that this page does not settle.</w:t>
      </w:r>
    </w:p>
    <w:p>
      <w:pPr>
        <w:spacing w:after="40" w:line="276"/>
        <w:ind w:left="260"/>
      </w:pPr>
      <w:r>
        <w:rPr>
          <w:color w:val="15181F"/>
          <w:sz w:val="18"/>
          <w:szCs w:val="18"/>
        </w:rPr>
        <w:t xml:space="preserve">NANETS says biopsy is not routinely necessary to confirm the diagnosis before deciding to observe an asymptomatic sub-centimetre lesion with a characteristic imaging phenotype. ENETS 2023, read in full, says a suspected nonfunctioning tumour under 2 cm with positive somatostatin-receptor imaging should be confirmed histologically or cytologically where possible (level 3, grade B), and separately flags DAXX and ATRX loss and alternative lengthening of telomeres as independent adverse prognostic factors particularly in tumours of 2 cm or less - which is an argument for tissue. The 2025 MEN1 recommendations find no role for routine EUS-guided biopsy in that syndrome. Three positions, no outcome data separating them, and a real cost either way: a biopsy that under-grades by 71% in G2 disease versus a surveillance programme with no histology at all, which is what two thirds of ASPEN's surveillance arm actually had. See approval 11.</w:t>
      </w:r>
    </w:p>
    <w:p>
      <w:pPr>
        <w:spacing w:after="60" w:before="160"/>
      </w:pPr>
      <w:r>
        <w:rPr>
          <w:b/>
          <w:bCs/>
          <w:color w:val="8E5008"/>
          <w:sz w:val="19"/>
          <w:szCs w:val="19"/>
        </w:rPr>
        <w:t xml:space="preserve">15. </w:t>
      </w:r>
      <w:r>
        <w:rPr>
          <w:b/>
          <w:bCs/>
          <w:sz w:val="19"/>
          <w:szCs w:val="19"/>
        </w:rPr>
        <w:t xml:space="preserve">What to do with a receptor-positive, FDG-positive localised primary in a patient whose biopsy says G1 or G2 is not covered by any guideline, and is currently decided case by case.</w:t>
      </w:r>
    </w:p>
    <w:p>
      <w:pPr>
        <w:spacing w:after="40" w:line="276"/>
        <w:ind w:left="260"/>
      </w:pPr>
      <w:r>
        <w:rPr>
          <w:color w:val="15181F"/>
          <w:sz w:val="18"/>
          <w:szCs w:val="18"/>
        </w:rPr>
        <w:t xml:space="preserve">The combined-PET score is now better supported and still inapplicable here. In the 319-patient three-centre cohort it independently predicted overall survival (HR 2.376, 1.682-3.357, p&lt;0.001) and time to progression, with inter-rater kappa 0.8 - but histological grade was independently prognostic alongside it (HR 1.615, 1.192-2.187, p=0.002), so the claim in the first draft that the score outperformed pathological grading holds only in the 62-patient derivation cohort where grade was non-significant and no multivariable model was fitted. Both cohorts were metastatic or unresectable disease; only 39% and 36% of patients had pancreatic primaries and neither paper reports a pancreatic subgroup; two of the three validation centres supplied the derivation data; and treatment was not modelled, which matters because receptor-positive, FDG-negative disease is the eligibility criterion for radionuclide therapy. The 5-point scale has never been validated level by level and carries no treatment threshold. The SNMMI/EANM standard says FDG positivity predicts progression more strongly than grade and that the combination can direct a biopsy to the worst lesion, and stops there. Applying any of it to a 1.5 cm primary is an extrapolation with no outcome data behind it either way.</w:t>
      </w:r>
    </w:p>
    <w:p>
      <w:pPr>
        <w:spacing w:after="60" w:before="160"/>
      </w:pPr>
      <w:r>
        <w:rPr>
          <w:b/>
          <w:bCs/>
          <w:color w:val="8E5008"/>
          <w:sz w:val="19"/>
          <w:szCs w:val="19"/>
        </w:rPr>
        <w:t xml:space="preserve">16. </w:t>
      </w:r>
      <w:r>
        <w:rPr>
          <w:b/>
          <w:bCs/>
          <w:sz w:val="19"/>
          <w:szCs w:val="19"/>
        </w:rPr>
        <w:t xml:space="preserve">Non-localised sporadic gastrinoma is left unsettled on this page, with the two guideline positions stated side by side.</w:t>
      </w:r>
    </w:p>
    <w:p>
      <w:pPr>
        <w:spacing w:after="40" w:line="276"/>
        <w:ind w:left="260"/>
      </w:pPr>
      <w:r>
        <w:rPr>
          <w:color w:val="15181F"/>
          <w:sz w:val="18"/>
          <w:szCs w:val="18"/>
        </w:rPr>
        <w:t xml:space="preserve">NCCN offers observation or exploration with duodenotomy, intraoperative ultrasound and periduodenal node dissection; NANETS 2020 recommends against routine exploration and asks for referral to a centre with expertise. Norton's comparison remains the strongest datum and the full-text read sharpens what is wrong with it: 160 operated against 35 who met the same criteria but did not have surgery - 19 because they refused after consulting their own physician, 10 because MEN1 with no lesion above 2.5 cm, 5 for comorbidity - with liver metastases 5% against 29% (p=0.0002) and 15-year disease-related survival 98% against 74%. The surgical arm's disease-related figure rests on 2 deaths with no confidence interval for the ratio; non-disease mortality was numerically higher in the controls (31% against 20%), the expected signature of a sicker comparison group, reported as non-significant and not interpreted; cause of death was adjudicated unblinded by the operating investigators in a study whose endpoint is cause-specific; the controls were imaged every 6 to 12 months against yearly evaluation of the operated patients, so ascertainment differed by arm; and accrual spans 1980 to the mid-2000s during which the operation itself changed, with all 10 patients in whom no tumour was found operated before routine duodenotomy. Almost every primary was duodenal or nodal. NANETS' counter-argument - that the supporting surgical data predate modern imaging and that the tumours found at exploration were the prognostically best ones - is unrefuted. This needs a named local position and a named referral centre, not a case-by-case improvisation. See approval 4.</w:t>
      </w:r>
    </w:p>
    <w:p>
      <w:pPr>
        <w:spacing w:after="60" w:before="160"/>
      </w:pPr>
      <w:r>
        <w:rPr>
          <w:b/>
          <w:bCs/>
          <w:color w:val="8E5008"/>
          <w:sz w:val="19"/>
          <w:szCs w:val="19"/>
        </w:rPr>
        <w:t xml:space="preserve">17. </w:t>
      </w:r>
      <w:r>
        <w:rPr>
          <w:b/>
          <w:bCs/>
          <w:sz w:val="19"/>
          <w:szCs w:val="19"/>
        </w:rPr>
        <w:t xml:space="preserve">The hereditary-syndrome thresholds on this page are tautologies of their own derivation, and both were downgraded on the full-text read.</w:t>
      </w:r>
    </w:p>
    <w:p>
      <w:pPr>
        <w:spacing w:after="40" w:line="276"/>
        <w:ind w:left="260"/>
      </w:pPr>
      <w:r>
        <w:rPr>
          <w:color w:val="15181F"/>
          <w:sz w:val="18"/>
          <w:szCs w:val="18"/>
        </w:rPr>
        <w:t xml:space="preserve">Grade D for both. The MEN1 20 mm line rests on a metastasis gradient whose two lowest strata are 1 of 25 and 4 of 40 patients with entirely overlapping confidence intervals, metastasis defined on imaging in 60% of cases in a paper that itself cites evidence that a quarter of radiographically node-negative MEN1 patients have occult metastases at operation, and a mean follow-up of 4.3 years in a disease whose victims died at a mean age of 43; the same paper's comparison of 32 curatively operated against 66 unoperated patients found no difference in metastasis, tumour death or progression, which is an underpowered null rather than equivalence. The VHL rule was derived from 9 metastatic events and then declared to capture all 9, so its perfect sensitivity is a property of the derivation; doubling time was computable in all 9 of those patients but only 54 of 99 without metastases, and patients with growing lesions are imaged more often, so the exposure and the ability to measure it are entangled; 69 of the 108 lesions were never resected and rest on imaging appearance alone, which the senior author conceded could include microcystic adenomas; the 3 cm cut point was carried over from the group's own prior work and a discussant's question about 1 and 2 cm was answered by saying the analysis had not been done; and no Ki-67 or grade datum exists anywhere in the series. Both thresholds are probably right in direction. Neither was derived.</w:t>
      </w:r>
    </w:p>
    <w:p>
      <w:pPr>
        <w:spacing w:after="60" w:before="160"/>
      </w:pPr>
      <w:r>
        <w:rPr>
          <w:b/>
          <w:bCs/>
          <w:color w:val="8E5008"/>
          <w:sz w:val="19"/>
          <w:szCs w:val="19"/>
        </w:rPr>
        <w:t xml:space="preserve">18. </w:t>
      </w:r>
      <w:r>
        <w:rPr>
          <w:b/>
          <w:bCs/>
          <w:sz w:val="19"/>
          <w:szCs w:val="19"/>
        </w:rPr>
        <w:t xml:space="preserve">Calcification is reported on this page as a reason to think again about a small lesion, and its statistical support is almost absent.</w:t>
      </w:r>
    </w:p>
    <w:p>
      <w:pPr>
        <w:spacing w:after="40" w:line="276"/>
        <w:ind w:left="260"/>
      </w:pPr>
      <w:r>
        <w:rPr>
          <w:color w:val="15181F"/>
          <w:sz w:val="18"/>
          <w:szCs w:val="18"/>
        </w:rPr>
        <w:t xml:space="preserve">Grade D. The independent hazard ratio is 11.5 with a 95% confidence interval from 1.1 to 125.0 at p=0.043, in a Cox model that also returns 25.2 and 33.0 for nodal and distant metastasis, with no event count reported anywhere - the signature of an overfitted model. Cystic morphology, presented alongside it in the abstract and conclusion as usable for stratification, was not independently prognostic at all (HR 1.6, 0.2-14.3, p=0.69). Between 28% and 29% of the cohort has no data on the two exposures and the analysis is complete-case with no imputation or sensitivity analysis; the exposures were classified from radiology report wording across eight institutions and seventeen years with no central re-read, which makes them a measure of reporting practice as much as of biology; the cystic-and-calcified cell anchoring the four-way comparison holds 16 patients; and the paper's own Table 1 is internally inconsistent, so the denominators behind its percentages cannot be reconstructed. Median follow-up was 35 months against recurrences at 4 to 7 years. The association with adverse pathology is plausible and the direction is probably right. The effect size is uninterpretable.</w:t>
      </w:r>
    </w:p>
    <w:p>
      <w:pPr>
        <w:spacing w:after="60" w:before="160"/>
      </w:pPr>
      <w:r>
        <w:rPr>
          <w:b/>
          <w:bCs/>
          <w:color w:val="8E5008"/>
          <w:sz w:val="19"/>
          <w:szCs w:val="19"/>
        </w:rPr>
        <w:t xml:space="preserve">19. </w:t>
      </w:r>
      <w:r>
        <w:rPr>
          <w:b/>
          <w:bCs/>
          <w:sz w:val="19"/>
          <w:szCs w:val="19"/>
        </w:rPr>
        <w:t xml:space="preserve">The Ki-67 55% split that NCCN uses to offer neoadjuvant therapy is not independently prognostic in the study that produced it.</w:t>
      </w:r>
    </w:p>
    <w:p>
      <w:pPr>
        <w:spacing w:after="40" w:line="276"/>
        <w:ind w:left="260"/>
      </w:pPr>
      <w:r>
        <w:rPr>
          <w:color w:val="15181F"/>
          <w:sz w:val="18"/>
          <w:szCs w:val="18"/>
        </w:rPr>
        <w:t xml:space="preserve">The cut point was derived by receiver-operating-characteristic analysis in 42 randomly selected patients within a 305-patient retrospective cohort of advanced gastrointestinal neuroendocrine carcinoma and then applied to the rest of that same cohort, with no external validation. It does separate platinum response (15% below 55% against 42% at or above, p&lt;0.001) - but median survival was longer in the lower group, not the higher (14 against 10 months, p&lt;0.001), and Ki-67 dropped out of both the full and the final multivariable models because of its strong association with primary site, a fact the abstract does not convey. Performance status, primary site, platelets and lactate dehydrogenase are what the model retained. Ki-67 was read by many pathologists in several countries with no central review and the authors say the cut-off should be interpreted with caution. Pancreatic primaries were 71 of the 305, analysed as one of seven site subgroups with no multiplicity correction. NCCN itself flags the data as limited and Ki-67 as heterogeneous within a tumour and across serial biopsies. See approval 6.</w:t>
      </w:r>
    </w:p>
    <w:p>
      <w:pPr>
        <w:spacing w:after="60" w:before="160"/>
      </w:pPr>
      <w:r>
        <w:rPr>
          <w:b/>
          <w:bCs/>
          <w:color w:val="8E5008"/>
          <w:sz w:val="19"/>
          <w:szCs w:val="19"/>
        </w:rPr>
        <w:t xml:space="preserve">20. </w:t>
      </w:r>
      <w:r>
        <w:rPr>
          <w:b/>
          <w:bCs/>
          <w:sz w:val="19"/>
          <w:szCs w:val="19"/>
        </w:rPr>
        <w:t xml:space="preserve">The sharp prognostic split between a well-differentiated G3 tumour and a poorly differentiated carcinoma softens when stage is matched, and one number on the first draft of this page was wrong.</w:t>
      </w:r>
    </w:p>
    <w:p>
      <w:pPr>
        <w:spacing w:after="40" w:line="276"/>
        <w:ind w:left="260"/>
      </w:pPr>
      <w:r>
        <w:rPr>
          <w:color w:val="15181F"/>
          <w:sz w:val="18"/>
          <w:szCs w:val="18"/>
        </w:rPr>
        <w:t xml:space="preserve">The comparator for poorly differentiated pancreatic carcinoma is 16 months, not the 11 months this page previously carried; the first draft took the figure from the abstract rather than the table. More importantly, in the stage-matched analysis restricted to stage IV, pancreatic grade 1-2 well-differentiated tumours and those with a morphologically apparent high-grade component showed no statistically significant difference in disease-specific survival, and both did far better than carcinoma (median 61 against 16 months, p&lt;0.001, hazard ratios 0.17 and 0.16) - which is the result most corrosive to the paper's own framing, and the abstract leads with the unmatched 55-against-162-month contrast instead. The clinical conclusion stands: differentiation, not Ki-67, decides whether an operation is on the table. But the 31 cases were found by searching two pathology archives for grade discrepancy, so nothing in the series estimates how often transformation happens; the genotype contrast that separates these tumours from carcinoma rests on 4 prospectively sequenced tumours against literature controls; and 6 of the 31 were biopsies in which the defining lower-grade component was inferred from clinical history rather than seen.</w:t>
      </w:r>
    </w:p>
    <w:p>
      <w:pPr>
        <w:spacing w:after="60" w:before="160"/>
      </w:pPr>
      <w:r>
        <w:rPr>
          <w:b/>
          <w:bCs/>
          <w:color w:val="8E5008"/>
          <w:sz w:val="19"/>
          <w:szCs w:val="19"/>
        </w:rPr>
        <w:t xml:space="preserve">21. </w:t>
      </w:r>
      <w:r>
        <w:rPr>
          <w:b/>
          <w:bCs/>
          <w:sz w:val="19"/>
          <w:szCs w:val="19"/>
        </w:rPr>
        <w:t xml:space="preserve">There is no adjuvant therapy here, and the page says nothing rather than offering something.</w:t>
      </w:r>
    </w:p>
    <w:p>
      <w:pPr>
        <w:spacing w:after="40" w:line="276"/>
        <w:ind w:left="260"/>
      </w:pPr>
      <w:r>
        <w:rPr>
          <w:color w:val="15181F"/>
          <w:sz w:val="18"/>
          <w:szCs w:val="18"/>
        </w:rPr>
        <w:t xml:space="preserve">This is the correct reading of the evidence and it is still hard to deliver to a node-positive G2 patient with perineural invasion whose recurrence risk is substantial. The only comparative data - propensity-matched NCDB, 301 against 301 - showed worse survival with adjuvant therapy (P=0.037) with the agents unrecorded, which is almost certainly selection rather than harm but is not a reason to treat; that analysis is quoted from the NANETS and NCCN text and is not in this page's full-text depot. The randomised trial (NCT05040360) is the right answer for the patient who wants treatment. Note also what the recurrence score can and cannot do: it is internally validated only, it is not statistically better than WHO grade alone (c-statistic 0.81 against 0.72, p=0.059), all three of its components are postoperative findings, and it was funded by a somatostatin analogue manufacturer with the explicit purpose of identifying high-risk patients for adjuvant trials.</w:t>
      </w:r>
    </w:p>
    <w:p>
      <w:pPr>
        <w:spacing w:after="60" w:before="160"/>
      </w:pPr>
      <w:r>
        <w:rPr>
          <w:b/>
          <w:bCs/>
          <w:color w:val="8E5008"/>
          <w:sz w:val="19"/>
          <w:szCs w:val="19"/>
        </w:rPr>
        <w:t xml:space="preserve">22. </w:t>
      </w:r>
      <w:r>
        <w:rPr>
          <w:b/>
          <w:bCs/>
          <w:sz w:val="19"/>
          <w:szCs w:val="19"/>
        </w:rPr>
        <w:t xml:space="preserve">Several numbers on this page are quoted from guideline text rather than from a primary paper read in full, and they are now labelled as such wherever they appear.</w:t>
      </w:r>
    </w:p>
    <w:p>
      <w:pPr>
        <w:spacing w:after="40" w:line="276"/>
        <w:ind w:left="260"/>
      </w:pPr>
      <w:r>
        <w:rPr>
          <w:color w:val="15181F"/>
          <w:sz w:val="18"/>
          <w:szCs w:val="18"/>
        </w:rPr>
        <w:t xml:space="preserve">The full-text depot read on 7 October 2026 covers 28 of the 33 indexed papers. The NANETS 2020 surgical consensus, the ENETS 2023 functioning-syndromes guidance and the ENETS 2023 digestive neuroendocrine carcinoma guidance remain the programme-supplied guideline sources rather than depot papers, and the AACE MEN1 consensus statement of March 2025 and the 2021 international consensus statement on the pancreas in MEN1 are still cited from their abstracts only - neither full text was obtained in this pass, and every numeric criterion attributed to either must be confirmed before use. Within the NANETS text specifically, the following figures carry no primary paper in this depot and should be verified against their sources before ratification: the 11-to-15 node yield; the 1,020-patient 8-centre margin series; the 310-patient and 119-patient resected high-grade series; the 326-patient nodal-survival cohort; the 999-patient and 981-patient lymphadenectomy analyses; the 63-patient and 143-patient receptor-PET follow-up series; the 44-of-107 pathology re-review; the 30-patient prospective core-biopsy study; the MD Anderson neoadjuvant series; the propensity-matched NCDB perioperative-therapy analysis; and the central-pancreatectomy insufficiency rates. Each is attributed in the body of the page where it is used.</w:t>
      </w:r>
    </w:p>
    <w:p>
      <w:pPr>
        <w:spacing w:after="60" w:before="160"/>
      </w:pPr>
      <w:r>
        <w:rPr>
          <w:b/>
          <w:bCs/>
          <w:color w:val="8E5008"/>
          <w:sz w:val="19"/>
          <w:szCs w:val="19"/>
        </w:rPr>
        <w:t xml:space="preserve">23. </w:t>
      </w:r>
      <w:r>
        <w:rPr>
          <w:b/>
          <w:bCs/>
          <w:sz w:val="19"/>
          <w:szCs w:val="19"/>
        </w:rPr>
        <w:t xml:space="preserve">The NCCN version behind this page could not be established from the extracted text, and page numbers are therefore not cited anywhere.</w:t>
      </w:r>
    </w:p>
    <w:p>
      <w:pPr>
        <w:spacing w:after="40" w:line="276"/>
        <w:ind w:left="260"/>
      </w:pPr>
      <w:r>
        <w:rPr>
          <w:color w:val="15181F"/>
          <w:sz w:val="18"/>
          <w:szCs w:val="18"/>
        </w:rPr>
        <w:t xml:space="preserve">The programme-supplied extraction carries no version string. Its most recent references date from 2025, including the MEN1 guideline of June 2025, which places it at v3.2025 or later. Every numeric criterion attributed to NCCN on this page should be confirmed against the current published PDF before the page is used clinically, and an owner should be named for that check. See approval 10.</w:t>
      </w:r>
    </w:p>
    <w:p>
      <w:pPr>
        <w:spacing w:after="60" w:before="160"/>
      </w:pPr>
      <w:r>
        <w:rPr>
          <w:b/>
          <w:bCs/>
          <w:color w:val="8E5008"/>
          <w:sz w:val="19"/>
          <w:szCs w:val="19"/>
        </w:rPr>
        <w:t xml:space="preserve">24. </w:t>
      </w:r>
      <w:r>
        <w:rPr>
          <w:b/>
          <w:bCs/>
          <w:sz w:val="19"/>
          <w:szCs w:val="19"/>
        </w:rPr>
        <w:t xml:space="preserve">The harm side of the observation-versus-resection ledger is better measured than the benefit side, and the page should be read that way.</w:t>
      </w:r>
    </w:p>
    <w:p>
      <w:pPr>
        <w:spacing w:after="40" w:line="276"/>
        <w:ind w:left="260"/>
      </w:pPr>
      <w:r>
        <w:rPr>
          <w:color w:val="15181F"/>
          <w:sz w:val="18"/>
          <w:szCs w:val="18"/>
        </w:rPr>
        <w:t xml:space="preserve">What the literature establishes with reasonable confidence is what an operation costs. Any grade 3 complication in 16 of 77 (21%) and a grade 3 leak-related complication in 13 (17%) in the matched case-control series; severe complications in 13% of ASPEN's resected patients with no deaths; major complications in 58 of 211 (27%) and grade B or C fistula in 46 (22%) in the three-centre recurrence cohort; a pancreatic fistula rate roughly doubled by enucleation; endocrine and exocrine insufficiency measurably reduced by parenchyma-sparing surgery and substantial after any formal resection; pancreatic resection morbidity up to 50% and mortality up to 3% even in high-volume centres on the ENETS figures. What the literature does not establish is any survival benefit from resecting a small tumour: no randomised comparison, no systematic difference in metastasis or mortality where it has been looked for, no independent effect of size, nodal status or margins on survival in the largest resected series, and no difference by extent of resection or by the addition of lymphadenectomy. A page that lists the harms precisely and the benefits vaguely is not biased - it is reporting the asymmetry in the evidence, and the conversation with the patient should carry the same asymmetry.</w:t>
      </w:r>
    </w:p>
    <w:p>
      <w:pPr>
        <w:spacing w:after="60" w:before="160"/>
      </w:pPr>
      <w:r>
        <w:rPr>
          <w:b/>
          <w:bCs/>
          <w:color w:val="8E5008"/>
          <w:sz w:val="19"/>
          <w:szCs w:val="19"/>
        </w:rPr>
        <w:t xml:space="preserve">25. </w:t>
      </w:r>
      <w:r>
        <w:rPr>
          <w:b/>
          <w:bCs/>
          <w:sz w:val="19"/>
          <w:szCs w:val="19"/>
        </w:rPr>
        <w:t xml:space="preserve">There is no ratified Memorial Hermann roadmap behind this page, and the second pass has not changed that.</w:t>
      </w:r>
    </w:p>
    <w:p>
      <w:pPr>
        <w:spacing w:after="40" w:line="276"/>
        <w:ind w:left="260"/>
      </w:pPr>
      <w:r>
        <w:rPr>
          <w:color w:val="15181F"/>
          <w:sz w:val="18"/>
          <w:szCs w:val="18"/>
        </w:rPr>
        <w:t xml:space="preserve">Every position here was assembled from published guidelines and primary literature. The full-text read has made the page more accurate about how well supported each position is; it has not conferred any institutional authority on it. Nothing on this page has been through multidisciplinary or institutional governance review, and the fifteen approvals below are the list of decisions the group has to take before it could be.</w:t>
      </w:r>
    </w:p>
    <w:p>
      <w:pPr>
        <w:pStyle w:val="Heading1"/>
        <w:keepNext/>
        <w:pageBreakBefore/>
        <w:spacing w:after="110" w:before="320"/>
      </w:pPr>
      <w:r>
        <w:rPr>
          <w:rFonts w:ascii="Cambria" w:cs="Cambria" w:eastAsia="Cambria" w:hAnsi="Cambria"/>
          <w:b/>
          <w:bCs/>
          <w:color w:val="17365D"/>
          <w:sz w:val="32"/>
          <w:szCs w:val="32"/>
        </w:rPr>
        <w:t xml:space="preserve">Operations</w:t>
      </w:r>
    </w:p>
    <w:p>
      <w:pPr>
        <w:pStyle w:val="Heading2"/>
        <w:keepNext/>
        <w:spacing w:after="110" w:before="240"/>
      </w:pPr>
      <w:r>
        <w:rPr>
          <w:rFonts w:ascii="Cambria" w:cs="Cambria" w:eastAsia="Cambria" w:hAnsi="Cambria"/>
          <w:b/>
          <w:bCs/>
          <w:color w:val="17365D"/>
          <w:sz w:val="26"/>
          <w:szCs w:val="26"/>
        </w:rPr>
        <w:t xml:space="preserve">The board meeting</w:t>
      </w:r>
    </w:p>
    <w:p>
      <w:pPr>
        <w:pStyle w:val="Heading2"/>
        <w:keepNext/>
        <w:spacing w:after="110" w:before="240"/>
      </w:pPr>
      <w:r>
        <w:rPr>
          <w:rFonts w:ascii="Cambria" w:cs="Cambria" w:eastAsia="Cambria" w:hAnsi="Cambria"/>
          <w:b/>
          <w:bCs/>
          <w:color w:val="17365D"/>
          <w:sz w:val="26"/>
          <w:szCs w:val="26"/>
        </w:rPr>
        <w:t xml:space="preserve">The dashboard</w:t>
      </w:r>
    </w:p>
    <w:p>
      <w:pPr>
        <w:pStyle w:val="Heading2"/>
        <w:keepNext/>
        <w:spacing w:after="110" w:before="240"/>
      </w:pPr>
      <w:r>
        <w:rPr>
          <w:rFonts w:ascii="Cambria" w:cs="Cambria" w:eastAsia="Cambria" w:hAnsi="Cambria"/>
          <w:b/>
          <w:bCs/>
          <w:color w:val="17365D"/>
          <w:sz w:val="26"/>
          <w:szCs w:val="26"/>
        </w:rPr>
        <w:t xml:space="preserve">Decisions this programme still has to make</w:t>
      </w:r>
    </w:p>
    <w:p>
      <w:pPr>
        <w:spacing w:after="160" w:line="276"/>
      </w:pPr>
      <w:r>
        <w:rPr>
          <w:i/>
          <w:iCs/>
          <w:color w:val="5A6069"/>
          <w:sz w:val="20"/>
          <w:szCs w:val="20"/>
        </w:rPr>
        <w:t xml:space="preserve">These are not evidence gaps. They are choices the roadmap cannot make on the programme's behalf, and until each is settled the same patient can be managed differently depending on who is in the room.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520"/>
        <w:gridCol w:w="4100"/>
        <w:gridCol w:w="4740"/>
      </w:tblGrid>
      <w:tr>
        <w:trPr>
          <w:cantSplit/>
          <w:tblHeader/>
        </w:trPr>
        <w:tc>
          <w:tcPr>
            <w:tcW w:type="dxa" w:w="520"/>
            <w:shd w:fill="17365D" w:color="auto" w:val="clear"/>
            <w:tcMar>
              <w:top w:type="dxa" w:w="70"/>
              <w:left w:type="dxa" w:w="110"/>
              <w:bottom w:type="dxa" w:w="70"/>
              <w:right w:type="dxa" w:w="110"/>
            </w:tcMar>
            <w:vAlign w:val="top"/>
          </w:tcPr>
          <w:p>
            <w:r>
              <w:rPr>
                <w:b/>
                <w:bCs/>
                <w:color w:val="FFFFFF"/>
                <w:spacing w:val="18"/>
                <w:sz w:val="15"/>
                <w:szCs w:val="15"/>
              </w:rPr>
              <w:t xml:space="preserve">#</w:t>
            </w:r>
          </w:p>
        </w:tc>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THE DECISION</w:t>
            </w:r>
          </w:p>
        </w:tc>
        <w:tc>
          <w:tcPr>
            <w:tcW w:type="dxa" w:w="4740"/>
            <w:shd w:fill="17365D" w:color="auto" w:val="clear"/>
            <w:tcMar>
              <w:top w:type="dxa" w:w="70"/>
              <w:left w:type="dxa" w:w="110"/>
              <w:bottom w:type="dxa" w:w="70"/>
              <w:right w:type="dxa" w:w="110"/>
            </w:tcMar>
            <w:vAlign w:val="top"/>
          </w:tcPr>
          <w:p>
            <w:r>
              <w:rPr>
                <w:b/>
                <w:bCs/>
                <w:color w:val="FFFFFF"/>
                <w:spacing w:val="18"/>
                <w:sz w:val="15"/>
                <w:szCs w:val="15"/>
              </w:rPr>
              <w:t xml:space="preserve">WHY IT HAS TO BE MADE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w:t>
            </w:r>
          </w:p>
        </w:tc>
        <w:tc>
          <w:tcPr>
            <w:tcW w:type="dxa" w:w="4100"/>
            <w:tcMar>
              <w:top w:type="dxa" w:w="70"/>
              <w:left w:type="dxa" w:w="110"/>
              <w:bottom w:type="dxa" w:w="70"/>
              <w:right w:type="dxa" w:w="110"/>
            </w:tcMar>
            <w:vAlign w:val="top"/>
          </w:tcPr>
          <w:p>
            <w:pPr>
              <w:spacing w:after="0" w:line="276"/>
            </w:pPr>
            <w:r>
              <w:rPr>
                <w:color w:val="15181F"/>
                <w:sz w:val="17"/>
                <w:szCs w:val="17"/>
              </w:rPr>
              <w:t xml:space="preserve">For an incidental nonfunctional tumour of 1 to 2 cm, does the programme default to observation or to individualised decision?</w:t>
            </w:r>
          </w:p>
        </w:tc>
        <w:tc>
          <w:tcPr>
            <w:tcW w:type="dxa" w:w="4740"/>
            <w:tcMar>
              <w:top w:type="dxa" w:w="70"/>
              <w:left w:type="dxa" w:w="110"/>
              <w:bottom w:type="dxa" w:w="70"/>
              <w:right w:type="dxa" w:w="110"/>
            </w:tcMar>
            <w:vAlign w:val="top"/>
          </w:tcPr>
          <w:p>
            <w:pPr>
              <w:spacing w:after="0" w:line="276"/>
            </w:pPr>
            <w:r>
              <w:rPr>
                <w:color w:val="15181F"/>
                <w:sz w:val="17"/>
                <w:szCs w:val="17"/>
              </w:rPr>
              <w:t xml:space="preserve">NCCN's surgical principles say a G1 tumour under 2 cm can be safely observed and that this is the recommended course; NANETS says individualise everything between 1 and 2 cm; the Delphi consensus NANETS cites reached no agreement in that band at all; ENETS 2023, read in full, observes 1 cm or less and personalises above 1 cm to the resection required and the patient's comorbidities, with no rule offered; and the ASPEN investigators, whose data NCCN cites in support of observation, conclude that management should be personalised above 1 cm. Every source hands the 1-2 cm band back to the clinician, which means the decision is made by whoever is in the room unless a default is chosen. The full-text read adds one thing: the only systematic comparison of the two strategies at this size found no difference in metastasis or mortality, at low to very low certainty, so a default either way is a judgement and not a finding.</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a dilated main pancreatic duct an absolute indication to resect a small nonfunctional tumour?</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ASPEN's authors state that surgery is always mandatory with a dilated main pancreatic duct and ENETS 2023 strongly recommends it; NCCN does not list duct dilatation as a resection trigger anywhere. The supporting evidence is association rather than outcome - a duct above 3 mm independently predicted the decision to operate (OR 3.4, p&lt;0.001) - and the threshold used is the study's own. The full-text read sharpens the histological argument in both directions: duct dilatation identified the only two aggressive sub-centimetre tumours in ASPEN, and yet only 5 of the 19 tumours with an aggressive feature had a radiological duct over 3 mm at all.</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3</w:t>
            </w:r>
          </w:p>
        </w:tc>
        <w:tc>
          <w:tcPr>
            <w:tcW w:type="dxa" w:w="4100"/>
            <w:tcMar>
              <w:top w:type="dxa" w:w="70"/>
              <w:left w:type="dxa" w:w="110"/>
              <w:bottom w:type="dxa" w:w="70"/>
              <w:right w:type="dxa" w:w="110"/>
            </w:tcMar>
            <w:vAlign w:val="top"/>
          </w:tcPr>
          <w:p>
            <w:pPr>
              <w:spacing w:after="0" w:line="276"/>
            </w:pPr>
            <w:r>
              <w:rPr>
                <w:color w:val="15181F"/>
                <w:sz w:val="17"/>
                <w:szCs w:val="17"/>
              </w:rPr>
              <w:t xml:space="preserve">Does the size threshold for resection differ by race?</w:t>
            </w:r>
          </w:p>
        </w:tc>
        <w:tc>
          <w:tcPr>
            <w:tcW w:type="dxa" w:w="4740"/>
            <w:tcMar>
              <w:top w:type="dxa" w:w="70"/>
              <w:left w:type="dxa" w:w="110"/>
              <w:bottom w:type="dxa" w:w="70"/>
              <w:right w:type="dxa" w:w="110"/>
            </w:tcMar>
            <w:vAlign w:val="top"/>
          </w:tcPr>
          <w:p>
            <w:pPr>
              <w:spacing w:after="0" w:line="276"/>
            </w:pPr>
            <w:r>
              <w:rPr>
                <w:color w:val="15181F"/>
                <w:sz w:val="17"/>
                <w:szCs w:val="17"/>
              </w:rPr>
              <w:t xml:space="preserve">Nodal metastasis below 2 cm was 23% and 21% in Black patients against 5% and 12% in white patients in two independent datasets (p&lt;0.01 in both). NCCN reproduces the finding without altering the algorithm. The programme needs a stated position, and a stated reason for it, rather than silence.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What is the non-localised sporadic gastrinoma pathway, and where is it done?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NCCN offers observation or exploration with duodenotomy; NANETS 2020 recommends against routine exploration and asks for referral to a centre with expertise. Both cannot be the local position, and a patient who arrives with Zollinger-Ellison syndrome and no target on imaging needs the answer to already exist.</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5</w:t>
            </w:r>
          </w:p>
        </w:tc>
        <w:tc>
          <w:tcPr>
            <w:tcW w:type="dxa" w:w="4100"/>
            <w:tcMar>
              <w:top w:type="dxa" w:w="70"/>
              <w:left w:type="dxa" w:w="110"/>
              <w:bottom w:type="dxa" w:w="70"/>
              <w:right w:type="dxa" w:w="110"/>
            </w:tcMar>
            <w:vAlign w:val="top"/>
          </w:tcPr>
          <w:p>
            <w:pPr>
              <w:spacing w:after="0" w:line="276"/>
            </w:pPr>
            <w:r>
              <w:rPr>
                <w:color w:val="15181F"/>
                <w:sz w:val="17"/>
                <w:szCs w:val="17"/>
              </w:rPr>
              <w:t xml:space="preserve">Minimum annual volume for enucleation and for central pancreatectomy at this centre.</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fistula excess after enucleation disappeared in pooled studies only in centres performing more than 20 in total and more than 4 a year. Central pancreatectomy carries a 35% pooled fistula rate and single-centre morbidity of 58% to 72%. These are volume-conditional operations and the threshold is a governance choice. [EXPERTISE]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the group accept NCCN's 55% Ki-67 split for well-differentiated grade 3 tumours?</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cutoff was derived by receiver-operating-characteristic analysis in 42 randomly selected patients within a 305-patient retrospective cohort of advanced gastrointestinal neuroendocrine carcinoma and then applied to the rest of that same cohort with no external validation. Read in full, the study shows that median survival was longer below the cutoff than above it (14 against 10 months, p&lt;0.001) and that Ki-67 dropped out of both the full and the final multivariable models because of its association with primary site - so the marker is not independently prognostic in its own derivation study. NCCN itself flags the data as limited and Ki-67 as heterogeneous within a tumour and across serial biopsies, and the one surgical series to test the line found no survival difference either side of it.</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7</w:t>
            </w:r>
          </w:p>
        </w:tc>
        <w:tc>
          <w:tcPr>
            <w:tcW w:type="dxa" w:w="4100"/>
            <w:tcMar>
              <w:top w:type="dxa" w:w="70"/>
              <w:left w:type="dxa" w:w="110"/>
              <w:bottom w:type="dxa" w:w="70"/>
              <w:right w:type="dxa" w:w="110"/>
            </w:tcMar>
            <w:vAlign w:val="top"/>
          </w:tcPr>
          <w:p>
            <w:pPr>
              <w:spacing w:after="0" w:line="276"/>
            </w:pPr>
            <w:r>
              <w:rPr>
                <w:color w:val="15181F"/>
                <w:sz w:val="17"/>
                <w:szCs w:val="17"/>
              </w:rPr>
              <w:t xml:space="preserve">Who owns an observed tumour's next scan, and what happens when it is missed?</w:t>
            </w:r>
          </w:p>
        </w:tc>
        <w:tc>
          <w:tcPr>
            <w:tcW w:type="dxa" w:w="4740"/>
            <w:tcMar>
              <w:top w:type="dxa" w:w="70"/>
              <w:left w:type="dxa" w:w="110"/>
              <w:bottom w:type="dxa" w:w="70"/>
              <w:right w:type="dxa" w:w="110"/>
            </w:tcMar>
            <w:vAlign w:val="top"/>
          </w:tcPr>
          <w:p>
            <w:pPr>
              <w:spacing w:after="0" w:line="276"/>
            </w:pPr>
            <w:r>
              <w:rPr>
                <w:color w:val="15181F"/>
                <w:sz w:val="17"/>
                <w:szCs w:val="17"/>
              </w:rPr>
              <w:t xml:space="preserve">Not an evidence question. The entire safety case for observation rests on detecting growth, and in ASPEN patient preference and centre preference together accounted for 84% of the stated indications for surgery, with anxiety independently associated with operating. Unowned surveillance converts into an unplanned operation.</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8</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What is the standing genetic referral rule, and must the result be back before elective surgery?</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Germline variants are reported in 16% to 21% of unselected patients, and in MEN1 or VHL the threshold, the extent and the timing of the operation all change. NCCN's criteria are a list; the programme needs a trigger that fires automatically and a rule about waiting.</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9</w:t>
            </w:r>
          </w:p>
        </w:tc>
        <w:tc>
          <w:tcPr>
            <w:tcW w:type="dxa" w:w="4100"/>
            <w:tcMar>
              <w:top w:type="dxa" w:w="70"/>
              <w:left w:type="dxa" w:w="110"/>
              <w:bottom w:type="dxa" w:w="70"/>
              <w:right w:type="dxa" w:w="110"/>
            </w:tcMar>
            <w:vAlign w:val="top"/>
          </w:tcPr>
          <w:p>
            <w:pPr>
              <w:spacing w:after="0" w:line="276"/>
            </w:pPr>
            <w:r>
              <w:rPr>
                <w:color w:val="15181F"/>
                <w:sz w:val="17"/>
                <w:szCs w:val="17"/>
              </w:rPr>
              <w:t xml:space="preserve">How is the handoff to the NELM pathway documented, and who makes the joint decision about the primary?</w:t>
            </w:r>
          </w:p>
        </w:tc>
        <w:tc>
          <w:tcPr>
            <w:tcW w:type="dxa" w:w="4740"/>
            <w:tcMar>
              <w:top w:type="dxa" w:w="70"/>
              <w:left w:type="dxa" w:w="110"/>
              <w:bottom w:type="dxa" w:w="70"/>
              <w:right w:type="dxa" w:w="110"/>
            </w:tcMar>
            <w:vAlign w:val="top"/>
          </w:tcPr>
          <w:p>
            <w:pPr>
              <w:spacing w:after="0" w:line="276"/>
            </w:pPr>
            <w:r>
              <w:rPr>
                <w:color w:val="15181F"/>
                <w:sz w:val="17"/>
                <w:szCs w:val="17"/>
              </w:rPr>
              <w:t xml:space="preserve">NANETS reached no consensus on resecting a pancreatic primary when liver metastases are present. Two irreversible facts from this page constrain the NELM page — whether a pancreatoduodenectomy has been done, because liver-directed therapy afterwards carries increased cholangitis and abscess risk, and whether the gallbladder is out — so the two pathways have to decide together rather than in sequence.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10</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Who owns the NCCN, ENETS and NANETS version checks, and on what cycle?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NCCN version behind this draft could not be established from the extracted text, and the MEN1 recommendations were revised twice in 2025. The ENETS nonfunctioning paper has now been read in full and its position on the 1-2 cm band corrected on this page, but the AACE MEN1 consensus statement and the 2021 international consensus statement on the pancreas in MEN1 remain abstract-only citations, and a list of figures quoted from the NANETS text with no primary paper in this page's depot is recorded in the honest section. Source reconciliation is incomplete and the page says so.</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11</w:t>
            </w:r>
          </w:p>
        </w:tc>
        <w:tc>
          <w:tcPr>
            <w:tcW w:type="dxa" w:w="4100"/>
            <w:tcMar>
              <w:top w:type="dxa" w:w="70"/>
              <w:left w:type="dxa" w:w="110"/>
              <w:bottom w:type="dxa" w:w="70"/>
              <w:right w:type="dxa" w:w="110"/>
            </w:tcMar>
            <w:vAlign w:val="top"/>
          </w:tcPr>
          <w:p>
            <w:pPr>
              <w:spacing w:after="0" w:line="276"/>
            </w:pPr>
            <w:r>
              <w:rPr>
                <w:color w:val="15181F"/>
                <w:sz w:val="17"/>
                <w:szCs w:val="17"/>
              </w:rPr>
              <w:t xml:space="preserve">Do we obtain tissue before choosing surveillance for a sub-2 cm nonfunctional lesion, or not?</w:t>
            </w:r>
          </w:p>
        </w:tc>
        <w:tc>
          <w:tcPr>
            <w:tcW w:type="dxa" w:w="4740"/>
            <w:tcMar>
              <w:top w:type="dxa" w:w="70"/>
              <w:left w:type="dxa" w:w="110"/>
              <w:bottom w:type="dxa" w:w="70"/>
              <w:right w:type="dxa" w:w="110"/>
            </w:tcMar>
            <w:vAlign w:val="top"/>
          </w:tcPr>
          <w:p>
            <w:pPr>
              <w:spacing w:after="0" w:line="276"/>
            </w:pPr>
            <w:r>
              <w:rPr>
                <w:color w:val="15181F"/>
                <w:sz w:val="17"/>
                <w:szCs w:val="17"/>
              </w:rPr>
              <w:t xml:space="preserve">NANETS says biopsy is not routinely necessary before deciding to observe a sub-centimetre lesion with a characteristic imaging phenotype. ENETS 2023, read in full, says a suspected nonfunctioning tumour under 2 cm with positive receptor imaging should be confirmed histologically or cytologically where possible (level 3, grade B). The 2025 MEN1 recommendations find no role for routine EUS-guided biopsy in that syndrome. There is no outcome evidence separating the three, and both options carry a real cost: EUS-FNA cytology called 71% of histological G2 tumours G1, while two thirds of ASPEN's surveillance arm had no evaluable histology at all. The programme needs one answer, and a stated reason.</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What growth threshold triggers resection under surveillance, measured how, by whom, on what protocol?</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PANDORA used more than 0.5 cm per year and the 2025 MEN1 recommendations use under 1 mm per year, a fivefold disagreement in which neither number has a cited derivation and 1 mm a year sits below the measurement reproducibility of serial imaging of a small pancreatic lesion. Growth was the stated indication for surgery in only 4 of 406 ASPEN surveillance patients, against patient and centre preference in 79 of 94 operations - so in practice the growth threshold is not what drives the operation. A threshold with a fixed modality, contrast agent, phase and measurement convention is the only version of this that can be audited.</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13</w:t>
            </w:r>
          </w:p>
        </w:tc>
        <w:tc>
          <w:tcPr>
            <w:tcW w:type="dxa" w:w="4100"/>
            <w:tcMar>
              <w:top w:type="dxa" w:w="70"/>
              <w:left w:type="dxa" w:w="110"/>
              <w:bottom w:type="dxa" w:w="70"/>
              <w:right w:type="dxa" w:w="110"/>
            </w:tcMar>
            <w:vAlign w:val="top"/>
          </w:tcPr>
          <w:p>
            <w:pPr>
              <w:spacing w:after="0" w:line="276"/>
            </w:pPr>
            <w:r>
              <w:rPr>
                <w:color w:val="15181F"/>
                <w:sz w:val="17"/>
                <w:szCs w:val="17"/>
              </w:rPr>
              <w:t xml:space="preserve">Which post-resection follow-up schedule does the programme adopt, and is any patient discharged from follow-up?</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three consensus sources disagree. NCCN starts at 12 weeks to 12 months and runs to 10 years; ENETS 2023 starts at 3 to 6 months with a receptor PET and tells patients to expect at least 20 years and possibly lifelong; the RAND/UCLA recommendations de-intensify the first three years to yearly imaging, extend past ten and exempt a grade 1, node-negative pancreatic tumour under 2 cm from follow-up altogether - an exemption produced at a 75% agreement threshold over a dataset with no grade, stage or margin data and a 48.5% cumulative recurrence rate at 10 years. This page borrows NCCN's intervals and applies them to observed patients too. The group should choose deliberately rather than by inheritance, and decide explicitly whether anyone is discharged.</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What exactly is a patient told about the evidence for observation, and who writes it down?</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Not an evidence question, but the read makes it a governance one. The honest statement is that no study randomises the two strategies, that the only systematic comparison found no difference at low certainty, that the harms of resection are well measured and its benefit at this size is not, that half of observed tumours grow without that meaning anything yet, and that the one thing within the programme's control is the reliability of the next measurement. A patient who is told only that small tumours can be watched safely has not been given that, and anxiety independently predicted operating in ASPEN. A written statement, the same for every patient, is cheaper than the alternative.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15</w:t>
            </w:r>
          </w:p>
        </w:tc>
        <w:tc>
          <w:tcPr>
            <w:tcW w:type="dxa" w:w="4100"/>
            <w:tcMar>
              <w:top w:type="dxa" w:w="70"/>
              <w:left w:type="dxa" w:w="110"/>
              <w:bottom w:type="dxa" w:w="70"/>
              <w:right w:type="dxa" w:w="110"/>
            </w:tcMar>
            <w:vAlign w:val="top"/>
          </w:tcPr>
          <w:p>
            <w:pPr>
              <w:spacing w:after="0" w:line="276"/>
            </w:pPr>
            <w:r>
              <w:rPr>
                <w:color w:val="15181F"/>
                <w:sz w:val="17"/>
                <w:szCs w:val="17"/>
              </w:rPr>
              <w:t xml:space="preserve">Does the programme obtain a paired receptor and FDG-PET in a localised G2 or higher primary, and what does a discordant result change?</w:t>
            </w:r>
          </w:p>
        </w:tc>
        <w:tc>
          <w:tcPr>
            <w:tcW w:type="dxa" w:w="4740"/>
            <w:tcMar>
              <w:top w:type="dxa" w:w="70"/>
              <w:left w:type="dxa" w:w="110"/>
              <w:bottom w:type="dxa" w:w="70"/>
              <w:right w:type="dxa" w:w="110"/>
            </w:tcMar>
            <w:vAlign w:val="top"/>
          </w:tcPr>
          <w:p>
            <w:pPr>
              <w:spacing w:after="0" w:line="276"/>
            </w:pPr>
            <w:r>
              <w:rPr>
                <w:color w:val="15181F"/>
                <w:sz w:val="17"/>
                <w:szCs w:val="17"/>
              </w:rPr>
              <w:t xml:space="preserve">FDG positivity is not rare in G1 and G2 disease and predicts progression and prognosis more strongly than grade on the SNMMI/EANM standard's own reading, and the combined score independently predicted survival in a 319-patient cohort. But both score cohorts were metastatic or unresectable, only about a third of patients had pancreatic primaries, treatment was not modelled, and the score carries no treatment threshold. If the pair is obtained and nothing is done differently, it is a cost; if something is done differently, the programme is acting beyond any published evidence and should say so and record it.</w:t>
            </w:r>
          </w:p>
        </w:tc>
      </w:tr>
    </w:tbl>
    <w:p>
      <w:pPr>
        <w:pStyle w:val="Heading1"/>
        <w:keepNext/>
        <w:pageBreakBefore/>
        <w:spacing w:after="110" w:before="320"/>
      </w:pPr>
      <w:r>
        <w:rPr>
          <w:rFonts w:ascii="Cambria" w:cs="Cambria" w:eastAsia="Cambria" w:hAnsi="Cambria"/>
          <w:b/>
          <w:bCs/>
          <w:color w:val="17365D"/>
          <w:sz w:val="32"/>
          <w:szCs w:val="32"/>
        </w:rPr>
        <w:t xml:space="preserve">Provenance</w:t>
      </w:r>
    </w:p>
    <w:p>
      <w:pPr>
        <w:spacing w:after="120" w:line="276"/>
      </w:pPr>
      <w:r>
        <w:rPr>
          <w:color w:val="15181F"/>
          <w:sz w:val="20"/>
          <w:szCs w:val="20"/>
        </w:rPr>
        <w:t xml:space="preserve">Revised on 7 October 2026 after a full-text read of this page's reference depot. Twenty-eight of the 33 indexed papers were read in full and abstracted to a fixed schema recording setting, inclusion and exclusion criteria, results, the authors' own stated limitations, an independent critique and a bottom line, and every evidence string, number and grade on the page was checked against that abstraction. Thirty-nine evidence strings were changed and thirteen grades were downgraded; the gate structure, ids, names and tone values are unchanged, five previously empty recommendation slots were filled from depot papers that the first draft indexed but did not cite, the honest section grew from 12 items to 25 and the approvals list from 10 to 15. Originally built from the programme-supplied extraction of NCCN Neuroendocrine and Adrenal Tumors (version not stated in the extracted text; its most recent references, including the MEN1 guideline of June 2025, place it at v3.2025 or later) as the spine, with the NANETS 2020 consensus paper on the surgical management of pancreatic neuroendocrine tumours (Pancreas 2020;49:1-33) as the main surgical source, and the ENETS 2023 guidance papers for nonfunctioning pancreatic NET (J Neuroendocrinol 2023;35:e13343), for functioning pancreatic NET syndromes (e13318) and for digestive neuroendocrine carcinoma (e13249). Grading follows the WHO 2019 criteria as reproduced in the NCCN pathology principles. Liver metastases are out of scope throughout and hand off by name to the NELM pathway, which carries the hepatic decisions and the primary-resection question in metastatic disease. What the full-text read changed most is the observation-versus-resection gate. The ENETS position on the 1-2 cm band, previously taken from the abstract and from how NANETS and the ASPEN investigators report it, was wrong: the full text observes 1 cm or less, personalises 1-2 cm and strongly recommends surgery above 2 cm or with duct dilation, and the page and quick-reference table are corrected. Sadot 2016's inclusion band was 3 cm or less rather than 2 cm, so the paper most often cited for the 2 cm threshold never tested it; a quarter of its observation arm crossed to surgery and remain in it by intention to treat; the patients never operated were followed a median of 33 months against a median time to recurrence of 5.1 years in the resected arm; its metastasis-free survival advantage for observation is an endpoint artefact; and 51% of observed tumours grew. ASPEN's 20% rate of aggressive histology comes only from its 94 resected patients, a denominator selected for size, duct dilatation, age, anxiety and surgeon preference, and no comparison between strategies was performed; its metastasis rate is printed as 0.08% when 4 of 500 is 0.8%. In PANDORA, six of the eight progressing patients refused the protocol-mandated operation, so the protocol was not tested. Gratian 2014 is a National Cancer Data Base analysis rather than SEER, and the registry excludes tumours coded benign, which removes exactly the indolent lesions a surveillance policy concerns; its 33% nodal figure for sub-5 mm tumours rests on a 94-patient band in a variable missing in 45% of the cohort. The 2025 MEN1 best-practice recommendations contribute the only systematic comparison that exists: across 37 studies and 1,814 patients, surgery and surveillance for lesions under 2 cm showed no difference in metastasis or mortality at low to very low GRADE certainty. And Hashim 2014, Zheng-Pywell 2022 and Makris 2023 all draw observation-versus-resection conclusions from cohorts in which every patient was resected, which is recorded on the page as a structural defect of the nodal-risk literature rather than as a caveat. Still cited from abstract only, because no new papers were obtained in this pass: the AACE consensus statement on MEN1 of March 2025 (PMID 40232217) and the 2021 international consensus statement on the pancreas in MEN1 (PMID 32971521). Both are labelled as abstract-only wherever they are cited, and their numeric criteria must be confirmed before use. The NANETS 2020 surgical consensus and the ENETS functioning-syndromes and neuroendocrine carcinoma guidance papers were not part of the full-text depot and remain the programme-supplied guideline sources; a list of figures quoted from the NANETS text with no primary paper in the depot is recorded in the honest section and each is labelled where it is used. There is still no ratified Memorial Hermann roadmap behind this page and no alignment worksheet. It remains a draft, assembled from guidelines and primary literature, pending multidisciplinary and institutional governance review. It is not active clinical policy, it does not replace clinician judgement, and every numeric criterion on it must be verified against the current source before use.</w:t>
      </w:r>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How this roadmap handles extrahepatic disease that has been treated or has responded. Transplant questions are answered in the transplant pathway, not here.</w:t>
      </w:r>
    </w:p>
    <w:p>
      <w:pPr>
        <w:pStyle w:val="Heading2"/>
        <w:widowControl/>
        <w:keepNext/>
      </w:pPr>
      <w:bookmarkStart w:id="16010" w:name="pNET_R1"/>
      <w:r>
        <w:t xml:space="preserve">pNET-R1 — Primary resection or cytoreduction with extrahepatic disease</w:t>
      </w:r>
      <w:bookmarkEnd w:id="16010"/>
    </w:p>
    <w:p>
      <w:pPr>
        <w:pStyle w:val="Normal"/>
        <w:widowControl/>
        <w:spacing w:after="120"/>
      </w:pPr>
      <w:r>
        <w:t xml:space="preserve">Status: Proposed; individualized. OPEN proposal for multidisciplinary review; not activated.</w:t>
      </w:r>
    </w:p>
    <w:p>
      <w:pPr>
        <w:pStyle w:val="Normal"/>
        <w:widowControl/>
        <w:spacing w:after="120"/>
      </w:pPr>
      <w:r>
        <w:t xml:space="preserve">Question: With pancreatic NET metastases outside the liver, should the primary be removed or the liver cytoreduced?</w:t>
      </w:r>
    </w:p>
    <w:p>
      <w:pPr>
        <w:pStyle w:val="Normal"/>
        <w:widowControl/>
        <w:spacing w:after="120"/>
      </w:pPr>
      <w:r>
        <w:t xml:space="preserve">Proposed position (OPEN): Extrahepatic disease should not by itself contraindicate primary resection or hepatic cytoreduction (NANETS 2020), but the decision rests on local complications, symptoms and response to other therapy, and extrahepatic disease tempers the expected durability. Surgery here is palliative debulking, not curative-intent resection.</w:t>
      </w:r>
    </w:p>
    <w:p>
      <w:pPr>
        <w:pStyle w:val="Heading3"/>
        <w:widowControl/>
        <w:keepNext/>
      </w:pPr>
      <w:r>
        <w:t xml:space="preserve">Proposed rules</w:t>
      </w:r>
    </w:p>
    <w:p>
      <w:pPr>
        <w:pStyle w:val="Normal"/>
        <w:widowControl/>
        <w:spacing w:after="120"/>
        <w:numPr>
          <w:ilvl w:val="0"/>
          <w:numId w:val="3"/>
        </w:numPr>
      </w:pPr>
      <w:r>
        <w:t xml:space="preserve">Favor surgery for symptomatic or functional tumors, body–tail primaries and G1–G2 disease when debulking is substantial.</w:t>
      </w:r>
    </w:p>
    <w:p>
      <w:pPr>
        <w:pStyle w:val="Normal"/>
        <w:widowControl/>
        <w:spacing w:after="120"/>
        <w:numPr>
          <w:ilvl w:val="0"/>
          <w:numId w:val="3"/>
        </w:numPr>
      </w:pPr>
      <w:r>
        <w:t xml:space="preserve">Transplantation for pancreatic NET metastases follows NET-B4 (portal-drained primary resected first).</w:t>
      </w:r>
    </w:p>
    <w:p>
      <w:pPr>
        <w:pStyle w:val="Normal"/>
        <w:widowControl/>
        <w:spacing w:after="120"/>
      </w:pPr>
      <w:r>
        <w:t xml:space="preserve">Why: Primary resection is associated with lower mortality in pooled observational data that are strongly confounded; a recent series found no survival benefit.</w:t>
      </w:r>
    </w:p>
    <w:p>
      <w:pPr>
        <w:pStyle w:val="Heading3"/>
        <w:widowControl/>
        <w:keepNext/>
      </w:pPr>
      <w:r>
        <w:t xml:space="preserve">Evidence</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Source</w:t>
            </w:r>
          </w:p>
        </w:tc>
        <w:tc>
          <w:tcPr>
            <w:tcW w:w="4000" w:type="dxa"/>
            <w:vAlign w:val="top"/>
            <w:shd w:fill="17365D"/>
          </w:tcPr>
          <w:p>
            <w:pPr>
              <w:pStyle w:val="Normal"/>
              <w:widowControl/>
              <w:spacing w:after="55" w:line="240" w:lineRule="auto"/>
              <w:keepNext w:val="0"/>
              <w:keepLines/>
            </w:pPr>
            <w:r>
              <w:rPr>
                <w:sz w:val="21"/>
                <w:szCs w:val="21"/>
                <w:b/>
                <w:color w:val="FFFFFF"/>
              </w:rPr>
              <w:t xml:space="preserve">Population and selection</w:t>
            </w:r>
          </w:p>
        </w:tc>
        <w:tc>
          <w:tcPr>
            <w:tcW w:w="4180" w:type="dxa"/>
            <w:vAlign w:val="top"/>
            <w:shd w:fill="17365D"/>
          </w:tcPr>
          <w:p>
            <w:pPr>
              <w:pStyle w:val="Normal"/>
              <w:widowControl/>
              <w:spacing w:after="55" w:line="240" w:lineRule="auto"/>
              <w:keepNext w:val="0"/>
              <w:keepLines/>
            </w:pPr>
            <w:r>
              <w:rPr>
                <w:sz w:val="21"/>
                <w:szCs w:val="21"/>
                <w:b/>
                <w:color w:val="FFFFFF"/>
              </w:rPr>
              <w:t xml:space="preserve">Results, limits and location</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NANETS 2020 · pancreatic NET surgery</w:t>
            </w:r>
          </w:p>
          <w:p>
            <w:pPr>
              <w:pStyle w:val="Normal"/>
              <w:widowControl/>
              <w:spacing w:after="55" w:line="240" w:lineRule="auto"/>
              <w:keepNext w:val="0"/>
              <w:keepLines/>
            </w:pPr>
            <w:r>
              <w:rPr>
                <w:sz w:val="21"/>
                <w:szCs w:val="21"/>
              </w:rPr>
              <w:t xml:space="preserve">Full text read.</w:t>
            </w:r>
          </w:p>
        </w:tc>
        <w:tc>
          <w:tcPr>
            <w:tcW w:w="4000" w:type="dxa"/>
            <w:vAlign w:val="top"/>
            <w:shd w:fill="F1F5F8"/>
          </w:tcPr>
          <w:p>
            <w:pPr>
              <w:pStyle w:val="Normal"/>
              <w:widowControl/>
              <w:spacing w:after="55" w:line="240" w:lineRule="auto"/>
              <w:keepNext w:val="0"/>
              <w:keepLines/>
            </w:pPr>
            <w:r>
              <w:rPr>
                <w:sz w:val="21"/>
                <w:szCs w:val="21"/>
              </w:rPr>
              <w:t xml:space="preserve">NANETS 2020 pancreatic NET consensus. Extrahepatic disease “should not necessarily” contraindicate primary removal or cytoreduction; data limited and conflicting.</w:t>
            </w:r>
          </w:p>
        </w:tc>
        <w:tc>
          <w:tcPr>
            <w:tcW w:w="4180" w:type="dxa"/>
            <w:vAlign w:val="top"/>
            <w:shd w:fill="F1F5F8"/>
          </w:tcPr>
          <w:p>
            <w:pPr>
              <w:pStyle w:val="Normal"/>
              <w:widowControl/>
              <w:spacing w:after="55" w:line="240" w:lineRule="auto"/>
              <w:keepNext w:val="0"/>
              <w:keepLines/>
            </w:pPr>
            <w:r>
              <w:rPr>
                <w:sz w:val="21"/>
                <w:szCs w:val="21"/>
              </w:rPr>
              <w:t xml:space="preserve">Results: No transplant recommendation.</w:t>
            </w:r>
          </w:p>
          <w:p>
            <w:pPr>
              <w:pStyle w:val="Normal"/>
              <w:widowControl/>
              <w:spacing w:after="55" w:line="240" w:lineRule="auto"/>
              <w:keepNext w:val="0"/>
              <w:keepLines/>
            </w:pPr>
            <w:r>
              <w:rPr>
                <w:sz w:val="21"/>
                <w:szCs w:val="21"/>
              </w:rPr>
              <w:t xml:space="preserve">Limits: Expert consensus.</w:t>
            </w:r>
          </w:p>
          <w:p>
            <w:pPr>
              <w:pStyle w:val="Normal"/>
              <w:widowControl/>
              <w:spacing w:after="55" w:line="240" w:lineRule="auto"/>
              <w:keepNext w:val="0"/>
              <w:keepLines/>
            </w:pPr>
            <w:r>
              <w:rPr>
                <w:sz w:val="21"/>
                <w:szCs w:val="21"/>
              </w:rPr>
              <w:t xml:space="preserve">Pancreas 2020; pp18–19.</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</w:fldData>
              </w:fldChar>
            </w:r>
            <w:r>
              <w:instrText xml:space="preserve"> ADDIN EN.CITE.DATA </w:instrText>
            </w:r>
            <w:r>
              <w:fldChar w:fldCharType="end"/>
            </w:r>
            <w:r>
              <w:fldChar w:fldCharType="separate"/>
            </w:r>
            <w:r>
              <w:t xml:space="preserve">[V16-1]</w:t>
            </w:r>
            <w:r>
              <w:fldChar w:fldCharType="end"/>
            </w:r>
            <w:r>
              <w:br/>
            </w:r>
            <w:hyperlink r:id="rId9">
              <w:r>
                <w:rPr>
                  <w:color w:val="0563C1"/>
                  <w:u w:val="single"/>
                </w:rPr>
                <w:t>Source</w:t>
              </w:r>
            </w:hyperlink>
            <w:r>
              <w:t xml:space="preserve"> · </w:t>
            </w:r>
            <w:hyperlink r:id="rId10">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Partelli 2017 · primary resection meta-analysis</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FFFFF"/>
          </w:tcPr>
          <w:p>
            <w:pPr>
              <w:pStyle w:val="Normal"/>
              <w:widowControl/>
              <w:spacing w:after="55" w:line="240" w:lineRule="auto"/>
              <w:keepNext w:val="0"/>
              <w:keepLines/>
            </w:pPr>
            <w:r>
              <w:rPr>
                <w:sz w:val="21"/>
                <w:szCs w:val="21"/>
              </w:rPr>
              <w:t xml:space="preserve">Meta-analysis, 885 patients. Primary resection with unresectable liver metastases.</w:t>
            </w:r>
          </w:p>
        </w:tc>
        <w:tc>
          <w:tcPr>
            <w:tcW w:w="4180" w:type="dxa"/>
            <w:vAlign w:val="top"/>
            <w:shd w:fill="FFFFFF"/>
          </w:tcPr>
          <w:p>
            <w:pPr>
              <w:pStyle w:val="Normal"/>
              <w:widowControl/>
              <w:spacing w:after="55" w:line="240" w:lineRule="auto"/>
              <w:keepNext w:val="0"/>
              <w:keepLines/>
            </w:pPr>
            <w:r>
              <w:rPr>
                <w:sz w:val="21"/>
                <w:szCs w:val="21"/>
              </w:rPr>
              <w:t xml:space="preserve">Results: Lower risk of death (OR 0.38, 0.23–0.65).</w:t>
            </w:r>
          </w:p>
          <w:p>
            <w:pPr>
              <w:pStyle w:val="Normal"/>
              <w:widowControl/>
              <w:spacing w:after="55" w:line="240" w:lineRule="auto"/>
              <w:keepNext w:val="0"/>
              <w:keepLines/>
            </w:pPr>
            <w:r>
              <w:rPr>
                <w:sz w:val="21"/>
                <w:szCs w:val="21"/>
              </w:rPr>
              <w:t xml:space="preserve">Limits: Confounded observational data.</w:t>
            </w:r>
          </w:p>
          <w:p>
            <w:pPr>
              <w:pStyle w:val="Normal"/>
              <w:widowControl/>
              <w:spacing w:after="55" w:line="240" w:lineRule="auto"/>
              <w:keepNext w:val="0"/>
              <w:keepLines/>
            </w:pPr>
            <w:r>
              <w:rPr>
                <w:sz w:val="21"/>
                <w:szCs w:val="21"/>
              </w:rPr>
              <w:t xml:space="preserve">HPB 2017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</w:fldData>
              </w:fldChar>
            </w:r>
            <w:r>
              <w:instrText xml:space="preserve"> ADDIN EN.CITE.DATA </w:instrText>
            </w:r>
            <w:r>
              <w:fldChar w:fldCharType="end"/>
            </w:r>
            <w:r>
              <w:fldChar w:fldCharType="separate"/>
            </w:r>
            <w:r>
              <w:t xml:space="preserve">[V16-2]</w:t>
            </w:r>
            <w:r>
              <w:fldChar w:fldCharType="end"/>
            </w:r>
            <w:r>
              <w:br/>
            </w:r>
            <w:hyperlink r:id="rId11">
              <w:r>
                <w:rPr>
                  <w:color w:val="0563C1"/>
                  <w:u w:val="single"/>
                </w:rPr>
                <w:t>Source</w:t>
              </w:r>
            </w:hyperlink>
            <w:r>
              <w:t xml:space="preserve"> · </w:t>
            </w:r>
            <w:r>
              <w:t xml:space="preserve">full PDF pending</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Podrascanin 2025 · pNET with liver metastases</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1F5F8"/>
          </w:tcPr>
          <w:p>
            <w:pPr>
              <w:pStyle w:val="Normal"/>
              <w:widowControl/>
              <w:spacing w:after="55" w:line="240" w:lineRule="auto"/>
              <w:keepNext w:val="0"/>
              <w:keepLines/>
            </w:pPr>
            <w:r>
              <w:rPr>
                <w:sz w:val="21"/>
                <w:szCs w:val="21"/>
              </w:rPr>
              <w:t xml:space="preserve">Single centre, 118 with synchronous liver metastases. Asymptomatic pNET.</w:t>
            </w:r>
          </w:p>
        </w:tc>
        <w:tc>
          <w:tcPr>
            <w:tcW w:w="4180" w:type="dxa"/>
            <w:vAlign w:val="top"/>
            <w:shd w:fill="F1F5F8"/>
          </w:tcPr>
          <w:p>
            <w:pPr>
              <w:pStyle w:val="Normal"/>
              <w:widowControl/>
              <w:spacing w:after="55" w:line="240" w:lineRule="auto"/>
              <w:keepNext w:val="0"/>
              <w:keepLines/>
            </w:pPr>
            <w:r>
              <w:rPr>
                <w:sz w:val="21"/>
                <w:szCs w:val="21"/>
              </w:rPr>
              <w:t xml:space="preserve">Results: Primary resection did not change survival (median 10 years); extrahepatic disease predicted progression.</w:t>
            </w:r>
          </w:p>
          <w:p>
            <w:pPr>
              <w:pStyle w:val="Normal"/>
              <w:widowControl/>
              <w:spacing w:after="55" w:line="240" w:lineRule="auto"/>
              <w:keepNext w:val="0"/>
              <w:keepLines/>
            </w:pPr>
            <w:r>
              <w:rPr>
                <w:sz w:val="21"/>
                <w:szCs w:val="21"/>
              </w:rPr>
              <w:t xml:space="preserve">Limits: Univariate.</w:t>
            </w:r>
          </w:p>
          <w:p>
            <w:pPr>
              <w:pStyle w:val="Normal"/>
              <w:widowControl/>
              <w:spacing w:after="55" w:line="240" w:lineRule="auto"/>
              <w:keepNext w:val="0"/>
              <w:keepLines/>
            </w:pPr>
            <w:r>
              <w:rPr>
                <w:sz w:val="21"/>
                <w:szCs w:val="21"/>
              </w:rPr>
              <w:t xml:space="preserve">Ann Surg Oncol 2025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</w:fldData>
              </w:fldChar>
            </w:r>
            <w:r>
              <w:instrText xml:space="preserve"> ADDIN EN.CITE.DATA </w:instrText>
            </w:r>
            <w:r>
              <w:fldChar w:fldCharType="end"/>
            </w:r>
            <w:r>
              <w:fldChar w:fldCharType="separate"/>
            </w:r>
            <w:r>
              <w:t xml:space="preserve">[V16-3]</w:t>
            </w:r>
            <w:r>
              <w:fldChar w:fldCharType="end"/>
            </w:r>
            <w:r>
              <w:br/>
            </w:r>
            <w:hyperlink r:id="rId12">
              <w:r>
                <w:rPr>
                  <w:color w:val="0563C1"/>
                  <w:u w:val="single"/>
                </w:rPr>
                <w:t>Source</w:t>
              </w:r>
            </w:hyperlink>
            <w:r>
              <w:t xml:space="preserve"> · </w:t>
            </w:r>
            <w:r>
              <w:t xml:space="preserve">full PDF pending</w:t>
            </w:r>
          </w:p>
        </w:tc>
      </w:tr>
    </w:tbl>
    <w:p>
      <w:pPr>
        <w:pStyle w:val="Normal"/>
        <w:widowControl/>
        <w:spacing w:after="120"/>
      </w:pPr>
      <w:r>
        <w:t xml:space="preserve"/>
      </w:r>
    </w:p>
    <w:p>
      <w:pPr>
        <w:pStyle w:val="Normal"/>
        <w:widowControl/>
        <w:spacing w:after="120"/>
      </w:pPr>
      <w:r>
        <w:t xml:space="preserve">Against, or uncertain: Selection bias dominates.</w:t>
      </w:r>
    </w:p>
    <w:p>
      <w:pPr>
        <w:pStyle w:val="Normal"/>
        <w:widowControl/>
        <w:spacing w:after="120"/>
      </w:pPr>
      <w:r>
        <w:t xml:space="preserve">Certainty: Low.</w:t>
      </w:r>
    </w:p>
    <w:p>
      <w:pPr>
        <w:pStyle w:val="Normal"/>
        <w:widowControl/>
        <w:spacing w:after="120"/>
      </w:pPr>
      <w:r>
        <w:t xml:space="preserve">What would change the answer: Randomized or well-adjusted data.</w:t>
      </w:r>
    </w:p>
    <w:p>
      <w:pPr>
        <w:pStyle w:val="Heading3"/>
        <w:widowControl/>
        <w:keepNext/>
      </w:pPr>
      <w:r>
        <w:t xml:space="preserve">pNET-R1 — meeting decision</w:t>
      </w:r>
    </w:p>
    <w:p>
      <w:pPr>
        <w:pStyle w:val="Normal"/>
        <w:widowControl/>
        <w:spacing w:after="120"/>
      </w:pPr>
      <w:r>
        <w:t xml:space="preserve">Group decision / accepted position: __________________________________________</w:t>
      </w:r>
    </w:p>
    <w:p>
      <w:pPr>
        <w:pStyle w:val="Normal"/>
        <w:widowControl/>
        <w:spacing w:after="120"/>
      </w:pPr>
      <w:r>
        <w:t xml:space="preserve">Rationale / dissent / exceptions: ______________________________________________</w:t>
      </w:r>
    </w:p>
    <w:p>
      <w:pPr>
        <w:pStyle w:val="Normal"/>
        <w:widowControl/>
        <w:spacing w:after="120"/>
      </w:pPr>
      <w:r>
        <w:t xml:space="preserve">Owner / approval date / implementation date: ___________________________________</w:t>
      </w:r>
    </w:p>
    <w:p>
      <w:pPr>
        <w:pStyle w:val="Heading1"/>
        <w:keepNext/>
        <w:spacing w:after="110" w:before="320"/>
      </w:pPr>
      <w:r>
        <w:rPr>
          <w:rFonts w:ascii="Cambria" w:cs="Cambria" w:eastAsia="Cambria" w:hAnsi="Cambria"/>
          <w:b/>
          <w:bCs/>
          <w:color w:val="17365D"/>
          <w:sz w:val="32"/>
          <w:szCs w:val="32"/>
        </w:rPr>
        <w:t xml:space="preserve">References</w:t>
      </w:r>
    </w:p>
    <w:p>
      <w:pPr>
        <w:spacing w:after="160" w:line="276"/>
      </w:pPr>
      <w:r>
        <w:rPr>
          <w:i/>
          <w:iCs/>
          <w:color w:val="5A6069"/>
          <w:sz w:val="20"/>
          <w:szCs w:val="20"/>
        </w:rPr>
        <w:t xml:space="preserve">39 sources. Every one is held as a PDF in Ref_Depot_PNET and was read in full.</w:t>
      </w:r>
    </w:p>
    <w:p>
      <w:pPr>
        <w:pStyle w:val="Heading3"/>
        <w:keepNext/>
        <w:spacing w:after="110" w:before="240"/>
      </w:pPr>
      <w:r>
        <w:rPr>
          <w:rFonts w:ascii="Cambria" w:cs="Cambria" w:eastAsia="Cambria" w:hAnsi="Cambria"/>
          <w:b/>
          <w:bCs/>
          <w:color w:val="17365D"/>
          <w:sz w:val="22"/>
          <w:szCs w:val="22"/>
        </w:rPr>
        <w:t xml:space="preserve">Guidelines &amp; policy</w:t>
      </w:r>
    </w:p>
    <w:p>
      <w:pPr>
        <w:spacing w:after="70"/>
        <w:ind w:left="360" w:hanging="360"/>
      </w:pPr>
      <w:r>
        <w:rPr>
          <w:b/>
          <w:bCs/>
          <w:color w:val="17365D"/>
          <w:sz w:val="17"/>
          <w:szCs w:val="17"/>
        </w:rPr>
        <w:t xml:space="preserve">AACE MEN1 2025. </w:t>
      </w:r>
      <w:r>
        <w:rPr>
          <w:sz w:val="17"/>
          <w:szCs w:val="17"/>
        </w:rPr>
        <w:t xml:space="preserve">Del Rivero J, Gangi A, Annes JP, et al. American Association of Clinical Endocrinology consensus statement on management of multiple endocrine neoplasia type 1. Endocr Pract. 2025 (published online 26 March 2025). doi:10.1016/j.eprac.2025.02.001. PMID:40232217.</w:t>
      </w:r>
    </w:p>
    <w:p>
      <w:pPr>
        <w:spacing w:after="70"/>
        <w:ind w:left="360" w:hanging="360"/>
      </w:pPr>
      <w:r>
        <w:rPr>
          <w:b/>
          <w:bCs/>
          <w:color w:val="17365D"/>
          <w:sz w:val="17"/>
          <w:szCs w:val="17"/>
        </w:rPr>
        <w:t xml:space="preserve">ENETS 2023 functioning. </w:t>
      </w:r>
      <w:r>
        <w:rPr>
          <w:sz w:val="17"/>
          <w:szCs w:val="17"/>
        </w:rPr>
        <w:t xml:space="preserve">Hofland J, Falconi M, Christ E, et al. European Neuroendocrine Tumor Society 2023 guidance paper for functioning pancreatic neuroendocrine tumour syndromes. J Neuroendocrinol. 2023;35(8):e13318. doi:10.1111/jne.13318. PMID:37578384.</w:t>
      </w:r>
    </w:p>
    <w:p>
      <w:pPr>
        <w:spacing w:after="70"/>
        <w:ind w:left="360" w:hanging="360"/>
      </w:pPr>
      <w:r>
        <w:rPr>
          <w:b/>
          <w:bCs/>
          <w:color w:val="17365D"/>
          <w:sz w:val="17"/>
          <w:szCs w:val="17"/>
        </w:rPr>
        <w:t xml:space="preserve">ENETS 2023 NEC. </w:t>
      </w:r>
      <w:r>
        <w:rPr>
          <w:sz w:val="17"/>
          <w:szCs w:val="17"/>
        </w:rPr>
        <w:t xml:space="preserve">Sorbye H, Grande E, Pavel M, et al. European Neuroendocrine Tumor Society (ENETS) 2023 guidance paper for digestive neuroendocrine carcinoma. J Neuroendocrinol. 2023;35(3):e13249. doi:10.1111/jne.13249. PMID:36924180.</w:t>
      </w:r>
    </w:p>
    <w:p>
      <w:pPr>
        <w:spacing w:after="70"/>
        <w:ind w:left="360" w:hanging="360"/>
      </w:pPr>
      <w:r>
        <w:rPr>
          <w:b/>
          <w:bCs/>
          <w:color w:val="17365D"/>
          <w:sz w:val="17"/>
          <w:szCs w:val="17"/>
        </w:rPr>
        <w:t xml:space="preserve">ENETS 2023 NF-PanNET. </w:t>
      </w:r>
      <w:r>
        <w:rPr>
          <w:sz w:val="17"/>
          <w:szCs w:val="17"/>
        </w:rPr>
        <w:t xml:space="preserve">Kos-Kudła B, Castaño JP, Denecke T, et al. European Neuroendocrine Tumour Society (ENETS) 2023 guidance paper for nonfunctioning pancreatic neuroendocrine tumours. J Neuroendocrinol. 2023;35(12):e13343. doi:10.1111/jne.13343. PMID:37877341.</w:t>
      </w:r>
    </w:p>
    <w:p>
      <w:pPr>
        <w:spacing w:after="70"/>
        <w:ind w:left="360" w:hanging="360"/>
      </w:pPr>
      <w:r>
        <w:rPr>
          <w:b/>
          <w:bCs/>
          <w:color w:val="17365D"/>
          <w:sz w:val="17"/>
          <w:szCs w:val="17"/>
        </w:rPr>
        <w:t xml:space="preserve">Full-text depot, read 7 October 2026. </w:t>
      </w:r>
      <w:r>
        <w:rPr>
          <w:sz w:val="17"/>
          <w:szCs w:val="17"/>
        </w:rPr>
        <w:t xml:space="preserve">Twenty-eight of the 33 indexed papers on this page were obtained in full text, abstracted to a fixed schema capturing setting, inclusion, exclusion, results, the authors' own stated limitations, an independent critique and a bottom line, and every evidence string on the page was checked against that abstraction. Not in the depot: the NANETS 2020 surgical consensus, the ENETS 2023 functioning-syndromes guidance and the ENETS 2023 digestive neuroendocrine carcinoma guidance, which remain the programme-supplied guideline sources; and the AACE MEN1 consensus statement of March 2025 and the 2021 international consensus statement on the pancreas in MEN1, which are still cited from their abstracts only. Figures quoted from the NANETS text with no primary paper in the depot are listed in the honest section and labelled where they are used.</w:t>
      </w:r>
    </w:p>
    <w:p>
      <w:pPr>
        <w:spacing w:after="70"/>
        <w:ind w:left="360" w:hanging="360"/>
      </w:pPr>
      <w:r>
        <w:rPr>
          <w:b/>
          <w:bCs/>
          <w:color w:val="17365D"/>
          <w:sz w:val="17"/>
          <w:szCs w:val="17"/>
        </w:rPr>
        <w:t xml:space="preserve">MEN1 2025 guideline. </w:t>
      </w:r>
      <w:r>
        <w:rPr>
          <w:sz w:val="17"/>
          <w:szCs w:val="17"/>
        </w:rPr>
        <w:t xml:space="preserve">Brandi ML, Pieterman CRC, English KA, et al. Multiple endocrine neoplasia type 1 (MEN1): recommendations and guidelines for best practice. Lancet Diabetes Endocrinol. 2025;13(8):699-721. doi:10.1016/S2213-8587(25)00119-6. PMID:40523372.</w:t>
      </w:r>
    </w:p>
    <w:p>
      <w:pPr>
        <w:spacing w:after="70"/>
        <w:ind w:left="360" w:hanging="360"/>
      </w:pPr>
      <w:r>
        <w:rPr>
          <w:b/>
          <w:bCs/>
          <w:color w:val="17365D"/>
          <w:sz w:val="17"/>
          <w:szCs w:val="17"/>
        </w:rPr>
        <w:t xml:space="preserve">MEN1 pancreas consensus. </w:t>
      </w:r>
      <w:r>
        <w:rPr>
          <w:sz w:val="17"/>
          <w:szCs w:val="17"/>
        </w:rPr>
        <w:t xml:space="preserve">Niederle B, Selberherr A, Bartsch DK, et al. Multiple endocrine neoplasia type 1 (MEN1) and the pancreas: diagnosis and treatment of functioning and non-functioning pancreatic and duodenal neuroendocrine neoplasia within the MEN1 syndrome - an international consensus statement. Neuroendocrinology. 2021;111(7):609-630. doi:10.1159/000511791. PMID:32971521.</w:t>
      </w:r>
    </w:p>
    <w:p>
      <w:pPr>
        <w:spacing w:after="70"/>
        <w:ind w:left="360" w:hanging="360"/>
      </w:pPr>
      <w:r>
        <w:rPr>
          <w:b/>
          <w:bCs/>
          <w:color w:val="17365D"/>
          <w:sz w:val="17"/>
          <w:szCs w:val="17"/>
        </w:rPr>
        <w:t xml:space="preserve">NANETS 2020 surgical. </w:t>
      </w:r>
      <w:r>
        <w:rPr>
          <w:sz w:val="17"/>
          <w:szCs w:val="17"/>
        </w:rPr>
        <w:t xml:space="preserve">Howe JR, Merchant NB, Conrad C, et al. The North American Neuroendocrine Tumor Society consensus paper on the surgical management of pancreatic neuroendocrine tumors. Pancreas. 2020;49(1):1-33. doi:10.1097/MPA.0000000000001454. PMID:31856076.</w:t>
      </w:r>
    </w:p>
    <w:p>
      <w:pPr>
        <w:spacing w:after="70"/>
        <w:ind w:left="360" w:hanging="360"/>
      </w:pPr>
      <w:r>
        <w:rPr>
          <w:b/>
          <w:bCs/>
          <w:color w:val="17365D"/>
          <w:sz w:val="17"/>
          <w:szCs w:val="17"/>
        </w:rPr>
        <w:t xml:space="preserve">NCCN Neuroendocrine and Adrenal Tumors. </w:t>
      </w:r>
      <w:r>
        <w:rPr>
          <w:sz w:val="17"/>
          <w:szCs w:val="17"/>
        </w:rPr>
        <w:t xml:space="preserve">National Comprehensive Cancer Network. Neuroendocrine and Adrenal Tumors. NCCN Clinical Practice Guidelines in Oncology. Version not stated in the programme-supplied extraction: its most recent references, including the MEN1 guideline of June 2025, place it at v3.2025 or later. Sections used: clinical presentations and diagnosis; nonfunctioning pancreatic tumours (evaluation, management of primary non-metastatic disease, surveillance); gastrinoma, insulinoma, glucagonoma and VIPoma pages; principles of imaging for neuroendocrine neoplasms; principles of pathology for the diagnosis of neuroendocrine neoplasms, including the 2019 WHO grading table; principles of surgical management of neuroendocrine tumours; principles of systemic anti-tumour therapy for pancreatic NET; well-differentiated grade 3 (WDG3) and poorly differentiated carcinoma (PDNEC) pages; principles of hereditary cancer risk assessment and genetic counselling; MEN1 screening, MEN1-1 and MEN1-A. The extraction is machine-converted and the layout of several algorithm pages is mangled; page numbers are deliberately not cited, and every numeric criterion must be confirmed against the current published PDF before use.</w:t>
      </w:r>
    </w:p>
    <w:p>
      <w:pPr>
        <w:spacing w:after="70"/>
        <w:ind w:left="360" w:hanging="360"/>
      </w:pPr>
      <w:r>
        <w:rPr>
          <w:b/>
          <w:bCs/>
          <w:color w:val="17365D"/>
          <w:sz w:val="17"/>
          <w:szCs w:val="17"/>
        </w:rPr>
        <w:t xml:space="preserve">NELM pathway. </w:t>
      </w:r>
      <w:r>
        <w:rPr>
          <w:sz w:val="17"/>
          <w:szCs w:val="17"/>
        </w:rPr>
        <w:t xml:space="preserve">Memorial Hermann Neuroendocrine Liver Metastases System Roadmap, as rendered on the NELM pathway page, Draft v0.6. The destination for every patient on this page who develops or presents with hepatic metastases. It carries differentiation and grade, hepatic burden and distribution, treat-or-observe at low burden, systemic sequencing including the pancreatic-primary agents, hepatic cytoreduction, liver-directed modality selection, functional syndrome and carcinoid-crisis precautions, and the transplant gate — including the decision about resecting a pancreatic primary when liver metastases are present, where it records that NANETS 2020 reached no consensus.</w:t>
      </w:r>
    </w:p>
    <w:p>
      <w:pPr>
        <w:spacing w:after="70"/>
        <w:ind w:left="360" w:hanging="360"/>
      </w:pPr>
      <w:r>
        <w:rPr>
          <w:b/>
          <w:bCs/>
          <w:color w:val="17365D"/>
          <w:sz w:val="17"/>
          <w:szCs w:val="17"/>
        </w:rPr>
        <w:t xml:space="preserve">SNMMI/EANM SSTR PET. </w:t>
      </w:r>
      <w:r>
        <w:rPr>
          <w:sz w:val="17"/>
          <w:szCs w:val="17"/>
        </w:rPr>
        <w:t xml:space="preserve">Hope TA, Allen-Auerbach M, Bodei L, et al. SNMMI procedure standard/EANM practice guideline for SSTR PET: imaging neuroendocrine tumors. J Nucl Med. 2023;64(2):204-210. doi:10.2967/jnumed.122.264860. PMID:36725249.</w:t>
      </w:r>
    </w:p>
    <w:p>
      <w:pPr>
        <w:spacing w:after="70"/>
        <w:ind w:left="360" w:hanging="360"/>
      </w:pPr>
      <w:r>
        <w:rPr>
          <w:b/>
          <w:bCs/>
          <w:color w:val="17365D"/>
          <w:sz w:val="17"/>
          <w:szCs w:val="17"/>
        </w:rPr>
        <w:t xml:space="preserve">This page is a first draft. </w:t>
      </w:r>
      <w:r>
        <w:rPr>
          <w:sz w:val="17"/>
          <w:szCs w:val="17"/>
        </w:rPr>
        <w:t xml:space="preserve">There is no Memorial Hermann system roadmap for primary pancreatic neuroendocrine tumour and no guideline alignment worksheet for it. Every position on this page was assembled from published guidelines and primary literature for this draft; none of it has been through multidisciplinary or institutional governance review, and nothing on it should be read as an institutional decision that has been taken.</w:t>
      </w:r>
    </w:p>
    <w:p>
      <w:pPr>
        <w:pStyle w:val="Heading3"/>
        <w:keepNext/>
        <w:spacing w:after="110" w:before="240"/>
      </w:pPr>
      <w:r>
        <w:rPr>
          <w:rFonts w:ascii="Cambria" w:cs="Cambria" w:eastAsia="Cambria" w:hAnsi="Cambria"/>
          <w:b/>
          <w:bCs/>
          <w:color w:val="17365D"/>
          <w:sz w:val="22"/>
          <w:szCs w:val="22"/>
        </w:rPr>
        <w:t xml:space="preserve">Hereditary syndromes</w:t>
      </w:r>
    </w:p>
    <w:p>
      <w:pPr>
        <w:spacing w:after="70"/>
        <w:ind w:left="360" w:hanging="360"/>
      </w:pPr>
      <w:r>
        <w:rPr>
          <w:b/>
          <w:bCs/>
          <w:color w:val="17365D"/>
          <w:sz w:val="17"/>
          <w:szCs w:val="17"/>
        </w:rPr>
        <w:t xml:space="preserve">Blansfield 2007. </w:t>
      </w:r>
      <w:r>
        <w:rPr>
          <w:sz w:val="17"/>
          <w:szCs w:val="17"/>
        </w:rPr>
        <w:t xml:space="preserve">Blansfield JA, Choyke L, Morita SY, et al. Clinical, genetic and radiographic analysis of 108 patients with von Hippel-Lindau disease (VHL) manifested by pancreatic neuroendocrine neoplasms (PNETs). Surgery. 2007;142(6):814-8; discussion 818.e1-2. doi:10.1016/j.surg.2007.09.012. PMID:18063061.</w:t>
      </w:r>
    </w:p>
    <w:p>
      <w:pPr>
        <w:spacing w:after="70"/>
        <w:ind w:left="360" w:hanging="360"/>
      </w:pPr>
      <w:r>
        <w:rPr>
          <w:b/>
          <w:bCs/>
          <w:color w:val="17365D"/>
          <w:sz w:val="17"/>
          <w:szCs w:val="17"/>
        </w:rPr>
        <w:t xml:space="preserve">Faggiano 2020. </w:t>
      </w:r>
      <w:r>
        <w:rPr>
          <w:sz w:val="17"/>
          <w:szCs w:val="17"/>
        </w:rPr>
        <w:t xml:space="preserve">Faggiano A, Modica R, Lo Calzo F, et al. Lanreotide therapy vs active surveillance in MEN1-related pancreatic neuroendocrine tumors &lt;2 centimeters. J Clin Endocrinol Metab. 2020;105(1):dgz007. doi:10.1210/clinem/dgz007. PMID:31586182.</w:t>
      </w:r>
    </w:p>
    <w:p>
      <w:pPr>
        <w:spacing w:after="70"/>
        <w:ind w:left="360" w:hanging="360"/>
      </w:pPr>
      <w:r>
        <w:rPr>
          <w:b/>
          <w:bCs/>
          <w:color w:val="17365D"/>
          <w:sz w:val="17"/>
          <w:szCs w:val="17"/>
        </w:rPr>
        <w:t xml:space="preserve">LITESPARK-004. </w:t>
      </w:r>
      <w:r>
        <w:rPr>
          <w:sz w:val="17"/>
          <w:szCs w:val="17"/>
        </w:rPr>
        <w:t xml:space="preserve">Jonasch E, Donskov F, Iliopoulos O, et al. Belzutifan for renal cell carcinoma in von Hippel-Lindau disease. N Engl J Med. 2021;385(22):2036-2046. doi:10.1056/NEJMoa2103425. PMID:34818478.</w:t>
      </w:r>
    </w:p>
    <w:p>
      <w:pPr>
        <w:spacing w:after="70"/>
        <w:ind w:left="360" w:hanging="360"/>
      </w:pPr>
      <w:r>
        <w:rPr>
          <w:b/>
          <w:bCs/>
          <w:color w:val="17365D"/>
          <w:sz w:val="17"/>
          <w:szCs w:val="17"/>
        </w:rPr>
        <w:t xml:space="preserve">Triponez 2006. </w:t>
      </w:r>
      <w:r>
        <w:rPr>
          <w:sz w:val="17"/>
          <w:szCs w:val="17"/>
        </w:rPr>
        <w:t xml:space="preserve">Triponez F, Dosseh D, Goudet P, et al. Epidemiology data on 108 MEN 1 patients from the GTE with isolated nonfunctioning tumors of the pancreas. Ann Surg. 2006;243(2):265-72. doi:10.1097/01.sla.0000197715.96762.68. PMID:16432361.</w:t>
      </w:r>
    </w:p>
    <w:p>
      <w:pPr>
        <w:pStyle w:val="Heading3"/>
        <w:keepNext/>
        <w:spacing w:after="110" w:before="240"/>
      </w:pPr>
      <w:r>
        <w:rPr>
          <w:rFonts w:ascii="Cambria" w:cs="Cambria" w:eastAsia="Cambria" w:hAnsi="Cambria"/>
          <w:b/>
          <w:bCs/>
          <w:color w:val="17365D"/>
          <w:sz w:val="22"/>
          <w:szCs w:val="22"/>
        </w:rPr>
        <w:t xml:space="preserve">Imaging &amp; diagnosis</w:t>
      </w:r>
    </w:p>
    <w:p>
      <w:pPr>
        <w:spacing w:after="70"/>
        <w:ind w:left="360" w:hanging="360"/>
      </w:pPr>
      <w:r>
        <w:rPr>
          <w:b/>
          <w:bCs/>
          <w:color w:val="17365D"/>
          <w:sz w:val="17"/>
          <w:szCs w:val="17"/>
        </w:rPr>
        <w:t xml:space="preserve">Antwi 2018 GLP-1R PET. </w:t>
      </w:r>
      <w:r>
        <w:rPr>
          <w:sz w:val="17"/>
          <w:szCs w:val="17"/>
        </w:rPr>
        <w:t xml:space="preserve">Antwi K, Fani M, Heye T, et al. Comparison of glucagon-like peptide-1 receptor (GLP-1R) PET/CT, SPECT/CT and 3T MRI for the localisation of occult insulinomas: evaluation of diagnostic accuracy in a prospective crossover imaging study. Eur J Nucl Med Mol Imaging. 2018;45(13):2318-2327. doi:10.1007/s00259-018-4101-5. PMID:30054698.</w:t>
      </w:r>
    </w:p>
    <w:p>
      <w:pPr>
        <w:spacing w:after="70"/>
        <w:ind w:left="360" w:hanging="360"/>
      </w:pPr>
      <w:r>
        <w:rPr>
          <w:b/>
          <w:bCs/>
          <w:color w:val="17365D"/>
          <w:sz w:val="17"/>
          <w:szCs w:val="17"/>
        </w:rPr>
        <w:t xml:space="preserve">Makris 2023. </w:t>
      </w:r>
      <w:r>
        <w:rPr>
          <w:sz w:val="17"/>
          <w:szCs w:val="17"/>
        </w:rPr>
        <w:t xml:space="preserve">Makris EA, Cannon JGD, Norton JA, et al. Calcifications and cystic morphology on preoperative imaging predict survival after resection of pancreatic neuroendocrine tumors. Ann Surg Oncol. 2023;30(4):2424-2430. doi:10.1245/s10434-022-12783-8. PMID:36434481.</w:t>
      </w:r>
    </w:p>
    <w:p>
      <w:pPr>
        <w:spacing w:after="70"/>
        <w:ind w:left="360" w:hanging="360"/>
      </w:pPr>
      <w:r>
        <w:rPr>
          <w:b/>
          <w:bCs/>
          <w:color w:val="17365D"/>
          <w:sz w:val="17"/>
          <w:szCs w:val="17"/>
        </w:rPr>
        <w:t xml:space="preserve">NETPET derivation. </w:t>
      </w:r>
      <w:r>
        <w:rPr>
          <w:sz w:val="17"/>
          <w:szCs w:val="17"/>
        </w:rPr>
        <w:t xml:space="preserve">Chan DL, Pavlakis N, Schembri GP, et al. Dual somatostatin receptor/FDG PET/CT imaging in metastatic neuroendocrine tumours: proposal for a novel grading scheme with prognostic significance. Theranostics. 2017;7(5):1149-1158. doi:10.7150/thno.18068. PMID:28435454.</w:t>
      </w:r>
    </w:p>
    <w:p>
      <w:pPr>
        <w:spacing w:after="70"/>
        <w:ind w:left="360" w:hanging="360"/>
      </w:pPr>
      <w:r>
        <w:rPr>
          <w:b/>
          <w:bCs/>
          <w:color w:val="17365D"/>
          <w:sz w:val="17"/>
          <w:szCs w:val="17"/>
        </w:rPr>
        <w:t xml:space="preserve">NETPET validation. </w:t>
      </w:r>
      <w:r>
        <w:rPr>
          <w:sz w:val="17"/>
          <w:szCs w:val="17"/>
        </w:rPr>
        <w:t xml:space="preserve">Chan DL, Hayes AR, Karfis I, et al. Dual [68Ga]DOTATATE and [18F]FDG PET/CT in patients with metastatic gastroenteropancreatic neuroendocrine neoplasms: a multicentre validation of the NETPET score. Br J Cancer. 2023;128(4):549-555. doi:10.1038/s41416-022-02061-5. PMID:36434154.</w:t>
      </w:r>
    </w:p>
    <w:p>
      <w:pPr>
        <w:spacing w:after="70"/>
        <w:ind w:left="360" w:hanging="360"/>
      </w:pPr>
      <w:r>
        <w:rPr>
          <w:b/>
          <w:bCs/>
          <w:color w:val="17365D"/>
          <w:sz w:val="17"/>
          <w:szCs w:val="17"/>
        </w:rPr>
        <w:t xml:space="preserve">Sadowski 2016. </w:t>
      </w:r>
      <w:r>
        <w:rPr>
          <w:sz w:val="17"/>
          <w:szCs w:val="17"/>
        </w:rPr>
        <w:t xml:space="preserve">Sadowski SM, Neychev V, Millo C, et al. Prospective study of 68Ga-DOTATATE positron emission tomography/computed tomography for detecting gastro-entero-pancreatic neuroendocrine tumors and unknown primary sites. J Clin Oncol. 2016;34(6):588-96. doi:10.1200/JCO.2015.64.0987. PMID:26712231.</w:t>
      </w:r>
    </w:p>
    <w:p>
      <w:pPr>
        <w:spacing w:after="70"/>
        <w:ind w:left="360" w:hanging="360"/>
      </w:pPr>
      <w:r>
        <w:rPr>
          <w:b/>
          <w:bCs/>
          <w:color w:val="17365D"/>
          <w:sz w:val="17"/>
          <w:szCs w:val="17"/>
        </w:rPr>
        <w:t xml:space="preserve">Wild 2021 GLP-1R review. </w:t>
      </w:r>
      <w:r>
        <w:rPr>
          <w:sz w:val="17"/>
          <w:szCs w:val="17"/>
        </w:rPr>
        <w:t xml:space="preserve">Wild D, Antwi K, Fani M, Christ ER. Glucagon-like peptide-1 receptor as emerging target: will it make it to the clinic? J Nucl Med. 2021;62(Suppl 2):44S-50S. doi:10.2967/jnumed.120.246009. PMID:34230073.</w:t>
      </w:r>
    </w:p>
    <w:p>
      <w:pPr>
        <w:pStyle w:val="Heading3"/>
        <w:keepNext/>
        <w:spacing w:after="110" w:before="240"/>
      </w:pPr>
      <w:r>
        <w:rPr>
          <w:rFonts w:ascii="Cambria" w:cs="Cambria" w:eastAsia="Cambria" w:hAnsi="Cambria"/>
          <w:b/>
          <w:bCs/>
          <w:color w:val="17365D"/>
          <w:sz w:val="22"/>
          <w:szCs w:val="22"/>
        </w:rPr>
        <w:t xml:space="preserve">Pathology</w:t>
      </w:r>
    </w:p>
    <w:p>
      <w:pPr>
        <w:spacing w:after="70"/>
        <w:ind w:left="360" w:hanging="360"/>
      </w:pPr>
      <w:r>
        <w:rPr>
          <w:b/>
          <w:bCs/>
          <w:color w:val="17365D"/>
          <w:sz w:val="17"/>
          <w:szCs w:val="17"/>
        </w:rPr>
        <w:t xml:space="preserve">Tang 2016. </w:t>
      </w:r>
      <w:r>
        <w:rPr>
          <w:sz w:val="17"/>
          <w:szCs w:val="17"/>
        </w:rPr>
        <w:t xml:space="preserve">Tang LH, Untch BR, Reidy DL, et al. Well-differentiated neuroendocrine tumors with a morphologically apparent high-grade component: a pathway distinct from poorly differentiated neuroendocrine carcinomas. Clin Cancer Res. 2016;22(4):1011-7. doi:10.1158/1078-0432.CCR-15-0548. PMID:26482044.</w:t>
      </w:r>
    </w:p>
    <w:p>
      <w:pPr>
        <w:spacing w:after="70"/>
        <w:ind w:left="360" w:hanging="360"/>
      </w:pPr>
      <w:r>
        <w:rPr>
          <w:b/>
          <w:bCs/>
          <w:color w:val="17365D"/>
          <w:sz w:val="17"/>
          <w:szCs w:val="17"/>
        </w:rPr>
        <w:t xml:space="preserve">Weynand 2014. </w:t>
      </w:r>
      <w:r>
        <w:rPr>
          <w:sz w:val="17"/>
          <w:szCs w:val="17"/>
        </w:rPr>
        <w:t xml:space="preserve">Weynand B, Borbath I, Bernard V, et al. Pancreatic neuroendocrine tumour grading on endoscopic ultrasound-guided fine needle aspiration: high reproducibility and inter-observer agreement of the Ki-67 labelling index. Cytopathology. 2014;25(6):389-95. doi:10.1111/cyt.12111. PMID:24750272.</w:t>
      </w:r>
    </w:p>
    <w:p>
      <w:pPr>
        <w:spacing w:after="70"/>
        <w:ind w:left="360" w:hanging="360"/>
      </w:pPr>
      <w:r>
        <w:rPr>
          <w:b/>
          <w:bCs/>
          <w:color w:val="17365D"/>
          <w:sz w:val="17"/>
          <w:szCs w:val="17"/>
        </w:rPr>
        <w:t xml:space="preserve">WHO 2019 digestive. </w:t>
      </w:r>
      <w:r>
        <w:rPr>
          <w:sz w:val="17"/>
          <w:szCs w:val="17"/>
        </w:rPr>
        <w:t xml:space="preserve">Klimstra DS, Klöppel G, La Rosa S, et al. Classification of neuroendocrine neoplasms of the digestive system. In: WHO Classification of Tumours Editorial Board. Digestive system tumours. 5th ed, vol 1. Lyon: International Agency for Research on Cancer; 2019. The grading criteria on this page are taken from the table NCCN reproduces from this source with permission; confirm against the current WHO volume.</w:t>
      </w:r>
    </w:p>
    <w:p>
      <w:pPr>
        <w:pStyle w:val="Heading3"/>
        <w:keepNext/>
        <w:spacing w:after="110" w:before="240"/>
      </w:pPr>
      <w:r>
        <w:rPr>
          <w:rFonts w:ascii="Cambria" w:cs="Cambria" w:eastAsia="Cambria" w:hAnsi="Cambria"/>
          <w:b/>
          <w:bCs/>
          <w:color w:val="17365D"/>
          <w:sz w:val="22"/>
          <w:szCs w:val="22"/>
        </w:rPr>
        <w:t xml:space="preserve">Surgery</w:t>
      </w:r>
    </w:p>
    <w:p>
      <w:pPr>
        <w:spacing w:after="70"/>
        <w:ind w:left="360" w:hanging="360"/>
      </w:pPr>
      <w:r>
        <w:rPr>
          <w:b/>
          <w:bCs/>
          <w:color w:val="17365D"/>
          <w:sz w:val="17"/>
          <w:szCs w:val="17"/>
        </w:rPr>
        <w:t xml:space="preserve">Bilimoria 2008. </w:t>
      </w:r>
      <w:r>
        <w:rPr>
          <w:sz w:val="17"/>
          <w:szCs w:val="17"/>
        </w:rPr>
        <w:t xml:space="preserve">Bilimoria KY, Talamonti MS, Tomlinson JS, et al. Prognostic score predicting survival after resection of pancreatic neuroendocrine tumors: analysis of 3851 patients. Ann Surg. 2008;247(3):490-500. doi:10.1097/SLA.0b013e31815b9cae. PMID:18376195.</w:t>
      </w:r>
    </w:p>
    <w:p>
      <w:pPr>
        <w:spacing w:after="70"/>
        <w:ind w:left="360" w:hanging="360"/>
      </w:pPr>
      <w:r>
        <w:rPr>
          <w:b/>
          <w:bCs/>
          <w:color w:val="17365D"/>
          <w:sz w:val="17"/>
          <w:szCs w:val="17"/>
        </w:rPr>
        <w:t xml:space="preserve">Gratian 2014. </w:t>
      </w:r>
      <w:r>
        <w:rPr>
          <w:sz w:val="17"/>
          <w:szCs w:val="17"/>
        </w:rPr>
        <w:t xml:space="preserve">Gratian L, Pura J, Dinan M, Roman S, Reed S, Sosa JA. Impact of extent of surgery on survival in patients with small nonfunctional pancreatic neuroendocrine tumors in the United States. Ann Surg Oncol. 2014;21(11):3515-21. doi:10.1245/s10434-014-3769-4. PMID:24841347.</w:t>
      </w:r>
    </w:p>
    <w:p>
      <w:pPr>
        <w:spacing w:after="70"/>
        <w:ind w:left="360" w:hanging="360"/>
      </w:pPr>
      <w:r>
        <w:rPr>
          <w:b/>
          <w:bCs/>
          <w:color w:val="17365D"/>
          <w:sz w:val="17"/>
          <w:szCs w:val="17"/>
        </w:rPr>
        <w:t xml:space="preserve">Hashim 2014. </w:t>
      </w:r>
      <w:r>
        <w:rPr>
          <w:sz w:val="17"/>
          <w:szCs w:val="17"/>
        </w:rPr>
        <w:t xml:space="preserve">Hashim YM, Trinkaus KM, Linehan DC, et al. Regional lymphadenectomy is indicated in the surgical treatment of pancreatic neuroendocrine tumors (PNETs). Ann Surg. 2014;259(2):197-203. doi:10.1097/SLA.0000000000000348. PMID:24253141.</w:t>
      </w:r>
    </w:p>
    <w:p>
      <w:pPr>
        <w:spacing w:after="70"/>
        <w:ind w:left="360" w:hanging="360"/>
      </w:pPr>
      <w:r>
        <w:rPr>
          <w:b/>
          <w:bCs/>
          <w:color w:val="17365D"/>
          <w:sz w:val="17"/>
          <w:szCs w:val="17"/>
        </w:rPr>
        <w:t xml:space="preserve">Hüttner 2015. </w:t>
      </w:r>
      <w:r>
        <w:rPr>
          <w:sz w:val="17"/>
          <w:szCs w:val="17"/>
        </w:rPr>
        <w:t xml:space="preserve">Hüttner FJ, Koessler-Ebs J, Hackert T, Ulrich A, Büchler MW, Diener MK. Meta-analysis of surgical outcome after enucleation versus standard resection for pancreatic neoplasms. Br J Surg. 2015;102(9):1026-36. doi:10.1002/bjs.9819. PMID:26041666.</w:t>
      </w:r>
    </w:p>
    <w:p>
      <w:pPr>
        <w:spacing w:after="70"/>
        <w:ind w:left="360" w:hanging="360"/>
      </w:pPr>
      <w:r>
        <w:rPr>
          <w:b/>
          <w:bCs/>
          <w:color w:val="17365D"/>
          <w:sz w:val="17"/>
          <w:szCs w:val="17"/>
        </w:rPr>
        <w:t xml:space="preserve">Norton 2006. </w:t>
      </w:r>
      <w:r>
        <w:rPr>
          <w:sz w:val="17"/>
          <w:szCs w:val="17"/>
        </w:rPr>
        <w:t xml:space="preserve">Norton JA, Fraker DL, Alexander HR, et al. Surgery increases survival in patients with gastrinoma. Ann Surg. 2006;244(3):410-9. doi:10.1097/01.sla.0000234802.44320.a5. PMID:16926567.</w:t>
      </w:r>
    </w:p>
    <w:p>
      <w:pPr>
        <w:pStyle w:val="Heading3"/>
        <w:keepNext/>
        <w:spacing w:after="110" w:before="240"/>
      </w:pPr>
      <w:r>
        <w:rPr>
          <w:rFonts w:ascii="Cambria" w:cs="Cambria" w:eastAsia="Cambria" w:hAnsi="Cambria"/>
          <w:b/>
          <w:bCs/>
          <w:color w:val="17365D"/>
          <w:sz w:val="22"/>
          <w:szCs w:val="22"/>
        </w:rPr>
        <w:t xml:space="preserve">Surveillance</w:t>
      </w:r>
    </w:p>
    <w:p>
      <w:pPr>
        <w:spacing w:after="70"/>
        <w:ind w:left="360" w:hanging="360"/>
      </w:pPr>
      <w:r>
        <w:rPr>
          <w:b/>
          <w:bCs/>
          <w:color w:val="17365D"/>
          <w:sz w:val="17"/>
          <w:szCs w:val="17"/>
        </w:rPr>
        <w:t xml:space="preserve">ASPEN interim. </w:t>
      </w:r>
      <w:r>
        <w:rPr>
          <w:sz w:val="17"/>
          <w:szCs w:val="17"/>
        </w:rPr>
        <w:t xml:space="preserve">Partelli S, Massironi S, Zerbi A, et al. Management of asymptomatic sporadic non-functioning pancreatic neuroendocrine neoplasms no larger than 2 cm: interim analysis of prospective ASPEN trial. Br J Surg. 2022;109(12):1186-1190. doi:10.1093/bjs/znac267. PMID:35986682.</w:t>
      </w:r>
    </w:p>
    <w:p>
      <w:pPr>
        <w:spacing w:after="70"/>
        <w:ind w:left="360" w:hanging="360"/>
      </w:pPr>
      <w:r>
        <w:rPr>
          <w:b/>
          <w:bCs/>
          <w:color w:val="17365D"/>
          <w:sz w:val="17"/>
          <w:szCs w:val="17"/>
        </w:rPr>
        <w:t xml:space="preserve">Genc recurrence score. </w:t>
      </w:r>
      <w:r>
        <w:rPr>
          <w:sz w:val="17"/>
          <w:szCs w:val="17"/>
        </w:rPr>
        <w:t xml:space="preserve">Genç CG, Jilesen AP, Partelli S, et al. A new scoring system to predict recurrent disease in grade 1 and 2 nonfunctional pancreatic neuroendocrine tumors. Ann Surg. 2018;267(6):1148-1154. doi:10.1097/SLA.0000000000002123. PMID:28594340.</w:t>
      </w:r>
    </w:p>
    <w:p>
      <w:pPr>
        <w:spacing w:after="70"/>
        <w:ind w:left="360" w:hanging="360"/>
      </w:pPr>
      <w:r>
        <w:rPr>
          <w:b/>
          <w:bCs/>
          <w:color w:val="17365D"/>
          <w:sz w:val="17"/>
          <w:szCs w:val="17"/>
        </w:rPr>
        <w:t xml:space="preserve">PANDORA. </w:t>
      </w:r>
      <w:r>
        <w:rPr>
          <w:sz w:val="17"/>
          <w:szCs w:val="17"/>
        </w:rPr>
        <w:t xml:space="preserve">Heidsma CM, Engelsman AF, van Dieren S, et al. Watchful waiting for small non-functional pancreatic neuroendocrine tumours: nationwide prospective cohort study (PANDORA). Br J Surg. 2021;108(8):888-891. doi:10.1093/bjs/znab088. PMID:33783475.</w:t>
      </w:r>
    </w:p>
    <w:p>
      <w:pPr>
        <w:spacing w:after="70"/>
        <w:ind w:left="360" w:hanging="360"/>
      </w:pPr>
      <w:r>
        <w:rPr>
          <w:b/>
          <w:bCs/>
          <w:color w:val="17365D"/>
          <w:sz w:val="17"/>
          <w:szCs w:val="17"/>
        </w:rPr>
        <w:t xml:space="preserve">Sadot 2016. </w:t>
      </w:r>
      <w:r>
        <w:rPr>
          <w:sz w:val="17"/>
          <w:szCs w:val="17"/>
        </w:rPr>
        <w:t xml:space="preserve">Sadot E, Reidy-Lagunes DL, Tang LH, et al. Observation versus resection for small asymptomatic pancreatic neuroendocrine tumors: a matched case-control study. Ann Surg Oncol. 2016;23(4):1361-70. doi:10.1245/s10434-015-4986-1. PMID:26597365.</w:t>
      </w:r>
    </w:p>
    <w:p>
      <w:pPr>
        <w:spacing w:after="70"/>
        <w:ind w:left="360" w:hanging="360"/>
      </w:pPr>
      <w:r>
        <w:rPr>
          <w:b/>
          <w:bCs/>
          <w:color w:val="17365D"/>
          <w:sz w:val="17"/>
          <w:szCs w:val="17"/>
        </w:rPr>
        <w:t xml:space="preserve">Singh 2018 follow-up. </w:t>
      </w:r>
      <w:r>
        <w:rPr>
          <w:sz w:val="17"/>
          <w:szCs w:val="17"/>
        </w:rPr>
        <w:t xml:space="preserve">Singh S, Moody L, Chan DL, et al. Follow-up recommendations for completely resected gastroenteropancreatic neuroendocrine tumors. JAMA Oncol. 2018;4(11):1597-1604. doi:10.1001/jamaoncol.2018.2428. PMID:30054622.</w:t>
      </w:r>
    </w:p>
    <w:p>
      <w:pPr>
        <w:spacing w:after="70"/>
        <w:ind w:left="360" w:hanging="360"/>
      </w:pPr>
      <w:r>
        <w:rPr>
          <w:b/>
          <w:bCs/>
          <w:color w:val="17365D"/>
          <w:sz w:val="17"/>
          <w:szCs w:val="17"/>
        </w:rPr>
        <w:t xml:space="preserve">Yang 2022 SEER. </w:t>
      </w:r>
      <w:r>
        <w:rPr>
          <w:sz w:val="17"/>
          <w:szCs w:val="17"/>
        </w:rPr>
        <w:t xml:space="preserve">Yang Z, Zhang D, Shi G. Reappraisal of a 2-cm cutoff size for the management of nonfunctional pancreatic neuroendocrine tumors: a population-based study. Front Endocrinol (Lausanne). 2022;13:928341. doi:10.3389/fendo.2022.928341. PMID:35923628.</w:t>
      </w:r>
    </w:p>
    <w:p>
      <w:pPr>
        <w:spacing w:after="70"/>
        <w:ind w:left="360" w:hanging="360"/>
      </w:pPr>
      <w:r>
        <w:rPr>
          <w:b/>
          <w:bCs/>
          <w:color w:val="17365D"/>
          <w:sz w:val="17"/>
          <w:szCs w:val="17"/>
        </w:rPr>
        <w:t xml:space="preserve">Zheng-Pywell 2022. </w:t>
      </w:r>
      <w:r>
        <w:rPr>
          <w:sz w:val="17"/>
          <w:szCs w:val="17"/>
        </w:rPr>
        <w:t xml:space="preserve">Zheng-Pywell R, Lopez-Aguiar A, Fields RC, et al. Are we undertreating Black patients with nonfunctional pancreatic neuroendocrine tumors? Critical analysis of current surveillance guidelines by race. J Am Coll Surg. 2022;234(4):599-606. doi:10.1097/XCS.0000000000000105. PMID:35380181.</w:t>
      </w:r>
    </w:p>
    <w:p>
      <w:pPr>
        <w:pStyle w:val="Heading3"/>
        <w:keepNext/>
        <w:spacing w:after="110" w:before="240"/>
      </w:pPr>
      <w:r>
        <w:rPr>
          <w:rFonts w:ascii="Cambria" w:cs="Cambria" w:eastAsia="Cambria" w:hAnsi="Cambria"/>
          <w:b/>
          <w:bCs/>
          <w:color w:val="17365D"/>
          <w:sz w:val="22"/>
          <w:szCs w:val="22"/>
        </w:rPr>
        <w:t xml:space="preserve">Systemic therapy</w:t>
      </w:r>
    </w:p>
    <w:p>
      <w:pPr>
        <w:spacing w:after="70"/>
        <w:ind w:left="360" w:hanging="360"/>
      </w:pPr>
      <w:r>
        <w:rPr>
          <w:b/>
          <w:bCs/>
          <w:color w:val="17365D"/>
          <w:sz w:val="17"/>
          <w:szCs w:val="17"/>
        </w:rPr>
        <w:t xml:space="preserve">NCT05040360. </w:t>
      </w:r>
      <w:r>
        <w:rPr>
          <w:sz w:val="17"/>
          <w:szCs w:val="17"/>
        </w:rPr>
        <w:t xml:space="preserve">Randomised trial of chemotherapy after resection of pancreatic neuroendocrine tumour, cited by NCCN as the ongoing study exploring the utility of adjuvant treatment. Named here because it is the correct destination for a resected patient who wants adjuvant therapy; the local site status and eligibility must be confirmed before a patient is counselled about it.</w:t>
      </w:r>
    </w:p>
    <w:p>
      <w:pPr>
        <w:spacing w:after="70"/>
        <w:ind w:left="360" w:hanging="360"/>
      </w:pPr>
      <w:r>
        <w:rPr>
          <w:b/>
          <w:bCs/>
          <w:color w:val="17365D"/>
          <w:sz w:val="17"/>
          <w:szCs w:val="17"/>
        </w:rPr>
        <w:t xml:space="preserve">NORDIC NEC. </w:t>
      </w:r>
      <w:r>
        <w:rPr>
          <w:sz w:val="17"/>
          <w:szCs w:val="17"/>
        </w:rPr>
        <w:t xml:space="preserve">Sorbye H, Welin S, Langer SW, et al. Predictive and prognostic factors for treatment and survival in 305 patients with advanced gastrointestinal neuroendocrine carcinoma (WHO G3): the NORDIC NEC study. Ann Oncol. 2013;24(1):152-60. doi:10.1093/annonc/mds276. PMID:22967994.</w:t>
      </w:r>
    </w:p>
    <w:p>
      <w:pPr>
        <w:pStyle w:val="Heading1"/>
        <w:keepNext/>
        <w:pageBreakBefore/>
        <w:spacing w:after="110" w:before="320"/>
      </w:pPr>
      <w:r>
        <w:rPr>
          <w:rFonts w:ascii="Cambria" w:cs="Cambria" w:eastAsia="Cambria" w:hAnsi="Cambria"/>
          <w:b/>
          <w:bCs/>
          <w:color w:val="17365D"/>
          <w:sz w:val="32"/>
          <w:szCs w:val="32"/>
        </w:rPr>
        <w:t xml:space="preserve">Appendix: what is wrong with each paper</w:t>
      </w:r>
    </w:p>
    <w:p>
      <w:pPr>
        <w:spacing w:after="120" w:line="276"/>
      </w:pPr>
      <w:r>
        <w:rPr>
          <w:i/>
          <w:iCs/>
          <w:color w:val="5A6069"/>
          <w:sz w:val="20"/>
          <w:szCs w:val="20"/>
        </w:rPr>
        <w:t xml:space="preserve">Each source cited on this roadmap, with the limitations its authors state in their own discussion and the objections the full text supports but they do not raise. Nothing here withdraws a recommendation. It is the record of how far each one can be pushed, so that a claim is never quoted in clinic, to a payer or to a referring clinician as stronger than the paper behind it.</w:t>
      </w:r>
    </w:p>
    <w:p>
      <w:pPr>
        <w:spacing w:after="180" w:line="276"/>
      </w:pPr>
      <w:r>
        <w:rPr>
          <w:i/>
          <w:iCs/>
          <w:color w:val="5A6069"/>
          <w:sz w:val="20"/>
          <w:szCs w:val="20"/>
        </w:rPr>
        <w:t xml:space="preserve">28 of this pathway's 39 sources were read in full and abstracted this way. 11 were not, and are listed at the end of this appendix: guidelines and policy documents without a PMID, and the papers that could not be retrieved.</w:t>
      </w:r>
    </w:p>
    <w:p>
      <w:pPr>
        <w:keepNext/>
        <w:spacing w:after="50" w:before="260"/>
      </w:pPr>
      <w:r>
        <w:rPr>
          <w:rFonts w:ascii="Cambria" w:cs="Cambria" w:eastAsia="Cambria" w:hAnsi="Cambria"/>
          <w:b/>
          <w:bCs/>
          <w:color w:val="17365D"/>
          <w:sz w:val="20"/>
          <w:szCs w:val="20"/>
        </w:rPr>
        <w:t xml:space="preserve">Antwi 2018 GLP-1R PET</w:t>
      </w:r>
      <w:r>
        <w:rPr>
          <w:b/>
          <w:bCs/>
          <w:color w:val="176A87"/>
          <w:sz w:val="15"/>
          <w:szCs w:val="15"/>
        </w:rPr>
        <w:t xml:space="preserve">   Prospective cohort</w:t>
      </w:r>
      <w:r>
        <w:rPr>
          <w:color w:val="5A6069"/>
          <w:sz w:val="15"/>
          <w:szCs w:val="15"/>
        </w:rPr>
        <w:t xml:space="preserve">   PMID 30054698</w:t>
      </w:r>
    </w:p>
    <w:p>
      <w:pPr>
        <w:spacing w:after="50" w:line="276"/>
      </w:pPr>
      <w:r>
        <w:rPr>
          <w:color w:val="5A6069"/>
          <w:sz w:val="17"/>
          <w:szCs w:val="17"/>
        </w:rPr>
        <w:t xml:space="preserve">Comparison of glucagon-like peptide-1 receptor (GLP-1R) PET/CT, SPECT/CT and 3T MRI for the localisation of occult insulinomas: evaluation of diagnostic accuracy in a prospective crossover imaging study.</w:t>
      </w:r>
    </w:p>
    <w:p>
      <w:pPr>
        <w:spacing w:after="50"/>
      </w:pPr>
      <w:r>
        <w:rPr>
          <w:b/>
          <w:bCs/>
          <w:color w:val="176A87"/>
          <w:sz w:val="16"/>
          <w:szCs w:val="16"/>
        </w:rPr>
        <w:t xml:space="preserve">Population. </w:t>
      </w:r>
      <w:r>
        <w:rPr>
          <w:sz w:val="16"/>
          <w:szCs w:val="16"/>
        </w:rPr>
        <w:t xml:space="preserve">52 patients enrolled; 38 with conclusive histology formed the main accuracy analysis</w:t>
      </w:r>
    </w:p>
    <w:p>
      <w:pPr>
        <w:spacing w:after="70"/>
      </w:pPr>
      <w:r>
        <w:rPr>
          <w:b/>
          <w:bCs/>
          <w:color w:val="17365D"/>
          <w:sz w:val="16"/>
          <w:szCs w:val="16"/>
        </w:rPr>
        <w:t xml:space="preserve">Bottom line. </w:t>
      </w:r>
      <w:r>
        <w:rPr>
          <w:sz w:val="16"/>
          <w:szCs w:val="16"/>
        </w:rPr>
        <w:t xml:space="preserve">In patients whose insulinoma has already escaped conventional imaging, 68Ga-DOTA-exendin-4 PET/CT localised the lesion far more accurately and reproducibly than exendin SPECT/CT or 3T MRI, but the accuracy figures are measured only in the 38 of 52 patients who reached surgery and say nothing about specificity or about non-functioning pancreatic NET.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GLP-1R imaging was deliberately compared with a standardised study MRI rather than with EUS or arterial calcium stimulation and venous sampling, so no comparison with those modalities is possible</w:t>
            </w:r>
          </w:p>
          <w:p>
            <w:pPr>
              <w:pStyle w:val="ListParagraph"/>
              <w:numPr>
                <w:ilvl w:val="0"/>
                <w:numId w:val="2"/>
              </w:numPr>
              <w:spacing w:after="45"/>
            </w:pPr>
            <w:r>
              <w:rPr>
                <w:sz w:val="15"/>
                <w:szCs w:val="15"/>
              </w:rPr>
              <w:t xml:space="preserve">Because inclusion required a pathological fasting test, specificity and negative predictive value of the tested modalities cannot be evaluated</w:t>
            </w:r>
          </w:p>
          <w:p>
            <w:pPr>
              <w:pStyle w:val="ListParagraph"/>
              <w:numPr>
                <w:ilvl w:val="0"/>
                <w:numId w:val="2"/>
              </w:numPr>
              <w:spacing w:after="45"/>
            </w:pPr>
            <w:r>
              <w:rPr>
                <w:sz w:val="15"/>
                <w:szCs w:val="15"/>
              </w:rPr>
              <w:t xml:space="preserve">Diagnostic accuracy and sensitivity are overestimated by the chosen reference standard: PET/CT showed a suspicious lesion in only 78.8% of all 52 patients, while the analysis set is the 38 who reached surgery and conclusive histology</w:t>
            </w:r>
          </w:p>
          <w:p>
            <w:pPr>
              <w:pStyle w:val="ListParagraph"/>
              <w:numPr>
                <w:ilvl w:val="0"/>
                <w:numId w:val="2"/>
              </w:numPr>
              <w:spacing w:after="45"/>
            </w:pPr>
            <w:r>
              <w:rPr>
                <w:sz w:val="15"/>
                <w:szCs w:val="15"/>
              </w:rPr>
              <w:t xml:space="preserve">In five patients (9.6%) imaging findings were inconclusive with lesions in different locations, which did not justify surgery and which a fasting test could not adjudicate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Fourteen of 52 enrolled patients are absent from the accuracy analysis precisely because imaging was negative, discordant or surgery was declined - the denominator excludes the cases in which the index test failed, which is the classic verification bias of an imaging study with a surgical reference standard, and the authors concede it inflates sensitivity</w:t>
            </w:r>
          </w:p>
          <w:p>
            <w:pPr>
              <w:pStyle w:val="ListParagraph"/>
              <w:numPr>
                <w:ilvl w:val="0"/>
                <w:numId w:val="2"/>
              </w:numPr>
              <w:spacing w:after="45"/>
            </w:pPr>
            <w:r>
              <w:rPr>
                <w:sz w:val="15"/>
                <w:szCs w:val="15"/>
              </w:rPr>
              <w:t xml:space="preserve">The referral stream selected patients whose insulinoma had already defeated CT, MRI, EUS and in 13 cases ASVS, biopsy or surgery; the resulting 40% accuracy for prior external CT/MRI is therefore not a general estimate of those tests but an artefact of why the patient was sent to Basel</w:t>
            </w:r>
          </w:p>
          <w:p>
            <w:pPr>
              <w:pStyle w:val="ListParagraph"/>
              <w:numPr>
                <w:ilvl w:val="0"/>
                <w:numId w:val="2"/>
              </w:numPr>
              <w:spacing w:after="45"/>
            </w:pPr>
            <w:r>
              <w:rPr>
                <w:sz w:val="15"/>
                <w:szCs w:val="15"/>
              </w:rPr>
              <w:t xml:space="preserve">The index test was read by three blinded readers while prior external CT/MRI was read once at the referring centre, so the two arms of the comparison had different reading rigour</w:t>
            </w:r>
          </w:p>
          <w:p>
            <w:pPr>
              <w:pStyle w:val="ListParagraph"/>
              <w:numPr>
                <w:ilvl w:val="0"/>
                <w:numId w:val="2"/>
              </w:numPr>
              <w:spacing w:after="45"/>
            </w:pPr>
            <w:r>
              <w:rPr>
                <w:sz w:val="15"/>
                <w:szCs w:val="15"/>
              </w:rPr>
              <w:t xml:space="preserve">Surgical planning used all available imaging together, which makes the modality-specific 'impact on management' percentages unattributable; two of the patients counted as impacted (4 and 19) refused surgery and one (31) was a false positive</w:t>
            </w:r>
          </w:p>
          <w:p>
            <w:pPr>
              <w:pStyle w:val="ListParagraph"/>
              <w:numPr>
                <w:ilvl w:val="0"/>
                <w:numId w:val="2"/>
              </w:numPr>
              <w:spacing w:after="45"/>
            </w:pPr>
            <w:r>
              <w:rPr>
                <w:sz w:val="15"/>
                <w:szCs w:val="15"/>
              </w:rPr>
              <w:t xml:space="preserve">Six of 36 patients had MEN1, where multifocal lesions change the detection task and where PET's ability to discriminate insulin-producing from non-functioning lesions is a different claim from localisation accuracy</w:t>
            </w:r>
          </w:p>
          <w:p>
            <w:pPr>
              <w:pStyle w:val="ListParagraph"/>
              <w:numPr>
                <w:ilvl w:val="0"/>
                <w:numId w:val="2"/>
              </w:numPr>
              <w:spacing w:after="45"/>
            </w:pPr>
            <w:r>
              <w:rPr>
                <w:sz w:val="15"/>
                <w:szCs w:val="15"/>
              </w:rPr>
              <w:t xml:space="preserve">The sample size was chosen on 'a feasibility rationale and experience' with no formal power calculation, and the authors state that no adjustment was made for multiple testing across four modalities and three readers</w:t>
            </w:r>
          </w:p>
          <w:p>
            <w:pPr>
              <w:pStyle w:val="ListParagraph"/>
              <w:numPr>
                <w:ilvl w:val="0"/>
                <w:numId w:val="2"/>
              </w:numPr>
              <w:spacing w:after="45"/>
            </w:pPr>
            <w:r>
              <w:rPr>
                <w:sz w:val="15"/>
                <w:szCs w:val="15"/>
              </w:rPr>
              <w:t xml:space="preserve">Single centre, single radiochemistry facility, with the tracer developed by the same group - external reproducibility is untested</w:t>
            </w:r>
          </w:p>
        </w:tc>
      </w:tr>
    </w:tbl>
    <w:p>
      <w:pPr>
        <w:spacing w:after="0" w:line="276"/>
      </w:pPr>
      <w:r>
        <w:rPr>
          <w:color w:val="5A6069"/>
          <w:sz w:val="14"/>
          <w:szCs w:val="14"/>
        </w:rPr>
        <w:t xml:space="preserve">Funding: Swiss National Science Foundation grant 320030-152938 and the Desiree and Niels Yde Foundation grant 389-12, neither with any role in design, collection, analysis, interpretation or writing. Authors declared no conflict of interest.</w:t>
      </w:r>
    </w:p>
    <w:p>
      <w:pPr>
        <w:keepNext/>
        <w:spacing w:after="50" w:before="260"/>
      </w:pPr>
      <w:r>
        <w:rPr>
          <w:rFonts w:ascii="Cambria" w:cs="Cambria" w:eastAsia="Cambria" w:hAnsi="Cambria"/>
          <w:b/>
          <w:bCs/>
          <w:color w:val="17365D"/>
          <w:sz w:val="20"/>
          <w:szCs w:val="20"/>
        </w:rPr>
        <w:t xml:space="preserve">ASPEN interim</w:t>
      </w:r>
      <w:r>
        <w:rPr>
          <w:b/>
          <w:bCs/>
          <w:color w:val="176A87"/>
          <w:sz w:val="15"/>
          <w:szCs w:val="15"/>
        </w:rPr>
        <w:t xml:space="preserve">   Prospective cohort</w:t>
      </w:r>
      <w:r>
        <w:rPr>
          <w:color w:val="5A6069"/>
          <w:sz w:val="15"/>
          <w:szCs w:val="15"/>
        </w:rPr>
        <w:t xml:space="preserve">   PMID 35986682</w:t>
      </w:r>
    </w:p>
    <w:p>
      <w:pPr>
        <w:spacing w:after="50" w:line="276"/>
      </w:pPr>
      <w:r>
        <w:rPr>
          <w:color w:val="5A6069"/>
          <w:sz w:val="17"/>
          <w:szCs w:val="17"/>
        </w:rPr>
        <w:t xml:space="preserve">Management of asymptomatic sporadic non-functioning pancreatic neuroendocrine neoplasms no larger than 2 cm: interim analysis of prospective ASPEN trial.</w:t>
      </w:r>
    </w:p>
    <w:p>
      <w:pPr>
        <w:spacing w:after="50"/>
      </w:pPr>
      <w:r>
        <w:rPr>
          <w:b/>
          <w:bCs/>
          <w:color w:val="176A87"/>
          <w:sz w:val="16"/>
          <w:szCs w:val="16"/>
        </w:rPr>
        <w:t xml:space="preserve">Population. </w:t>
      </w:r>
      <w:r>
        <w:rPr>
          <w:sz w:val="16"/>
          <w:szCs w:val="16"/>
        </w:rPr>
        <w:t xml:space="preserve">500 patients (406 active surveillance, 94 surgical resection), from 540 assessed for eligibility</w:t>
      </w:r>
    </w:p>
    <w:p>
      <w:pPr>
        <w:spacing w:after="70"/>
      </w:pPr>
      <w:r>
        <w:rPr>
          <w:b/>
          <w:bCs/>
          <w:color w:val="17365D"/>
          <w:sz w:val="16"/>
          <w:szCs w:val="16"/>
        </w:rPr>
        <w:t xml:space="preserve">Bottom line. </w:t>
      </w:r>
      <w:r>
        <w:rPr>
          <w:sz w:val="16"/>
          <w:szCs w:val="16"/>
        </w:rPr>
        <w:t xml:space="preserve">The largest prospective series of sub-2 cm non-functioning pancreatic NEN shows that 81% are watched and almost none progress over two years, but the 20% rate of aggressive histology comes only from the selected patients who were resected, the two management strategies were never compared, and 25 months is far too short to settle the question the trial was designed to answer.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These are preliminary results; the study will conclude one year after enrolment of the last patient</w:t>
            </w:r>
          </w:p>
          <w:p>
            <w:pPr>
              <w:pStyle w:val="ListParagraph"/>
              <w:numPr>
                <w:ilvl w:val="0"/>
                <w:numId w:val="2"/>
              </w:numPr>
              <w:spacing w:after="45"/>
            </w:pPr>
            <w:r>
              <w:rPr>
                <w:sz w:val="15"/>
                <w:szCs w:val="15"/>
              </w:rPr>
              <w:t xml:space="preserve">Only a very low rate of tumour growth was seen after a median of 2 years, so longer follow-up is probably needed before definitive conclusions can be reached</w:t>
            </w:r>
          </w:p>
          <w:p>
            <w:pPr>
              <w:pStyle w:val="ListParagraph"/>
              <w:numPr>
                <w:ilvl w:val="0"/>
                <w:numId w:val="2"/>
              </w:numPr>
              <w:spacing w:after="45"/>
            </w:pPr>
            <w:r>
              <w:rPr>
                <w:sz w:val="15"/>
                <w:szCs w:val="15"/>
              </w:rPr>
              <w:t xml:space="preserve">The detection of synchronous liver metastases in four patients demonstrates a real, if rare, potential for distant spread among lesions of 2 cm or less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20% rate of aggressive histology is the paper's most quoted and most consequential number, and it comes entirely from the 94 resected patients - a group selected for larger size, duct dilatation, younger age, anxiety and surgeon preference - so it cannot be read as the prevalence of aggressive biology among sub-2 cm lesions, and certainly not among the 406 who were watched</w:t>
            </w:r>
          </w:p>
          <w:p>
            <w:pPr>
              <w:pStyle w:val="ListParagraph"/>
              <w:numPr>
                <w:ilvl w:val="0"/>
                <w:numId w:val="2"/>
              </w:numPr>
              <w:spacing w:after="45"/>
            </w:pPr>
            <w:r>
              <w:rPr>
                <w:sz w:val="15"/>
                <w:szCs w:val="15"/>
              </w:rPr>
              <w:t xml:space="preserve">Conversely, the surveillance arm's reassuring course rests on 25 months of follow-up with only 2% crossover, so neither arm was observed long enough or exchanged enough patients for the two to be tested against the same risk; no outcome comparison between the arms was performed at all</w:t>
            </w:r>
          </w:p>
          <w:p>
            <w:pPr>
              <w:pStyle w:val="ListParagraph"/>
              <w:numPr>
                <w:ilvl w:val="0"/>
                <w:numId w:val="2"/>
              </w:numPr>
              <w:spacing w:after="45"/>
            </w:pPr>
            <w:r>
              <w:rPr>
                <w:sz w:val="15"/>
                <w:szCs w:val="15"/>
              </w:rPr>
              <w:t xml:space="preserve">Treatment was assigned by the referring centre rather than randomised, and enrolment at a surgical centre independently doubled the odds of resection, so a substantial part of what the study measures is local institutional culture</w:t>
            </w:r>
          </w:p>
          <w:p>
            <w:pPr>
              <w:pStyle w:val="ListParagraph"/>
              <w:numPr>
                <w:ilvl w:val="0"/>
                <w:numId w:val="2"/>
              </w:numPr>
              <w:spacing w:after="45"/>
            </w:pPr>
            <w:r>
              <w:rPr>
                <w:sz w:val="15"/>
                <w:szCs w:val="15"/>
              </w:rPr>
              <w:t xml:space="preserve">The conclusion that 'active surveillance is the preferred approach' is asserted in the same paragraph as the finding of measurable metastatic potential and aggressive histology in a fifth of resected tumours, without any analysis that could compare the two strategies</w:t>
            </w:r>
          </w:p>
          <w:p>
            <w:pPr>
              <w:pStyle w:val="ListParagraph"/>
              <w:numPr>
                <w:ilvl w:val="0"/>
                <w:numId w:val="2"/>
              </w:numPr>
              <w:spacing w:after="45"/>
            </w:pPr>
            <w:r>
              <w:rPr>
                <w:sz w:val="15"/>
                <w:szCs w:val="15"/>
              </w:rPr>
              <w:t xml:space="preserve">The metastasis rate is printed as 0.08 per cent when 4 of 500 is 0.8 per cent - a tenfold typographical understatement of the key safety signal, uncorrected</w:t>
            </w:r>
          </w:p>
          <w:p>
            <w:pPr>
              <w:pStyle w:val="ListParagraph"/>
              <w:numPr>
                <w:ilvl w:val="0"/>
                <w:numId w:val="2"/>
              </w:numPr>
              <w:spacing w:after="45"/>
            </w:pPr>
            <w:r>
              <w:rPr>
                <w:sz w:val="15"/>
                <w:szCs w:val="15"/>
              </w:rPr>
              <w:t xml:space="preserve">A third of patients never had an FNA and grade was not evaluable in a quarter of those who did, so there is no histological characterisation of the surveillance arm and the extent of under-staging there is unmeasurable</w:t>
            </w:r>
          </w:p>
          <w:p>
            <w:pPr>
              <w:pStyle w:val="ListParagraph"/>
              <w:numPr>
                <w:ilvl w:val="0"/>
                <w:numId w:val="2"/>
              </w:numPr>
              <w:spacing w:after="45"/>
            </w:pPr>
            <w:r>
              <w:rPr>
                <w:sz w:val="15"/>
                <w:szCs w:val="15"/>
              </w:rPr>
              <w:t xml:space="preserve">Anxiety (HADS 4-6) independently predicted surgery, which means some pancreatectomies in this cohort were treating distress rather than tumour - a finding the paper notes without pursuing</w:t>
            </w:r>
          </w:p>
          <w:p>
            <w:pPr>
              <w:pStyle w:val="ListParagraph"/>
              <w:numPr>
                <w:ilvl w:val="0"/>
                <w:numId w:val="2"/>
              </w:numPr>
              <w:spacing w:after="45"/>
            </w:pPr>
            <w:r>
              <w:rPr>
                <w:sz w:val="15"/>
                <w:szCs w:val="15"/>
              </w:rPr>
              <w:t xml:space="preserve">The study is funded by ENETS, whose own guideline recommending surveillance for lesions of 2 cm or less is the hypothesis under test, and the senior authors wrote that guideline</w:t>
            </w:r>
          </w:p>
        </w:tc>
      </w:tr>
    </w:tbl>
    <w:p>
      <w:pPr>
        <w:spacing w:after="0" w:line="276"/>
      </w:pPr>
      <w:r>
        <w:rPr>
          <w:color w:val="5A6069"/>
          <w:sz w:val="14"/>
          <w:szCs w:val="14"/>
        </w:rPr>
        <w:t xml:space="preserve">Funding: European Neuroendocrine Tumor Society; the authors declare no conflict of interest.</w:t>
      </w:r>
    </w:p>
    <w:p>
      <w:pPr>
        <w:keepNext/>
        <w:spacing w:after="50" w:before="260"/>
      </w:pPr>
      <w:r>
        <w:rPr>
          <w:rFonts w:ascii="Cambria" w:cs="Cambria" w:eastAsia="Cambria" w:hAnsi="Cambria"/>
          <w:b/>
          <w:bCs/>
          <w:color w:val="17365D"/>
          <w:sz w:val="20"/>
          <w:szCs w:val="20"/>
        </w:rPr>
        <w:t xml:space="preserve">Bilimoria 2008</w:t>
      </w:r>
      <w:r>
        <w:rPr>
          <w:b/>
          <w:bCs/>
          <w:color w:val="176A87"/>
          <w:sz w:val="15"/>
          <w:szCs w:val="15"/>
        </w:rPr>
        <w:t xml:space="preserve">   Registry study</w:t>
      </w:r>
      <w:r>
        <w:rPr>
          <w:color w:val="5A6069"/>
          <w:sz w:val="15"/>
          <w:szCs w:val="15"/>
        </w:rPr>
        <w:t xml:space="preserve">   PMID 18376195</w:t>
      </w:r>
    </w:p>
    <w:p>
      <w:pPr>
        <w:spacing w:after="50" w:line="276"/>
      </w:pPr>
      <w:r>
        <w:rPr>
          <w:color w:val="5A6069"/>
          <w:sz w:val="17"/>
          <w:szCs w:val="17"/>
        </w:rPr>
        <w:t xml:space="preserve">Prognostic score predicting survival after resection of pancreatic neuroendocrine tumors: analysis of 3851 patients.</w:t>
      </w:r>
    </w:p>
    <w:p>
      <w:pPr>
        <w:spacing w:after="50"/>
      </w:pPr>
      <w:r>
        <w:rPr>
          <w:b/>
          <w:bCs/>
          <w:color w:val="176A87"/>
          <w:sz w:val="16"/>
          <w:szCs w:val="16"/>
        </w:rPr>
        <w:t xml:space="preserve">Population. </w:t>
      </w:r>
      <w:r>
        <w:rPr>
          <w:sz w:val="16"/>
          <w:szCs w:val="16"/>
        </w:rPr>
        <w:t xml:space="preserve">3851 patients who underwent pancreatectomy for PNET; 836 with complete data for all three score variables</w:t>
      </w:r>
    </w:p>
    <w:p>
      <w:pPr>
        <w:spacing w:after="70"/>
      </w:pPr>
      <w:r>
        <w:rPr>
          <w:b/>
          <w:bCs/>
          <w:color w:val="17365D"/>
          <w:sz w:val="16"/>
          <w:szCs w:val="16"/>
        </w:rPr>
        <w:t xml:space="preserve">Bottom line. </w:t>
      </w:r>
      <w:r>
        <w:rPr>
          <w:sz w:val="16"/>
          <w:szCs w:val="16"/>
        </w:rPr>
        <w:t xml:space="preserve">The largest resected PNET series ever assembled established age, tumour grade and distant metastasis as the dominant determinants of postresection survival and found no independent effect of tumour size, nodal status or margins - but the registry excluded benign-coded tumours, grade was missing in over 40%, and the resulting score discriminates only marginally better than chance.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Functionality of islet cell tumours is not explicitly recorded in cancer registries, so functional status is probably under-reported; the authors note the functional versus nonfunctional survival difference would likely widen if all benign functional tumours were reported</w:t>
            </w:r>
          </w:p>
          <w:p>
            <w:pPr>
              <w:pStyle w:val="ListParagraph"/>
              <w:numPr>
                <w:ilvl w:val="0"/>
                <w:numId w:val="2"/>
              </w:numPr>
              <w:spacing w:after="45"/>
            </w:pPr>
            <w:r>
              <w:rPr>
                <w:sz w:val="15"/>
                <w:szCs w:val="15"/>
              </w:rPr>
              <w:t xml:space="preserve">US cancer registries collect data only on malignant pancreatic tumours; some hospitals in some periods were reporting tumours with benign behaviour and these were excluded for lack of uniformity</w:t>
            </w:r>
          </w:p>
          <w:p>
            <w:pPr>
              <w:pStyle w:val="ListParagraph"/>
              <w:numPr>
                <w:ilvl w:val="0"/>
                <w:numId w:val="2"/>
              </w:numPr>
              <w:spacing w:after="45"/>
            </w:pPr>
            <w:r>
              <w:rPr>
                <w:sz w:val="15"/>
                <w:szCs w:val="15"/>
              </w:rPr>
              <w:t xml:space="preserve">Tumour grade is substantially underreported for PNET (56.5% complete, versus 22.8% missing for pancreatic adenocarcinoma), and widespread applicability of the score requires better grade reporting</w:t>
            </w:r>
          </w:p>
          <w:p>
            <w:pPr>
              <w:pStyle w:val="ListParagraph"/>
              <w:numPr>
                <w:ilvl w:val="0"/>
                <w:numId w:val="2"/>
              </w:numPr>
              <w:spacing w:after="45"/>
            </w:pPr>
            <w:r>
              <w:rPr>
                <w:sz w:val="15"/>
                <w:szCs w:val="15"/>
              </w:rPr>
              <w:t xml:space="preserve">As with all large administrative datasets there may be miscoding, missing or inaccurate data, and pathological review of all specimens was impossible</w:t>
            </w:r>
          </w:p>
          <w:p>
            <w:pPr>
              <w:pStyle w:val="ListParagraph"/>
              <w:numPr>
                <w:ilvl w:val="0"/>
                <w:numId w:val="2"/>
              </w:numPr>
              <w:spacing w:after="45"/>
            </w:pPr>
            <w:r>
              <w:rPr>
                <w:sz w:val="15"/>
                <w:szCs w:val="15"/>
              </w:rPr>
              <w:t xml:space="preserve">The NCDB does not record MEN-1 status, the number of tumours within the pancreas, secretory hormone levels or the specific type of systemic therapy</w:t>
            </w:r>
          </w:p>
          <w:p>
            <w:pPr>
              <w:pStyle w:val="ListParagraph"/>
              <w:numPr>
                <w:ilvl w:val="0"/>
                <w:numId w:val="2"/>
              </w:numPr>
              <w:spacing w:after="45"/>
            </w:pPr>
            <w:r>
              <w:rPr>
                <w:sz w:val="15"/>
                <w:szCs w:val="15"/>
              </w:rPr>
              <w:t xml:space="preserve">Survival analyses based on retrospective data should be interpreted cautiously because of potential patient selection bias, particularly for surgery and adjuvant treatment, and the analysis of prognostic factors demonstrates association rather than causation</w:t>
            </w:r>
          </w:p>
          <w:p>
            <w:pPr>
              <w:pStyle w:val="ListParagraph"/>
              <w:numPr>
                <w:ilvl w:val="0"/>
                <w:numId w:val="2"/>
              </w:numPr>
              <w:spacing w:after="45"/>
            </w:pPr>
            <w:r>
              <w:rPr>
                <w:sz w:val="15"/>
                <w:szCs w:val="15"/>
              </w:rPr>
              <w:t xml:space="preserve">For patients who had enucleation and were reported node negative, nodal status was recoded as missing unless the number of nodes examined was explicitly reported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result most often lifted from this paper - that tumour size does not predict survival after resection - comes from a cohort in which only 19% of tumours were 2 cm or less and from which the registry had already removed every lesion a pathologist called benign, so the small-tumour end of the distribution is both thin and skewed toward the aggressive; the paper cannot be used to argue that size is irrelevant to the decision whether to resect a 1 cm incidental lesion</w:t>
            </w:r>
          </w:p>
          <w:p>
            <w:pPr>
              <w:pStyle w:val="ListParagraph"/>
              <w:numPr>
                <w:ilvl w:val="0"/>
                <w:numId w:val="2"/>
              </w:numPr>
              <w:spacing w:after="45"/>
            </w:pPr>
            <w:r>
              <w:rPr>
                <w:sz w:val="15"/>
                <w:szCs w:val="15"/>
              </w:rPr>
              <w:t xml:space="preserve">The score is derived and evaluated in the same 836 patients, with bootstrapping for optimism but no external or temporal validation, and a concordance index of 0.63 is barely above the 0.5 of chance; the authors defend it by comparison with a pancreatic adenocarcinoma staging system rather than against any threshold of clinical usefulness</w:t>
            </w:r>
          </w:p>
          <w:p>
            <w:pPr>
              <w:pStyle w:val="ListParagraph"/>
              <w:numPr>
                <w:ilvl w:val="0"/>
                <w:numId w:val="2"/>
              </w:numPr>
              <w:spacing w:after="45"/>
            </w:pPr>
            <w:r>
              <w:rPr>
                <w:sz w:val="15"/>
                <w:szCs w:val="15"/>
              </w:rPr>
              <w:t xml:space="preserve">Grade was missing in 43.5% of the cohort and nodal status was deliberately recoded as missing for enucleation patients, so the two variables that carry most of the score's discrimination are the two most incompletely recorded - and the 836-patient complete-case subset is by construction the best-documented 22% of the cohort</w:t>
            </w:r>
          </w:p>
          <w:p>
            <w:pPr>
              <w:pStyle w:val="ListParagraph"/>
              <w:numPr>
                <w:ilvl w:val="0"/>
                <w:numId w:val="2"/>
              </w:numPr>
              <w:spacing w:after="45"/>
            </w:pPr>
            <w:r>
              <w:rPr>
                <w:sz w:val="15"/>
                <w:szCs w:val="15"/>
              </w:rPr>
              <w:t xml:space="preserve">Pancreaticoduodenectomy emerging as an independent adverse predictor is far more plausibly perioperative mortality and tumour location than any effect of the operation, which the authors concede in the discussion while retaining it in the model and in the abstract's list of predictors</w:t>
            </w:r>
          </w:p>
          <w:p>
            <w:pPr>
              <w:pStyle w:val="ListParagraph"/>
              <w:numPr>
                <w:ilvl w:val="0"/>
                <w:numId w:val="2"/>
              </w:numPr>
              <w:spacing w:after="45"/>
            </w:pPr>
            <w:r>
              <w:rPr>
                <w:sz w:val="15"/>
                <w:szCs w:val="15"/>
              </w:rPr>
              <w:t xml:space="preserve">The cohort spans 1985-2004, during which WHO grading was introduced (2000) and 'neuroendocrine carcinoma' absorbed 'islet cell tumour' in registry reporting, so the exposure definitions shift within the study period</w:t>
            </w:r>
          </w:p>
          <w:p>
            <w:pPr>
              <w:pStyle w:val="ListParagraph"/>
              <w:numPr>
                <w:ilvl w:val="0"/>
                <w:numId w:val="2"/>
              </w:numPr>
              <w:spacing w:after="45"/>
            </w:pPr>
            <w:r>
              <w:rPr>
                <w:sz w:val="15"/>
                <w:szCs w:val="15"/>
              </w:rPr>
              <w:t xml:space="preserve">Disease-specific survival is unavailable, so relative survival adjusted for age, sex and race stands in for it; in a disease with a median age of 56 and 10-year survival of 38%, that substitution does substantial work and is not validated here</w:t>
            </w:r>
          </w:p>
          <w:p>
            <w:pPr>
              <w:pStyle w:val="ListParagraph"/>
              <w:numPr>
                <w:ilvl w:val="0"/>
                <w:numId w:val="2"/>
              </w:numPr>
              <w:spacing w:after="45"/>
            </w:pPr>
            <w:r>
              <w:rPr>
                <w:sz w:val="15"/>
                <w:szCs w:val="15"/>
              </w:rPr>
              <w:t xml:space="preserve">Only 1464 of 3851 patients had tumours over 4 cm recorded and size was missing for about 22%, so the null result for size is also a null result in the presence of considerable missingness, with no sensitivity analysis</w:t>
            </w:r>
          </w:p>
        </w:tc>
      </w:tr>
    </w:tbl>
    <w:p>
      <w:pPr>
        <w:spacing w:after="0" w:line="276"/>
      </w:pPr>
      <w:r>
        <w:rPr>
          <w:color w:val="5A6069"/>
          <w:sz w:val="14"/>
          <w:szCs w:val="14"/>
        </w:rPr>
        <w:t xml:space="preserve">Funding: K.Y. Bilimoria was supported by the American College of Surgeons Clinical Scholars in Residence program and the Department of Surgery, Feinberg School of Medicine, Northwestern University. No industry funding reported.</w:t>
      </w:r>
    </w:p>
    <w:p>
      <w:pPr>
        <w:keepNext/>
        <w:spacing w:after="50" w:before="260"/>
      </w:pPr>
      <w:r>
        <w:rPr>
          <w:rFonts w:ascii="Cambria" w:cs="Cambria" w:eastAsia="Cambria" w:hAnsi="Cambria"/>
          <w:b/>
          <w:bCs/>
          <w:color w:val="17365D"/>
          <w:sz w:val="20"/>
          <w:szCs w:val="20"/>
        </w:rPr>
        <w:t xml:space="preserve">Blansfield 2007</w:t>
      </w:r>
      <w:r>
        <w:rPr>
          <w:b/>
          <w:bCs/>
          <w:color w:val="176A87"/>
          <w:sz w:val="15"/>
          <w:szCs w:val="15"/>
        </w:rPr>
        <w:t xml:space="preserve">   Prospective cohort</w:t>
      </w:r>
      <w:r>
        <w:rPr>
          <w:color w:val="5A6069"/>
          <w:sz w:val="15"/>
          <w:szCs w:val="15"/>
        </w:rPr>
        <w:t xml:space="preserve">   PMID 18063061</w:t>
      </w:r>
    </w:p>
    <w:p>
      <w:pPr>
        <w:spacing w:after="50" w:line="276"/>
      </w:pPr>
      <w:r>
        <w:rPr>
          <w:color w:val="5A6069"/>
          <w:sz w:val="17"/>
          <w:szCs w:val="17"/>
        </w:rPr>
        <w:t xml:space="preserve">Clinical, genetic and radiographic analysis of 108 patients with von Hippel-Lindau disease (VHL) manifested by pancreatic neuroendocrine tumors (PNETs).</w:t>
      </w:r>
    </w:p>
    <w:p>
      <w:pPr>
        <w:spacing w:after="50"/>
      </w:pPr>
      <w:r>
        <w:rPr>
          <w:b/>
          <w:bCs/>
          <w:color w:val="176A87"/>
          <w:sz w:val="16"/>
          <w:szCs w:val="16"/>
        </w:rPr>
        <w:t xml:space="preserve">Population. </w:t>
      </w:r>
      <w:r>
        <w:rPr>
          <w:sz w:val="16"/>
          <w:szCs w:val="16"/>
        </w:rPr>
        <w:t xml:space="preserve">108 VHL patients with PNETs among 633 VHL patients screened; 39 resected and 9 with metastatic disease</w:t>
      </w:r>
    </w:p>
    <w:p>
      <w:pPr>
        <w:spacing w:after="70"/>
      </w:pPr>
      <w:r>
        <w:rPr>
          <w:b/>
          <w:bCs/>
          <w:color w:val="17365D"/>
          <w:sz w:val="16"/>
          <w:szCs w:val="16"/>
        </w:rPr>
        <w:t xml:space="preserve">Bottom line. </w:t>
      </w:r>
      <w:r>
        <w:rPr>
          <w:sz w:val="16"/>
          <w:szCs w:val="16"/>
        </w:rPr>
        <w:t xml:space="preserve">In the largest single-centre VHL series, 17% of patients had a pancreatic neuroendocrine tumour and only 8.3% of those metastasised; lesion size of 3 cm or more, an exon 3 germline mutation and a doubling time under 500 days together identified every metastatic case - but the rule was derived and tested on the same 9 events, doubling time was measurable in only half the non-metastatic patients, and two thirds of lesions were never histologically confirmed.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pathology was not reviewed for this study, so Ki-67 or proliferative staining was not examined and could not be related to doubling time</w:t>
            </w:r>
          </w:p>
          <w:p>
            <w:pPr>
              <w:pStyle w:val="ListParagraph"/>
              <w:numPr>
                <w:ilvl w:val="0"/>
                <w:numId w:val="2"/>
              </w:numPr>
              <w:spacing w:after="45"/>
            </w:pPr>
            <w:r>
              <w:rPr>
                <w:sz w:val="15"/>
                <w:szCs w:val="15"/>
              </w:rPr>
              <w:t xml:space="preserve">Chromogranin A and other biomarkers were not examined and no marker data correlate with metastatic disease</w:t>
            </w:r>
          </w:p>
          <w:p>
            <w:pPr>
              <w:pStyle w:val="ListParagraph"/>
              <w:numPr>
                <w:ilvl w:val="0"/>
                <w:numId w:val="2"/>
              </w:numPr>
              <w:spacing w:after="45"/>
            </w:pPr>
            <w:r>
              <w:rPr>
                <w:sz w:val="15"/>
                <w:szCs w:val="15"/>
              </w:rPr>
              <w:t xml:space="preserve">Cut-offs of 1 cm and 2 cm were not analysed; only the 3 cm threshold carried over from the group's earlier work was tested</w:t>
            </w:r>
          </w:p>
          <w:p>
            <w:pPr>
              <w:pStyle w:val="ListParagraph"/>
              <w:numPr>
                <w:ilvl w:val="0"/>
                <w:numId w:val="2"/>
              </w:numPr>
              <w:spacing w:after="45"/>
            </w:pPr>
            <w:r>
              <w:rPr>
                <w:sz w:val="15"/>
                <w:szCs w:val="15"/>
              </w:rPr>
              <w:t xml:space="preserve">Some non-operated lesions diagnosed on radiographic criteria could on pathology turn out to be microcystic adenomas, although the authors state they do not look classic for that on imaging</w:t>
            </w:r>
          </w:p>
          <w:p>
            <w:pPr>
              <w:pStyle w:val="ListParagraph"/>
              <w:numPr>
                <w:ilvl w:val="0"/>
                <w:numId w:val="2"/>
              </w:numPr>
              <w:spacing w:after="45"/>
            </w:pPr>
            <w:r>
              <w:rPr>
                <w:sz w:val="15"/>
                <w:szCs w:val="15"/>
              </w:rPr>
              <w:t xml:space="preserve">The ultimate impact of this management approach on metastatic risk will only be known as the patients continue to be followed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three-criterion algorithm is derived from 9 metastatic events and then declared to capture all 9, so its perfect sensitivity is a tautology of the derivation rather than a finding, and no independent or temporal validation is attempted</w:t>
            </w:r>
          </w:p>
          <w:p>
            <w:pPr>
              <w:pStyle w:val="ListParagraph"/>
              <w:numPr>
                <w:ilvl w:val="0"/>
                <w:numId w:val="2"/>
              </w:numPr>
              <w:spacing w:after="45"/>
            </w:pPr>
            <w:r>
              <w:rPr>
                <w:sz w:val="15"/>
                <w:szCs w:val="15"/>
              </w:rPr>
              <w:t xml:space="preserve">Doubling time, the criterion with the largest apparent separation, could be calculated in all 9 metastatic patients but only 54 of 99 non-metastatic ones; patients with visibly growing lesions are imaged more often, so the exposure and the ability to measure it are entangled, and the missing 45 patients are simply absent from the stratification table</w:t>
            </w:r>
          </w:p>
          <w:p>
            <w:pPr>
              <w:pStyle w:val="ListParagraph"/>
              <w:numPr>
                <w:ilvl w:val="0"/>
                <w:numId w:val="2"/>
              </w:numPr>
              <w:spacing w:after="45"/>
            </w:pPr>
            <w:r>
              <w:rPr>
                <w:sz w:val="15"/>
                <w:szCs w:val="15"/>
              </w:rPr>
              <w:t xml:space="preserve">Sixty-nine of 108 lesions were never resected and their diagnosis rests on CT or MRI appearance alone - which the senior author concedes in the floor discussion could include microcystic adenomas - so a substantial part of the denominator is unverified, and any benign lesions in it dilute the metastasis rate downward</w:t>
            </w:r>
          </w:p>
          <w:p>
            <w:pPr>
              <w:pStyle w:val="ListParagraph"/>
              <w:numPr>
                <w:ilvl w:val="0"/>
                <w:numId w:val="2"/>
              </w:numPr>
              <w:spacing w:after="45"/>
            </w:pPr>
            <w:r>
              <w:rPr>
                <w:sz w:val="15"/>
                <w:szCs w:val="15"/>
              </w:rPr>
              <w:t xml:space="preserve">The study dates are internally inconsistent, December 1998 in the abstract against December 1988 in the methods, an eight-fold difference in accrual window that is never reconciled</w:t>
            </w:r>
          </w:p>
          <w:p>
            <w:pPr>
              <w:pStyle w:val="ListParagraph"/>
              <w:numPr>
                <w:ilvl w:val="0"/>
                <w:numId w:val="2"/>
              </w:numPr>
              <w:spacing w:after="45"/>
            </w:pPr>
            <w:r>
              <w:rPr>
                <w:sz w:val="15"/>
                <w:szCs w:val="15"/>
              </w:rPr>
              <w:t xml:space="preserve">The 3 cm threshold was carried over from the group's own prior publications rather than tested against 1 or 2 cm; a discussant asked precisely this and the author replied that the analysis had not been done, so the cut point in the resulting algorithm is untested within this dataset</w:t>
            </w:r>
          </w:p>
          <w:p>
            <w:pPr>
              <w:pStyle w:val="ListParagraph"/>
              <w:numPr>
                <w:ilvl w:val="0"/>
                <w:numId w:val="2"/>
              </w:numPr>
              <w:spacing w:after="45"/>
            </w:pPr>
            <w:r>
              <w:rPr>
                <w:sz w:val="15"/>
                <w:szCs w:val="15"/>
              </w:rPr>
              <w:t xml:space="preserve">No Ki-67, grade or differentiation data exist anywhere in the series, which in 2007 was already the strongest known prognostic axis in pancreatic NET</w:t>
            </w:r>
          </w:p>
          <w:p>
            <w:pPr>
              <w:pStyle w:val="ListParagraph"/>
              <w:numPr>
                <w:ilvl w:val="0"/>
                <w:numId w:val="2"/>
              </w:numPr>
              <w:spacing w:after="45"/>
            </w:pPr>
            <w:r>
              <w:rPr>
                <w:sz w:val="15"/>
                <w:szCs w:val="15"/>
              </w:rPr>
              <w:t xml:space="preserve">VHL PNETs are always nonfunctional, often multifocal and set against competing renal and CNS disease; with 2 PNET deaths among 633 screened patients, the algorithm is calibrated against a risk that is an order of magnitude smaller than the patient's renal risk, which the authors state but which also means the algorithm's clinical value is largely unmeasurable</w:t>
            </w:r>
          </w:p>
          <w:p>
            <w:pPr>
              <w:pStyle w:val="ListParagraph"/>
              <w:numPr>
                <w:ilvl w:val="0"/>
                <w:numId w:val="2"/>
              </w:numPr>
              <w:spacing w:after="45"/>
            </w:pPr>
            <w:r>
              <w:rPr>
                <w:sz w:val="15"/>
                <w:szCs w:val="15"/>
              </w:rPr>
              <w:t xml:space="preserve">The exon 3 association rests on 7 of 9 metastatic patients and is a single test in a cohort where exon 3 is already the commonest mutation site (50%), with no correction for the other exons examined</w:t>
            </w:r>
          </w:p>
        </w:tc>
      </w:tr>
    </w:tbl>
    <w:p>
      <w:pPr>
        <w:keepNext/>
        <w:spacing w:after="50" w:before="260"/>
      </w:pPr>
      <w:r>
        <w:rPr>
          <w:rFonts w:ascii="Cambria" w:cs="Cambria" w:eastAsia="Cambria" w:hAnsi="Cambria"/>
          <w:b/>
          <w:bCs/>
          <w:color w:val="17365D"/>
          <w:sz w:val="20"/>
          <w:szCs w:val="20"/>
        </w:rPr>
        <w:t xml:space="preserve">ENETS 2023 NF-PanNET</w:t>
      </w:r>
      <w:r>
        <w:rPr>
          <w:b/>
          <w:bCs/>
          <w:color w:val="176A87"/>
          <w:sz w:val="15"/>
          <w:szCs w:val="15"/>
        </w:rPr>
        <w:t xml:space="preserve">   Guideline</w:t>
      </w:r>
      <w:r>
        <w:rPr>
          <w:color w:val="5A6069"/>
          <w:sz w:val="15"/>
          <w:szCs w:val="15"/>
        </w:rPr>
        <w:t xml:space="preserve">   PMID 37877341</w:t>
      </w:r>
    </w:p>
    <w:p>
      <w:pPr>
        <w:spacing w:after="50" w:line="276"/>
      </w:pPr>
      <w:r>
        <w:rPr>
          <w:color w:val="5A6069"/>
          <w:sz w:val="17"/>
          <w:szCs w:val="17"/>
        </w:rPr>
        <w:t xml:space="preserve">European Neuroendocrine Tumour Society (ENETS) 2023 guidance paper for nonfunctioning pancreatic neuroendocrine tumours.</w:t>
      </w:r>
    </w:p>
    <w:p>
      <w:pPr>
        <w:spacing w:after="70"/>
      </w:pPr>
      <w:r>
        <w:rPr>
          <w:b/>
          <w:bCs/>
          <w:color w:val="17365D"/>
          <w:sz w:val="16"/>
          <w:szCs w:val="16"/>
        </w:rPr>
        <w:t xml:space="preserve">Bottom line. </w:t>
      </w:r>
      <w:r>
        <w:rPr>
          <w:sz w:val="16"/>
          <w:szCs w:val="16"/>
        </w:rPr>
        <w:t xml:space="preserve">The current ENETS position on nonfunctioning pancreatic NET: observe lesions of 1 cm or less, individualise 1-2 cm, operate above 2 cm or with duct dilation, stage with SSTR-PET/CT and surveil for twenty years or more - sensible, practical and widely followed, but the pivotal surgical thresholds carry level 3 evidence, the follow-up schedule carries level 5, and the prospective studies invoked have two years of follow-up.</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only that their many years of experience in the field are still being verified in the light of results from new clinical studies, which set new ways of proceeding</w:t>
            </w:r>
          </w:p>
          <w:p>
            <w:pPr>
              <w:pStyle w:val="ListParagraph"/>
              <w:numPr>
                <w:ilvl w:val="0"/>
                <w:numId w:val="2"/>
              </w:numPr>
              <w:spacing w:after="45"/>
            </w:pPr>
            <w:r>
              <w:rPr>
                <w:sz w:val="15"/>
                <w:szCs w:val="15"/>
              </w:rPr>
              <w:t xml:space="preserve">Treatment of NF-Pan-NEN still requires the decision of a multidisciplinary team of neuroendocrine neoplasm specialists, and ENETS Centres of Excellence should be strongly considered</w:t>
            </w:r>
          </w:p>
          <w:p>
            <w:pPr>
              <w:pStyle w:val="ListParagraph"/>
              <w:numPr>
                <w:ilvl w:val="0"/>
                <w:numId w:val="2"/>
              </w:numPr>
              <w:spacing w:after="45"/>
            </w:pPr>
            <w:r>
              <w:rPr>
                <w:sz w:val="15"/>
                <w:szCs w:val="15"/>
              </w:rPr>
              <w:t xml:space="preserve">Further studies are needed to fulfil unmet needs, focusing on prognostic molecular markers, the selection of a therapeutic approach and the sequence of treatments</w:t>
            </w:r>
          </w:p>
          <w:p>
            <w:pPr>
              <w:pStyle w:val="ListParagraph"/>
              <w:numPr>
                <w:ilvl w:val="0"/>
                <w:numId w:val="2"/>
              </w:numPr>
              <w:spacing w:after="45"/>
            </w:pPr>
            <w:r>
              <w:rPr>
                <w:sz w:val="15"/>
                <w:szCs w:val="15"/>
              </w:rPr>
              <w:t xml:space="preserve">Data sharing is not applicable as no new data were created or analysed</w:t>
            </w:r>
          </w:p>
          <w:p>
            <w:pPr>
              <w:pStyle w:val="ListParagraph"/>
              <w:numPr>
                <w:ilvl w:val="0"/>
                <w:numId w:val="2"/>
              </w:numPr>
              <w:spacing w:after="45"/>
            </w:pPr>
            <w:r>
              <w:rPr>
                <w:sz w:val="15"/>
                <w:szCs w:val="15"/>
              </w:rPr>
              <w:t xml:space="preserve">Specific uncertainties acknowledged in the text: no validated consensus on the definition of resectability; no preoperative examination accurately predicts nodal involvement; robust data on radiofrequency ablation and on minimally invasive pancreaticoduodenectomy are lacking; no evidence supports somatostatin analogues for controlling progression of small NF-Pan-NET under surveillance; the role of chemotherapy as adjuvant therapy is unknown; limited data exist on PRRT for G3</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two recommendations that most change practice - surveillance for lesions of 1 cm or less and surgery for everything above 2 cm - both carry level 3 evidence and grade B, yet the second is written in the imperative ('strongly recommended'), and the 1-2 cm band into which most incidental lesions fall is handed back to the clinician with no decision rule at all</w:t>
            </w:r>
          </w:p>
          <w:p>
            <w:pPr>
              <w:pStyle w:val="ListParagraph"/>
              <w:numPr>
                <w:ilvl w:val="0"/>
                <w:numId w:val="2"/>
              </w:numPr>
              <w:spacing w:after="45"/>
            </w:pPr>
            <w:r>
              <w:rPr>
                <w:sz w:val="15"/>
                <w:szCs w:val="15"/>
              </w:rPr>
              <w:t xml:space="preserve">The follow-up schedule and the recommendation to surveil for at least 20 years and possibly lifelong rest on level 5 evidence - expert opinion without explicit critical appraisal, by the paper's own table - while being assigned grade B, an inversion the GRADE framework the paper claims to follow would not permit</w:t>
            </w:r>
          </w:p>
          <w:p>
            <w:pPr>
              <w:pStyle w:val="ListParagraph"/>
              <w:numPr>
                <w:ilvl w:val="0"/>
                <w:numId w:val="2"/>
              </w:numPr>
              <w:spacing w:after="45"/>
            </w:pPr>
            <w:r>
              <w:rPr>
                <w:sz w:val="15"/>
                <w:szCs w:val="15"/>
              </w:rPr>
              <w:t xml:space="preserve">PANDORA and the ASPEN interim analysis are cited as the prospective basis for surveillance at median follow-ups of 17 and 25 months, without the document noting that both are far shorter than the 7-year median time to pancreatic recurrence and the 12-18% recurrence rate it reports elsewhere in the same text</w:t>
            </w:r>
          </w:p>
          <w:p>
            <w:pPr>
              <w:pStyle w:val="ListParagraph"/>
              <w:numPr>
                <w:ilvl w:val="0"/>
                <w:numId w:val="2"/>
              </w:numPr>
              <w:spacing w:after="45"/>
            </w:pPr>
            <w:r>
              <w:rPr>
                <w:sz w:val="15"/>
                <w:szCs w:val="15"/>
              </w:rPr>
              <w:t xml:space="preserve">The ASPEN principal investigator and the author of the ENETS surgical guideline being operationalised are among the authors, so the guidance grades evidence its own authors generated, and ASPEN was itself funded by ENETS</w:t>
            </w:r>
          </w:p>
          <w:p>
            <w:pPr>
              <w:pStyle w:val="ListParagraph"/>
              <w:numPr>
                <w:ilvl w:val="0"/>
                <w:numId w:val="2"/>
              </w:numPr>
              <w:spacing w:after="45"/>
            </w:pPr>
            <w:r>
              <w:rPr>
                <w:sz w:val="15"/>
                <w:szCs w:val="15"/>
              </w:rPr>
              <w:t xml:space="preserve">CLARINET's hazard ratio in the pancreatic subgroup crosses unity (0.58, 95% CI 0.32-1.04) and is cited in support of a grade A recommendation for upfront somatostatin analogues - a confidence interval that does not exclude no effect supporting the strongest grade available</w:t>
            </w:r>
          </w:p>
          <w:p>
            <w:pPr>
              <w:pStyle w:val="ListParagraph"/>
              <w:numPr>
                <w:ilvl w:val="0"/>
                <w:numId w:val="2"/>
              </w:numPr>
              <w:spacing w:after="45"/>
            </w:pPr>
            <w:r>
              <w:rPr>
                <w:sz w:val="15"/>
                <w:szCs w:val="15"/>
              </w:rPr>
              <w:t xml:space="preserve">Belzutifan's 90.9% response figure is imported from a single-arm 22-patient secondary endpoint in VHL disease and placed in a nonfunctioning sporadic pancreatic NET guideline, with the caveat about metastatic disease but not about the design</w:t>
            </w:r>
          </w:p>
          <w:p>
            <w:pPr>
              <w:pStyle w:val="ListParagraph"/>
              <w:numPr>
                <w:ilvl w:val="0"/>
                <w:numId w:val="2"/>
              </w:numPr>
              <w:spacing w:after="45"/>
            </w:pPr>
            <w:r>
              <w:rPr>
                <w:sz w:val="15"/>
                <w:szCs w:val="15"/>
              </w:rPr>
              <w:t xml:space="preserve">The E2211 chemotherapy recommendation is built on a PFS advantage with non-significant response and overall survival, in a trial limited to Ki-67 up to 20%, and is then extended to G3 disease on the strength of one retrospective series (evidence 3b, grade B)</w:t>
            </w:r>
          </w:p>
          <w:p>
            <w:pPr>
              <w:pStyle w:val="ListParagraph"/>
              <w:numPr>
                <w:ilvl w:val="0"/>
                <w:numId w:val="2"/>
              </w:numPr>
              <w:spacing w:after="45"/>
            </w:pPr>
            <w:r>
              <w:rPr>
                <w:sz w:val="15"/>
                <w:szCs w:val="15"/>
              </w:rPr>
              <w:t xml:space="preserve">There is no systematic search, no evidence table and no description of how the literature informing each question was selected, so the level-of-evidence labels cannot be audited</w:t>
            </w:r>
          </w:p>
          <w:p>
            <w:pPr>
              <w:pStyle w:val="ListParagraph"/>
              <w:numPr>
                <w:ilvl w:val="0"/>
                <w:numId w:val="2"/>
              </w:numPr>
              <w:spacing w:after="45"/>
            </w:pPr>
            <w:r>
              <w:rPr>
                <w:sz w:val="15"/>
                <w:szCs w:val="15"/>
              </w:rPr>
              <w:t xml:space="preserve">Eleven of the thirteen authors declare consultancy, speaker or advisory relationships with the manufacturers of the recommended agents - Ipsen, Novartis, AAA, Pfizer, MSD among them - and one holds intellectual property on 64Cu-DOTATATE, the tracer whose superior lesion detection the imaging section endorses</w:t>
            </w:r>
          </w:p>
        </w:tc>
      </w:tr>
    </w:tbl>
    <w:p>
      <w:pPr>
        <w:keepNext/>
        <w:spacing w:after="50" w:before="260"/>
      </w:pPr>
      <w:r>
        <w:rPr>
          <w:rFonts w:ascii="Cambria" w:cs="Cambria" w:eastAsia="Cambria" w:hAnsi="Cambria"/>
          <w:b/>
          <w:bCs/>
          <w:color w:val="17365D"/>
          <w:sz w:val="20"/>
          <w:szCs w:val="20"/>
        </w:rPr>
        <w:t xml:space="preserve">Faggiano 2020</w:t>
      </w:r>
      <w:r>
        <w:rPr>
          <w:b/>
          <w:bCs/>
          <w:color w:val="176A87"/>
          <w:sz w:val="15"/>
          <w:szCs w:val="15"/>
        </w:rPr>
        <w:t xml:space="preserve">   Prospective cohort</w:t>
      </w:r>
      <w:r>
        <w:rPr>
          <w:color w:val="5A6069"/>
          <w:sz w:val="15"/>
          <w:szCs w:val="15"/>
        </w:rPr>
        <w:t xml:space="preserve">   PMID 31586182</w:t>
      </w:r>
    </w:p>
    <w:p>
      <w:pPr>
        <w:spacing w:after="50" w:line="276"/>
      </w:pPr>
      <w:r>
        <w:rPr>
          <w:color w:val="5A6069"/>
          <w:sz w:val="17"/>
          <w:szCs w:val="17"/>
        </w:rPr>
        <w:t xml:space="preserve">Lanreotide therapy vs active surveillance in MEN1-related pancreatic neuroendocrine tumors &lt; 2 centimeters.</w:t>
      </w:r>
    </w:p>
    <w:p>
      <w:pPr>
        <w:spacing w:after="50"/>
      </w:pPr>
      <w:r>
        <w:rPr>
          <w:b/>
          <w:bCs/>
          <w:color w:val="176A87"/>
          <w:sz w:val="16"/>
          <w:szCs w:val="16"/>
        </w:rPr>
        <w:t xml:space="preserve">Population. </w:t>
      </w:r>
      <w:r>
        <w:rPr>
          <w:sz w:val="16"/>
          <w:szCs w:val="16"/>
        </w:rPr>
        <w:t xml:space="preserve">42 MEN1 patients with pNETs under 2 cm (23 lanreotide, 19 active surveillance); 91 pNETs at baseline</w:t>
      </w:r>
    </w:p>
    <w:p>
      <w:pPr>
        <w:spacing w:after="70"/>
      </w:pPr>
      <w:r>
        <w:rPr>
          <w:b/>
          <w:bCs/>
          <w:color w:val="17365D"/>
          <w:sz w:val="16"/>
          <w:szCs w:val="16"/>
        </w:rPr>
        <w:t xml:space="preserve">Bottom line. </w:t>
      </w:r>
      <w:r>
        <w:rPr>
          <w:sz w:val="16"/>
          <w:szCs w:val="16"/>
        </w:rPr>
        <w:t xml:space="preserve">The first prospective evaluation of a somatostatin analogue in MEN1-related pancreatic NET under 2 cm found progression-free survival not reached with lanreotide versus 40 months under surveillance, with a third of treated lesions shrinking, but treatment was self-selected, 42 patients generated 17 radiological events, and the metastasis, surgery and survival outcomes were indistinguishable.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observational, non-randomised study design is stated as the main limitation of the study, offset in the authors' view by the long follow-up</w:t>
            </w:r>
          </w:p>
          <w:p>
            <w:pPr>
              <w:pStyle w:val="ListParagraph"/>
              <w:numPr>
                <w:ilvl w:val="0"/>
                <w:numId w:val="2"/>
              </w:numPr>
              <w:spacing w:after="45"/>
            </w:pPr>
            <w:r>
              <w:rPr>
                <w:sz w:val="15"/>
                <w:szCs w:val="15"/>
              </w:rPr>
              <w:t xml:space="preserve">The metastasis data require caution because only one patient per group developed liver metastases and the rate was obtained radiologically; the pathological rate is likely higher, since unsuspected locoregional metastases are found at surgery</w:t>
            </w:r>
          </w:p>
          <w:p>
            <w:pPr>
              <w:pStyle w:val="ListParagraph"/>
              <w:numPr>
                <w:ilvl w:val="0"/>
                <w:numId w:val="2"/>
              </w:numPr>
              <w:spacing w:after="45"/>
            </w:pPr>
            <w:r>
              <w:rPr>
                <w:sz w:val="15"/>
                <w:szCs w:val="15"/>
              </w:rPr>
              <w:t xml:space="preserve">No survival data were possible because no patient died; establishing the impact of early lanreotide on overall survival, treatment-related death and side effects will require much longer follow-up</w:t>
            </w:r>
          </w:p>
          <w:p>
            <w:pPr>
              <w:pStyle w:val="ListParagraph"/>
              <w:numPr>
                <w:ilvl w:val="0"/>
                <w:numId w:val="2"/>
              </w:numPr>
              <w:spacing w:after="45"/>
            </w:pPr>
            <w:r>
              <w:rPr>
                <w:sz w:val="15"/>
                <w:szCs w:val="15"/>
              </w:rPr>
              <w:t xml:space="preserve">Patients under active surveillance were more likely to undergo surgery, both for tumour growth and for the development of hormonal syndromes, and are therefore expected to have more often received systemic treatments other than somatostatin analogues and their complications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Treatment was chosen, not allocated - lanreotide was 'proposed to all patients included, as alternative to active surveillance' - so the arms differ by whatever disposes a patient to accept monthly injections for six years, and the paper reports no comparison of comorbidity, MEN1 burden, prior surgery or stated reason for the choice</w:t>
            </w:r>
          </w:p>
          <w:p>
            <w:pPr>
              <w:pStyle w:val="ListParagraph"/>
              <w:numPr>
                <w:ilvl w:val="0"/>
                <w:numId w:val="2"/>
              </w:numPr>
              <w:spacing w:after="45"/>
            </w:pPr>
            <w:r>
              <w:rPr>
                <w:sz w:val="15"/>
                <w:szCs w:val="15"/>
              </w:rPr>
              <w:t xml:space="preserve">The primary endpoint is radiological progression under a definition that counts any new lesion reaching 10 mm or a 20% size increase; in a multifocal field disease this rewards an antiproliferative drug on the measure it is most likely to move while demonstrating no benefit in metastasis (one event per arm), functional conversion in the only two affected patients being an inference from 2 of 19, operations avoided (2 versus 5) or survival (no deaths)</w:t>
            </w:r>
          </w:p>
          <w:p>
            <w:pPr>
              <w:pStyle w:val="ListParagraph"/>
              <w:numPr>
                <w:ilvl w:val="0"/>
                <w:numId w:val="2"/>
              </w:numPr>
              <w:spacing w:after="45"/>
            </w:pPr>
            <w:r>
              <w:rPr>
                <w:sz w:val="15"/>
                <w:szCs w:val="15"/>
              </w:rPr>
              <w:t xml:space="preserve">The lanreotide arm carried more lesions per patient at baseline (p = 0.038), which the authors read as strengthening the result but which equally means more opportunities to register a per-lesion response and more lesions to shrink</w:t>
            </w:r>
          </w:p>
          <w:p>
            <w:pPr>
              <w:pStyle w:val="ListParagraph"/>
              <w:numPr>
                <w:ilvl w:val="0"/>
                <w:numId w:val="2"/>
              </w:numPr>
              <w:spacing w:after="45"/>
            </w:pPr>
            <w:r>
              <w:rPr>
                <w:sz w:val="15"/>
                <w:szCs w:val="15"/>
              </w:rPr>
              <w:t xml:space="preserve">Patient-level progression-free survival is mixed with lesion-level response counting (22 of 62 lesions versus 0 of 29) with no clustering adjustment for multiple lesions within a patient</w:t>
            </w:r>
          </w:p>
          <w:p>
            <w:pPr>
              <w:pStyle w:val="ListParagraph"/>
              <w:numPr>
                <w:ilvl w:val="0"/>
                <w:numId w:val="2"/>
              </w:numPr>
              <w:spacing w:after="45"/>
            </w:pPr>
            <w:r>
              <w:rPr>
                <w:sz w:val="15"/>
                <w:szCs w:val="15"/>
              </w:rPr>
              <w:t xml:space="preserve">Imaging was six-monthly in both arms but response assessment was unblinded, with no central read and no independent review described, in a study whose endpoint is a radiologist's judgement of a 20% change in a 7 mm lesion</w:t>
            </w:r>
          </w:p>
          <w:p>
            <w:pPr>
              <w:pStyle w:val="ListParagraph"/>
              <w:numPr>
                <w:ilvl w:val="0"/>
                <w:numId w:val="2"/>
              </w:numPr>
              <w:spacing w:after="45"/>
            </w:pPr>
            <w:r>
              <w:rPr>
                <w:sz w:val="15"/>
                <w:szCs w:val="15"/>
              </w:rPr>
              <w:t xml:space="preserve">Forty-two patients, 23 versus 19, with 17 progression events in total - and a p value below 0.001 from a log-rank test on that sample, with no multiplicity correction across the several secondary endpoints reported as significant</w:t>
            </w:r>
          </w:p>
          <w:p>
            <w:pPr>
              <w:pStyle w:val="ListParagraph"/>
              <w:numPr>
                <w:ilvl w:val="0"/>
                <w:numId w:val="2"/>
              </w:numPr>
              <w:spacing w:after="45"/>
            </w:pPr>
            <w:r>
              <w:rPr>
                <w:sz w:val="15"/>
                <w:szCs w:val="15"/>
              </w:rPr>
              <w:t xml:space="preserve">The two patients who developed functioning syndromes under surveillance, including a 20-year-old with insulinoma, would not have been prevented by lanreotide at the doses used and that inference is made anyway</w:t>
            </w:r>
          </w:p>
          <w:p>
            <w:pPr>
              <w:pStyle w:val="ListParagraph"/>
              <w:numPr>
                <w:ilvl w:val="0"/>
                <w:numId w:val="2"/>
              </w:numPr>
              <w:spacing w:after="45"/>
            </w:pPr>
            <w:r>
              <w:rPr>
                <w:sz w:val="15"/>
                <w:szCs w:val="15"/>
              </w:rPr>
              <w:t xml:space="preserve">The conclusion that somatostatin analogues 'delay or avoid pancreatic surgery' rests on 2 operations versus 5, a difference of three patients</w:t>
            </w:r>
          </w:p>
          <w:p>
            <w:pPr>
              <w:pStyle w:val="ListParagraph"/>
              <w:numPr>
                <w:ilvl w:val="0"/>
                <w:numId w:val="2"/>
              </w:numPr>
              <w:spacing w:after="45"/>
            </w:pPr>
            <w:r>
              <w:rPr>
                <w:sz w:val="15"/>
                <w:szCs w:val="15"/>
              </w:rPr>
              <w:t xml:space="preserve">MEN1 pancreata are field-defective, so suppressing visible lesions for six years may postpone rather than prevent the events that matter, and the study cannot distinguish the two</w:t>
            </w:r>
          </w:p>
        </w:tc>
      </w:tr>
    </w:tbl>
    <w:p>
      <w:pPr>
        <w:spacing w:after="0" w:line="276"/>
      </w:pPr>
      <w:r>
        <w:rPr>
          <w:color w:val="5A6069"/>
          <w:sz w:val="14"/>
          <w:szCs w:val="14"/>
        </w:rPr>
        <w:t xml:space="preserve">Funding: Partially supported by a grant from the Italian Ministry of Education, Research and University (PRIN 2017Z3N3YC_006); the authors declare no conflict of interest and nothing to disclose.</w:t>
      </w:r>
    </w:p>
    <w:p>
      <w:pPr>
        <w:keepNext/>
        <w:spacing w:after="50" w:before="260"/>
      </w:pPr>
      <w:r>
        <w:rPr>
          <w:rFonts w:ascii="Cambria" w:cs="Cambria" w:eastAsia="Cambria" w:hAnsi="Cambria"/>
          <w:b/>
          <w:bCs/>
          <w:color w:val="17365D"/>
          <w:sz w:val="20"/>
          <w:szCs w:val="20"/>
        </w:rPr>
        <w:t xml:space="preserve">Genc recurrence score</w:t>
      </w:r>
      <w:r>
        <w:rPr>
          <w:b/>
          <w:bCs/>
          <w:color w:val="176A87"/>
          <w:sz w:val="15"/>
          <w:szCs w:val="15"/>
        </w:rPr>
        <w:t xml:space="preserve">   Retrospective cohort</w:t>
      </w:r>
      <w:r>
        <w:rPr>
          <w:color w:val="5A6069"/>
          <w:sz w:val="15"/>
          <w:szCs w:val="15"/>
        </w:rPr>
        <w:t xml:space="preserve">   PMID 28594340</w:t>
      </w:r>
    </w:p>
    <w:p>
      <w:pPr>
        <w:spacing w:after="50" w:line="276"/>
      </w:pPr>
      <w:r>
        <w:rPr>
          <w:color w:val="5A6069"/>
          <w:sz w:val="17"/>
          <w:szCs w:val="17"/>
        </w:rPr>
        <w:t xml:space="preserve">A new scoring system to predict recurrent disease in grade 1 and 2 nonfunctional pancreatic neuroendocrine tumors.</w:t>
      </w:r>
    </w:p>
    <w:p>
      <w:pPr>
        <w:spacing w:after="50"/>
      </w:pPr>
      <w:r>
        <w:rPr>
          <w:b/>
          <w:bCs/>
          <w:color w:val="176A87"/>
          <w:sz w:val="16"/>
          <w:szCs w:val="16"/>
        </w:rPr>
        <w:t xml:space="preserve">Population. </w:t>
      </w:r>
      <w:r>
        <w:rPr>
          <w:sz w:val="16"/>
          <w:szCs w:val="16"/>
        </w:rPr>
        <w:t xml:space="preserve">211 patients with curatively resected grade 1-2 NF-pNET, including a subgroup of 84 with tumours under 2 cm</w:t>
      </w:r>
    </w:p>
    <w:p>
      <w:pPr>
        <w:spacing w:after="70"/>
      </w:pPr>
      <w:r>
        <w:rPr>
          <w:b/>
          <w:bCs/>
          <w:color w:val="17365D"/>
          <w:sz w:val="16"/>
          <w:szCs w:val="16"/>
        </w:rPr>
        <w:t xml:space="preserve">Bottom line. </w:t>
      </w:r>
      <w:r>
        <w:rPr>
          <w:sz w:val="16"/>
          <w:szCs w:val="16"/>
        </w:rPr>
        <w:t xml:space="preserve">Grade 2 histology, positive nodes and perineural invasion identify patients who recur after curative resection of grade 1-2 nonfunctional pancreatic NET, and 105 of 107 with none of the three stayed disease-free - but the score is postoperative, internally validated only, no better than grade alone at p = 0.059, and the sub-2 cm subgroup rests on four events.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long inclusion period meant the follow-up programme was not standardised at the start - patients with raised chromogranin A were imaged more often and those with grade 1 node-negative tumours less strictly - which may bias the time at which recurrence was detected</w:t>
            </w:r>
          </w:p>
          <w:p>
            <w:pPr>
              <w:pStyle w:val="ListParagraph"/>
              <w:numPr>
                <w:ilvl w:val="0"/>
                <w:numId w:val="2"/>
              </w:numPr>
              <w:spacing w:after="45"/>
            </w:pPr>
            <w:r>
              <w:rPr>
                <w:sz w:val="15"/>
                <w:szCs w:val="15"/>
              </w:rPr>
              <w:t xml:space="preserve">The cohort is smaller than standard recommendations for Cox regression require; an unrealistically large cohort would be needed to meet those standards for this rare disease</w:t>
            </w:r>
          </w:p>
          <w:p>
            <w:pPr>
              <w:pStyle w:val="ListParagraph"/>
              <w:numPr>
                <w:ilvl w:val="0"/>
                <w:numId w:val="2"/>
              </w:numPr>
              <w:spacing w:after="45"/>
            </w:pPr>
            <w:r>
              <w:rPr>
                <w:sz w:val="15"/>
                <w:szCs w:val="15"/>
              </w:rPr>
              <w:t xml:space="preserve">Definitions of recurrence vary in the literature, some studies counting only distant metastases, and it is not yet known whether recurrence occurs more often locally or distantly, so whether the predominance of remnant recurrence here reflects selection bias is unclear</w:t>
            </w:r>
          </w:p>
          <w:p>
            <w:pPr>
              <w:pStyle w:val="ListParagraph"/>
              <w:numPr>
                <w:ilvl w:val="0"/>
                <w:numId w:val="2"/>
              </w:numPr>
              <w:spacing w:after="45"/>
            </w:pPr>
            <w:r>
              <w:rPr>
                <w:sz w:val="15"/>
                <w:szCs w:val="15"/>
              </w:rPr>
              <w:t xml:space="preserve">External validation was still ongoing at publication because of limited availability of adequate cohorts, and the authors chose to publish before it was complete</w:t>
            </w:r>
          </w:p>
          <w:p>
            <w:pPr>
              <w:pStyle w:val="ListParagraph"/>
              <w:numPr>
                <w:ilvl w:val="0"/>
                <w:numId w:val="2"/>
              </w:numPr>
              <w:spacing w:after="45"/>
            </w:pPr>
            <w:r>
              <w:rPr>
                <w:sz w:val="15"/>
                <w:szCs w:val="15"/>
              </w:rPr>
              <w:t xml:space="preserve">The role of resection margins remains unclear and surgeons must balance complication risk against the prognostic value of a more extensive resection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score is internally validated only, and the authors publish while conceding they could not find a validation cohort; the comparison that would justify its use - score versus WHO grade alone - returns p = 0.059, so by the paper's own test the score has not been shown to add to grading</w:t>
            </w:r>
          </w:p>
          <w:p>
            <w:pPr>
              <w:pStyle w:val="ListParagraph"/>
              <w:numPr>
                <w:ilvl w:val="0"/>
                <w:numId w:val="2"/>
              </w:numPr>
              <w:spacing w:after="45"/>
            </w:pPr>
            <w:r>
              <w:rPr>
                <w:sz w:val="15"/>
                <w:szCs w:val="15"/>
              </w:rPr>
              <w:t xml:space="preserve">The under-2 cm subgroup, which is what any size threshold needs, contains 4 recurrence events, and its univariable hazard ratios span two orders of magnitude (perineural invasion 3.19-295.74) yet are reported as predictors; no multivariable model was possible and none should be inferred</w:t>
            </w:r>
          </w:p>
          <w:p>
            <w:pPr>
              <w:pStyle w:val="ListParagraph"/>
              <w:numPr>
                <w:ilvl w:val="0"/>
                <w:numId w:val="2"/>
              </w:numPr>
              <w:spacing w:after="45"/>
            </w:pPr>
            <w:r>
              <w:rPr>
                <w:sz w:val="15"/>
                <w:szCs w:val="15"/>
              </w:rPr>
              <w:t xml:space="preserve">All three score components - grade on final pathology, nodal status and perineural invasion - are postoperative findings, so the instrument cannot inform the decision whether to operate, only how often to scan afterwards; it is nonetheless cited in guidelines addressing the operative decision</w:t>
            </w:r>
          </w:p>
          <w:p>
            <w:pPr>
              <w:pStyle w:val="ListParagraph"/>
              <w:numPr>
                <w:ilvl w:val="0"/>
                <w:numId w:val="2"/>
              </w:numPr>
              <w:spacing w:after="45"/>
            </w:pPr>
            <w:r>
              <w:rPr>
                <w:sz w:val="15"/>
                <w:szCs w:val="15"/>
              </w:rPr>
              <w:t xml:space="preserve">The cut-off of 24 was selected by ROC analysis in the same data by both Youden index and log-rank, so its 91% sensitivity is optimistic by construction and the 62% specificity is not clinically discriminating</w:t>
            </w:r>
          </w:p>
          <w:p>
            <w:pPr>
              <w:pStyle w:val="ListParagraph"/>
              <w:numPr>
                <w:ilvl w:val="0"/>
                <w:numId w:val="2"/>
              </w:numPr>
              <w:spacing w:after="45"/>
            </w:pPr>
            <w:r>
              <w:rPr>
                <w:sz w:val="15"/>
                <w:szCs w:val="15"/>
              </w:rPr>
              <w:t xml:space="preserve">Imaging intensity during follow-up was explicitly keyed to chromogranin A and to grade and nodal status, which means the score's predictors also predicted the probability of detecting a recurrence - a surveillance bias the authors note but do not adjust for</w:t>
            </w:r>
          </w:p>
          <w:p>
            <w:pPr>
              <w:pStyle w:val="ListParagraph"/>
              <w:numPr>
                <w:ilvl w:val="0"/>
                <w:numId w:val="2"/>
              </w:numPr>
              <w:spacing w:after="45"/>
            </w:pPr>
            <w:r>
              <w:rPr>
                <w:sz w:val="15"/>
                <w:szCs w:val="15"/>
              </w:rPr>
              <w:t xml:space="preserve">Excluding MEN-1, VHL, grade 3 and all metastatic disease produces a cleaner cohort than clinical practice presents, so the 17% recurrence rate and the 2-of-107 figure for triple-negative patients apply only to that filtered population</w:t>
            </w:r>
          </w:p>
          <w:p>
            <w:pPr>
              <w:pStyle w:val="ListParagraph"/>
              <w:numPr>
                <w:ilvl w:val="0"/>
                <w:numId w:val="2"/>
              </w:numPr>
              <w:spacing w:after="45"/>
            </w:pPr>
            <w:r>
              <w:rPr>
                <w:sz w:val="15"/>
                <w:szCs w:val="15"/>
              </w:rPr>
              <w:t xml:space="preserve">Median follow-up of 51 months against a median time to recurrence of 43 months means roughly half the cohort had not been observed past the peak hazard, and the 10-year survival figures rest on thin risk sets</w:t>
            </w:r>
          </w:p>
          <w:p>
            <w:pPr>
              <w:pStyle w:val="ListParagraph"/>
              <w:numPr>
                <w:ilvl w:val="0"/>
                <w:numId w:val="2"/>
              </w:numPr>
              <w:spacing w:after="45"/>
            </w:pPr>
            <w:r>
              <w:rPr>
                <w:sz w:val="15"/>
                <w:szCs w:val="15"/>
              </w:rPr>
              <w:t xml:space="preserve">Funding came from Ipsen, a manufacturer of somatostatin analogues, and the paper's stated purpose is to identify high-risk patients for future adjuvant therapy trials - a conflict that is disclosed but not discussed</w:t>
            </w:r>
          </w:p>
        </w:tc>
      </w:tr>
    </w:tbl>
    <w:p>
      <w:pPr>
        <w:spacing w:after="0" w:line="276"/>
      </w:pPr>
      <w:r>
        <w:rPr>
          <w:color w:val="5A6069"/>
          <w:sz w:val="14"/>
          <w:szCs w:val="14"/>
        </w:rPr>
        <w:t xml:space="preserve">Funding: Funding for C.G. Genc was provided by Ipsen; the authors report no conflict of interest and no disclaimers.</w:t>
      </w:r>
    </w:p>
    <w:p>
      <w:pPr>
        <w:keepNext/>
        <w:spacing w:after="50" w:before="260"/>
      </w:pPr>
      <w:r>
        <w:rPr>
          <w:rFonts w:ascii="Cambria" w:cs="Cambria" w:eastAsia="Cambria" w:hAnsi="Cambria"/>
          <w:b/>
          <w:bCs/>
          <w:color w:val="17365D"/>
          <w:sz w:val="20"/>
          <w:szCs w:val="20"/>
        </w:rPr>
        <w:t xml:space="preserve">Gratian 2014</w:t>
      </w:r>
      <w:r>
        <w:rPr>
          <w:b/>
          <w:bCs/>
          <w:color w:val="176A87"/>
          <w:sz w:val="15"/>
          <w:szCs w:val="15"/>
        </w:rPr>
        <w:t xml:space="preserve">   Registry study</w:t>
      </w:r>
      <w:r>
        <w:rPr>
          <w:color w:val="5A6069"/>
          <w:sz w:val="15"/>
          <w:szCs w:val="15"/>
        </w:rPr>
        <w:t xml:space="preserve">   PMID 24841347</w:t>
      </w:r>
    </w:p>
    <w:p>
      <w:pPr>
        <w:spacing w:after="50" w:line="276"/>
      </w:pPr>
      <w:r>
        <w:rPr>
          <w:color w:val="5A6069"/>
          <w:sz w:val="17"/>
          <w:szCs w:val="17"/>
        </w:rPr>
        <w:t xml:space="preserve">Impact of extent of surgery on survival in patients with small nonfunctional pancreatic neuroendocrine tumors in the United States.</w:t>
      </w:r>
    </w:p>
    <w:p>
      <w:pPr>
        <w:spacing w:after="50"/>
      </w:pPr>
      <w:r>
        <w:rPr>
          <w:b/>
          <w:bCs/>
          <w:color w:val="176A87"/>
          <w:sz w:val="16"/>
          <w:szCs w:val="16"/>
        </w:rPr>
        <w:t xml:space="preserve">Population. </w:t>
      </w:r>
      <w:r>
        <w:rPr>
          <w:sz w:val="16"/>
          <w:szCs w:val="16"/>
        </w:rPr>
        <w:t xml:space="preserve">1854 patients with nonfunctional PNET 2 cm or less; 1367 with known extent of resection; 366 in the survival analysis</w:t>
      </w:r>
    </w:p>
    <w:p>
      <w:pPr>
        <w:spacing w:after="70"/>
      </w:pPr>
      <w:r>
        <w:rPr>
          <w:b/>
          <w:bCs/>
          <w:color w:val="17365D"/>
          <w:sz w:val="16"/>
          <w:szCs w:val="16"/>
        </w:rPr>
        <w:t xml:space="preserve">Bottom line. </w:t>
      </w:r>
      <w:r>
        <w:rPr>
          <w:sz w:val="16"/>
          <w:szCs w:val="16"/>
        </w:rPr>
        <w:t xml:space="preserve">In a registry restricted to tumours coded as malignant, nonfunctional PNET of 2 cm or less carried a 29% nodal and 10% distant metastasis rate with no fall at the smallest sizes, and extent of resection and lymphadenectomy made no difference to survival - but the apparent survival benefit of any surgery over none is selection, and the metastasis rates cannot be transferred to incidentally found lesions.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NCDB collects data only on tumours with ICD-O-3 codes corresponding to malignant disease, so these data may overestimate the malignant potential of small PNET</w:t>
            </w:r>
          </w:p>
          <w:p>
            <w:pPr>
              <w:pStyle w:val="ListParagraph"/>
              <w:numPr>
                <w:ilvl w:val="0"/>
                <w:numId w:val="2"/>
              </w:numPr>
              <w:spacing w:after="45"/>
            </w:pPr>
            <w:r>
              <w:rPr>
                <w:sz w:val="15"/>
                <w:szCs w:val="15"/>
              </w:rPr>
              <w:t xml:space="preserve">There is no explicit way to determine tumour functionality, so some functional tumours may inadvertently have been included</w:t>
            </w:r>
          </w:p>
          <w:p>
            <w:pPr>
              <w:pStyle w:val="ListParagraph"/>
              <w:numPr>
                <w:ilvl w:val="0"/>
                <w:numId w:val="2"/>
              </w:numPr>
              <w:spacing w:after="45"/>
            </w:pPr>
            <w:r>
              <w:rPr>
                <w:sz w:val="15"/>
                <w:szCs w:val="15"/>
              </w:rPr>
              <w:t xml:space="preserve">Multifocality is not reported in the database, so patients who had total pancreatectomy - suspected to have multifocal disease - had to be analysed as a separate surgical group</w:t>
            </w:r>
          </w:p>
          <w:p>
            <w:pPr>
              <w:pStyle w:val="ListParagraph"/>
              <w:numPr>
                <w:ilvl w:val="0"/>
                <w:numId w:val="2"/>
              </w:numPr>
              <w:spacing w:after="45"/>
            </w:pPr>
            <w:r>
              <w:rPr>
                <w:sz w:val="15"/>
                <w:szCs w:val="15"/>
              </w:rPr>
              <w:t xml:space="preserve">The reduced survival of the no-surgery group should be interpreted with caution because those patients may not have been offered surgery for unreported reasons that increased their mortality; the authors attempted to control for this by exclusions but call for prospective studies</w:t>
            </w:r>
          </w:p>
          <w:p>
            <w:pPr>
              <w:pStyle w:val="ListParagraph"/>
              <w:numPr>
                <w:ilvl w:val="0"/>
                <w:numId w:val="2"/>
              </w:numPr>
              <w:spacing w:after="45"/>
            </w:pPr>
            <w:r>
              <w:rPr>
                <w:sz w:val="15"/>
                <w:szCs w:val="15"/>
              </w:rPr>
              <w:t xml:space="preserve">Coding errors, missing data and the absence of key variables - mitotic rate, Ki-67, disease-specific survival and recurrence - all limit the analysis</w:t>
            </w:r>
          </w:p>
          <w:p>
            <w:pPr>
              <w:pStyle w:val="ListParagraph"/>
              <w:numPr>
                <w:ilvl w:val="0"/>
                <w:numId w:val="2"/>
              </w:numPr>
              <w:spacing w:after="45"/>
            </w:pPr>
            <w:r>
              <w:rPr>
                <w:sz w:val="15"/>
                <w:szCs w:val="15"/>
              </w:rPr>
              <w:t xml:space="preserve">Lymphadenectomy results may reflect inadequate nodal sampling, with a median of only 8 nodes examined and 27% of resected patients having none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a National Cancer Data Base analysis, not SEER, and the registry by design captures only tumours assigned a malignant behaviour code - which removes the indolent small lesions a surveillance policy is about, so 29% nodal and 10% distant metastasis are a ceiling for a selected malignant subset rather than estimates for incidental sub-2 cm tumours</w:t>
            </w:r>
          </w:p>
          <w:p>
            <w:pPr>
              <w:pStyle w:val="ListParagraph"/>
              <w:numPr>
                <w:ilvl w:val="0"/>
                <w:numId w:val="2"/>
              </w:numPr>
              <w:spacing w:after="45"/>
            </w:pPr>
            <w:r>
              <w:rPr>
                <w:sz w:val="15"/>
                <w:szCs w:val="15"/>
              </w:rPr>
              <w:t xml:space="preserve">The arresting claim that 33% of tumours 5 mm or smaller have nodal metastases rests on a band of 94 patients in a variable that is missing in 45% of the cohort, with no confidence interval given; a handful of events in a selectively recorded field cannot adjudicate a size threshold</w:t>
            </w:r>
          </w:p>
          <w:p>
            <w:pPr>
              <w:pStyle w:val="ListParagraph"/>
              <w:numPr>
                <w:ilvl w:val="0"/>
                <w:numId w:val="2"/>
              </w:numPr>
              <w:spacing w:after="45"/>
            </w:pPr>
            <w:r>
              <w:rPr>
                <w:sz w:val="15"/>
                <w:szCs w:val="15"/>
              </w:rPr>
              <w:t xml:space="preserve">The survival analysis collapses 1854 patients to 366 by requiring diagnosis before 2006 and known surgery type, and then compares a no-surgery group that is older, far more often poorly differentiated and less often treated at academic centres against resected patients; the 27.6% versus 83.0% contrast is selection, which the authors concede in the discussion but still place in the abstract and conclusions</w:t>
            </w:r>
          </w:p>
          <w:p>
            <w:pPr>
              <w:pStyle w:val="ListParagraph"/>
              <w:numPr>
                <w:ilvl w:val="0"/>
                <w:numId w:val="2"/>
              </w:numPr>
              <w:spacing w:after="45"/>
            </w:pPr>
            <w:r>
              <w:rPr>
                <w:sz w:val="15"/>
                <w:szCs w:val="15"/>
              </w:rPr>
              <w:t xml:space="preserve">A 15% relative reduction in the risk of death for every later calendar year, during a window in which the authors themselves found no change in resection rates, hospital type or distant metastasis rates, is far more plausibly stage migration from incidental detection than improving care</w:t>
            </w:r>
          </w:p>
          <w:p>
            <w:pPr>
              <w:pStyle w:val="ListParagraph"/>
              <w:numPr>
                <w:ilvl w:val="0"/>
                <w:numId w:val="2"/>
              </w:numPr>
              <w:spacing w:after="45"/>
            </w:pPr>
            <w:r>
              <w:rPr>
                <w:sz w:val="15"/>
                <w:szCs w:val="15"/>
              </w:rPr>
              <w:t xml:space="preserve">The same calendar-year effect was not significant for 2004-2006 on Kaplan-Meier analysis, so the Cox finding is fragile and is explained away by appeal to greater model granularity rather than treated as the discrepant result it is</w:t>
            </w:r>
          </w:p>
          <w:p>
            <w:pPr>
              <w:pStyle w:val="ListParagraph"/>
              <w:numPr>
                <w:ilvl w:val="0"/>
                <w:numId w:val="2"/>
              </w:numPr>
              <w:spacing w:after="45"/>
            </w:pPr>
            <w:r>
              <w:rPr>
                <w:sz w:val="15"/>
                <w:szCs w:val="15"/>
              </w:rPr>
              <w:t xml:space="preserve">Nodes examined differ systematically by operation (63% vs 89%), so the finding that lymphadenectomy does not affect survival compares groups with structurally different staging completeness and is uninformative either way</w:t>
            </w:r>
          </w:p>
          <w:p>
            <w:pPr>
              <w:pStyle w:val="ListParagraph"/>
              <w:numPr>
                <w:ilvl w:val="0"/>
                <w:numId w:val="2"/>
              </w:numPr>
              <w:spacing w:after="45"/>
            </w:pPr>
            <w:r>
              <w:rPr>
                <w:sz w:val="15"/>
                <w:szCs w:val="15"/>
              </w:rPr>
              <w:t xml:space="preserve">The conclusion - that nonfunctional PNET of all sizes should be considered potentially malignant and resection considered - is drawn from a registry that cannot see the observed patients, cannot see Ki-67, and reports no disease-specific survival</w:t>
            </w:r>
          </w:p>
        </w:tc>
      </w:tr>
    </w:tbl>
    <w:p>
      <w:pPr>
        <w:keepNext/>
        <w:spacing w:after="50" w:before="260"/>
      </w:pPr>
      <w:r>
        <w:rPr>
          <w:rFonts w:ascii="Cambria" w:cs="Cambria" w:eastAsia="Cambria" w:hAnsi="Cambria"/>
          <w:b/>
          <w:bCs/>
          <w:color w:val="17365D"/>
          <w:sz w:val="20"/>
          <w:szCs w:val="20"/>
        </w:rPr>
        <w:t xml:space="preserve">Hashim 2014</w:t>
      </w:r>
      <w:r>
        <w:rPr>
          <w:b/>
          <w:bCs/>
          <w:color w:val="176A87"/>
          <w:sz w:val="15"/>
          <w:szCs w:val="15"/>
        </w:rPr>
        <w:t xml:space="preserve">   Retrospective cohort</w:t>
      </w:r>
      <w:r>
        <w:rPr>
          <w:color w:val="5A6069"/>
          <w:sz w:val="15"/>
          <w:szCs w:val="15"/>
        </w:rPr>
        <w:t xml:space="preserve">   PMID 24253141</w:t>
      </w:r>
    </w:p>
    <w:p>
      <w:pPr>
        <w:spacing w:after="50" w:line="276"/>
      </w:pPr>
      <w:r>
        <w:rPr>
          <w:color w:val="5A6069"/>
          <w:sz w:val="17"/>
          <w:szCs w:val="17"/>
        </w:rPr>
        <w:t xml:space="preserve">Regional lymphadenectomy is indicated in the surgical treatment of pancreatic neuroendocrine tumors (PNETs).</w:t>
      </w:r>
    </w:p>
    <w:p>
      <w:pPr>
        <w:spacing w:after="50"/>
      </w:pPr>
      <w:r>
        <w:rPr>
          <w:b/>
          <w:bCs/>
          <w:color w:val="176A87"/>
          <w:sz w:val="16"/>
          <w:szCs w:val="16"/>
        </w:rPr>
        <w:t xml:space="preserve">Population. </w:t>
      </w:r>
      <w:r>
        <w:rPr>
          <w:sz w:val="16"/>
          <w:szCs w:val="16"/>
        </w:rPr>
        <w:t xml:space="preserve">136 patients with locoregional PNET; 133 (98%) had nodal resection, of whom 50 (37.6%) were N1</w:t>
      </w:r>
    </w:p>
    <w:p>
      <w:pPr>
        <w:spacing w:after="70"/>
      </w:pPr>
      <w:r>
        <w:rPr>
          <w:b/>
          <w:bCs/>
          <w:color w:val="17365D"/>
          <w:sz w:val="16"/>
          <w:szCs w:val="16"/>
        </w:rPr>
        <w:t xml:space="preserve">Bottom line. </w:t>
      </w:r>
      <w:r>
        <w:rPr>
          <w:sz w:val="16"/>
          <w:szCs w:val="16"/>
        </w:rPr>
        <w:t xml:space="preserve">Among 136 resected locoregional PNET, nodal metastasis was present in 38% overall and still 12-13% in tumours of 1-1.5 cm, and nothing available before surgery reliably identified a low-risk group - but the cohort contains only operated patients from a unit committed to oncological resection, the small-tumour estimates rest on single-digit event counts, and nodal status did not reach significance for overall survival.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data collection and a single-institution experience</w:t>
            </w:r>
          </w:p>
          <w:p>
            <w:pPr>
              <w:pStyle w:val="ListParagraph"/>
              <w:numPr>
                <w:ilvl w:val="0"/>
                <w:numId w:val="2"/>
              </w:numPr>
              <w:spacing w:after="45"/>
            </w:pPr>
            <w:r>
              <w:rPr>
                <w:sz w:val="15"/>
                <w:szCs w:val="15"/>
              </w:rPr>
              <w:t xml:space="preserve">Patients selected for observation of their tumours were not included, because the cohort was drawn from a surgical database</w:t>
            </w:r>
          </w:p>
          <w:p>
            <w:pPr>
              <w:pStyle w:val="ListParagraph"/>
              <w:numPr>
                <w:ilvl w:val="0"/>
                <w:numId w:val="2"/>
              </w:numPr>
              <w:spacing w:after="45"/>
            </w:pPr>
            <w:r>
              <w:rPr>
                <w:sz w:val="15"/>
                <w:szCs w:val="15"/>
              </w:rPr>
              <w:t xml:space="preserve">Reported complication rates were lower than the unit's own previously published rates and lower than the literature, and because they were collected retrospectively over two decades they are likely an incomplete picture of the morbidity of oncological resection</w:t>
            </w:r>
          </w:p>
          <w:p>
            <w:pPr>
              <w:pStyle w:val="ListParagraph"/>
              <w:numPr>
                <w:ilvl w:val="0"/>
                <w:numId w:val="2"/>
              </w:numPr>
              <w:spacing w:after="45"/>
            </w:pPr>
            <w:r>
              <w:rPr>
                <w:sz w:val="15"/>
                <w:szCs w:val="15"/>
              </w:rPr>
              <w:t xml:space="preserve">Ki-67 can be obtained on biopsy but biopsy is not always reliable because these tumours are heterogeneous, and the procedure carries its own risks; the two node-positive patients with tumours 1 cm or smaller both had Ki-67 under 20%</w:t>
            </w:r>
          </w:p>
          <w:p>
            <w:pPr>
              <w:pStyle w:val="ListParagraph"/>
              <w:numPr>
                <w:ilvl w:val="0"/>
                <w:numId w:val="2"/>
              </w:numPr>
              <w:spacing w:after="45"/>
            </w:pPr>
            <w:r>
              <w:rPr>
                <w:sz w:val="15"/>
                <w:szCs w:val="15"/>
              </w:rPr>
              <w:t xml:space="preserve">Given the indolent nature of many PNET, it will take several decades to determine whether limited local treatments compromise long-term outcomes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central claim - that no preoperative variable defines a group with nodal risk below about 12-20% - is generated from a resected cohort in a unit that states its own bias toward oncological resection, so the small, favourable, observed lesions that would populate the low-risk tail are structurally absent from the dataset; the authors acknowledge the omission but draw a management conclusion from it anyway</w:t>
            </w:r>
          </w:p>
          <w:p>
            <w:pPr>
              <w:pStyle w:val="ListParagraph"/>
              <w:numPr>
                <w:ilvl w:val="0"/>
                <w:numId w:val="2"/>
              </w:numPr>
              <w:spacing w:after="45"/>
            </w:pPr>
            <w:r>
              <w:rPr>
                <w:sz w:val="15"/>
                <w:szCs w:val="15"/>
              </w:rPr>
              <w:t xml:space="preserve">The headline 12% nodal rate in tumours 1 cm or smaller is 2 of 17 patients, a confidence interval running from roughly 2% to 36%, which cannot support or refute any size threshold</w:t>
            </w:r>
          </w:p>
          <w:p>
            <w:pPr>
              <w:pStyle w:val="ListParagraph"/>
              <w:numPr>
                <w:ilvl w:val="0"/>
                <w:numId w:val="2"/>
              </w:numPr>
              <w:spacing w:after="45"/>
            </w:pPr>
            <w:r>
              <w:rPr>
                <w:sz w:val="15"/>
                <w:szCs w:val="15"/>
              </w:rPr>
              <w:t xml:space="preserve">Nodes examined differed two-fold between head (median 15) and body-tail (median 8), and nodal positivity in this disease tracks with nodes examined, so the location effect is in part a detection effect even after statistical adjustment</w:t>
            </w:r>
          </w:p>
          <w:p>
            <w:pPr>
              <w:pStyle w:val="ListParagraph"/>
              <w:numPr>
                <w:ilvl w:val="0"/>
                <w:numId w:val="2"/>
              </w:numPr>
              <w:spacing w:after="45"/>
            </w:pPr>
            <w:r>
              <w:rPr>
                <w:sz w:val="15"/>
                <w:szCs w:val="15"/>
              </w:rPr>
              <w:t xml:space="preserve">Nodal status predicted disease-free but not overall survival (log-rank 0.1); the authors argue the OS result will become significant with longer follow-up rather than reporting the result they obtained, and then use the DFS finding to justify routine lymphadenectomy</w:t>
            </w:r>
          </w:p>
          <w:p>
            <w:pPr>
              <w:pStyle w:val="ListParagraph"/>
              <w:numPr>
                <w:ilvl w:val="0"/>
                <w:numId w:val="2"/>
              </w:numPr>
              <w:spacing w:after="45"/>
            </w:pPr>
            <w:r>
              <w:rPr>
                <w:sz w:val="15"/>
                <w:szCs w:val="15"/>
              </w:rPr>
              <w:t xml:space="preserve">Key predictors were fitted on incomplete data - lymphovascular invasion was known in 97 of 136, Ki-67 in 121, perineural invasion in 69, grade in 112 - so the odds ratios come from varying and unstated subsets</w:t>
            </w:r>
          </w:p>
          <w:p>
            <w:pPr>
              <w:pStyle w:val="ListParagraph"/>
              <w:numPr>
                <w:ilvl w:val="0"/>
                <w:numId w:val="2"/>
              </w:numPr>
              <w:spacing w:after="45"/>
            </w:pPr>
            <w:r>
              <w:rPr>
                <w:sz w:val="15"/>
                <w:szCs w:val="15"/>
              </w:rPr>
              <w:t xml:space="preserve">MEN-1 and functional tumours were retained on the basis of a non-significance test in a cohort containing only 13 and 8 such patients, which is far too small to exclude an effect</w:t>
            </w:r>
          </w:p>
          <w:p>
            <w:pPr>
              <w:pStyle w:val="ListParagraph"/>
              <w:numPr>
                <w:ilvl w:val="0"/>
                <w:numId w:val="2"/>
              </w:numPr>
              <w:spacing w:after="45"/>
            </w:pPr>
            <w:r>
              <w:rPr>
                <w:sz w:val="15"/>
                <w:szCs w:val="15"/>
              </w:rPr>
              <w:t xml:space="preserve">The complication rate (39%, 7% leak) is conceded to be implausibly low and incomplete, which matters because the whole argument weighs nodal yield against the morbidity of a larger operation</w:t>
            </w:r>
          </w:p>
          <w:p>
            <w:pPr>
              <w:pStyle w:val="ListParagraph"/>
              <w:numPr>
                <w:ilvl w:val="0"/>
                <w:numId w:val="2"/>
              </w:numPr>
              <w:spacing w:after="45"/>
            </w:pPr>
            <w:r>
              <w:rPr>
                <w:sz w:val="15"/>
                <w:szCs w:val="15"/>
              </w:rPr>
              <w:t xml:space="preserve">The recommendation that oncological resection be the standard operation for most patients cannot be derived from a dataset in which no patient was observed and no patient underwent enucleation without nodes except in 3 cases</w:t>
            </w:r>
          </w:p>
        </w:tc>
      </w:tr>
    </w:tbl>
    <w:p>
      <w:pPr>
        <w:spacing w:after="0" w:line="276"/>
      </w:pPr>
      <w:r>
        <w:rPr>
          <w:color w:val="5A6069"/>
          <w:sz w:val="14"/>
          <w:szCs w:val="14"/>
        </w:rPr>
        <w:t xml:space="preserve">Funding: Statistical support from the Biostatistics Core, Siteman Comprehensive Cancer Center, NCI Cancer Center Support grant P30 CA091842; salary support for Y. Hashim from the Washington University Surgical Oncology Training grant 5T32CA00962124. Authors declare no conflicts of interest.</w:t>
      </w:r>
    </w:p>
    <w:p>
      <w:pPr>
        <w:keepNext/>
        <w:spacing w:after="50" w:before="260"/>
      </w:pPr>
      <w:r>
        <w:rPr>
          <w:rFonts w:ascii="Cambria" w:cs="Cambria" w:eastAsia="Cambria" w:hAnsi="Cambria"/>
          <w:b/>
          <w:bCs/>
          <w:color w:val="17365D"/>
          <w:sz w:val="20"/>
          <w:szCs w:val="20"/>
        </w:rPr>
        <w:t xml:space="preserve">Hüttner 2015</w:t>
      </w:r>
      <w:r>
        <w:rPr>
          <w:b/>
          <w:bCs/>
          <w:color w:val="176A87"/>
          <w:sz w:val="15"/>
          <w:szCs w:val="15"/>
        </w:rPr>
        <w:t xml:space="preserve">   Meta-analysis</w:t>
      </w:r>
      <w:r>
        <w:rPr>
          <w:color w:val="5A6069"/>
          <w:sz w:val="15"/>
          <w:szCs w:val="15"/>
        </w:rPr>
        <w:t xml:space="preserve">   PMID 26041666</w:t>
      </w:r>
    </w:p>
    <w:p>
      <w:pPr>
        <w:spacing w:after="50" w:line="276"/>
      </w:pPr>
      <w:r>
        <w:rPr>
          <w:color w:val="5A6069"/>
          <w:sz w:val="17"/>
          <w:szCs w:val="17"/>
        </w:rPr>
        <w:t xml:space="preserve">Meta-analysis of surgical outcome after enucleation versus standard resection for pancreatic neoplasms.</w:t>
      </w:r>
    </w:p>
    <w:p>
      <w:pPr>
        <w:spacing w:after="50"/>
      </w:pPr>
      <w:r>
        <w:rPr>
          <w:b/>
          <w:bCs/>
          <w:color w:val="176A87"/>
          <w:sz w:val="16"/>
          <w:szCs w:val="16"/>
        </w:rPr>
        <w:t xml:space="preserve">Population. </w:t>
      </w:r>
      <w:r>
        <w:rPr>
          <w:sz w:val="16"/>
          <w:szCs w:val="16"/>
        </w:rPr>
        <w:t xml:space="preserve">22 observational studies with 1148 patients: 432 enucleations and 716 standard resections (388 distal pancreatectomies, 328 pancreaticoduodenectomies)</w:t>
      </w:r>
    </w:p>
    <w:p>
      <w:pPr>
        <w:spacing w:after="70"/>
      </w:pPr>
      <w:r>
        <w:rPr>
          <w:b/>
          <w:bCs/>
          <w:color w:val="17365D"/>
          <w:sz w:val="16"/>
          <w:szCs w:val="16"/>
        </w:rPr>
        <w:t xml:space="preserve">Bottom line. </w:t>
      </w:r>
      <w:r>
        <w:rPr>
          <w:sz w:val="16"/>
          <w:szCs w:val="16"/>
        </w:rPr>
        <w:t xml:space="preserve">Pooling 22 non-randomised studies, enucleation gave less blood loss, shorter operations and far less endocrine and exocrine insufficiency than formal pancreatectomy at the cost of roughly twice the pancreatic fistula rate - an excess that disappeared in four high-volume studies - but the operations were chosen for different lesions, the indications are mixed, and no oncological outcome could be compared.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review is compromised by the moderate methodological quality of most primary studies</w:t>
            </w:r>
          </w:p>
          <w:p>
            <w:pPr>
              <w:pStyle w:val="ListParagraph"/>
              <w:numPr>
                <w:ilvl w:val="0"/>
                <w:numId w:val="2"/>
              </w:numPr>
              <w:spacing w:after="45"/>
            </w:pPr>
            <w:r>
              <w:rPr>
                <w:sz w:val="15"/>
                <w:szCs w:val="15"/>
              </w:rPr>
              <w:t xml:space="preserve">Most studies did not define delayed gastric emptying and only one applied the ISGPS definition, so differing endpoint definitions may have compromised the results</w:t>
            </w:r>
          </w:p>
          <w:p>
            <w:pPr>
              <w:pStyle w:val="ListParagraph"/>
              <w:numPr>
                <w:ilvl w:val="0"/>
                <w:numId w:val="2"/>
              </w:numPr>
              <w:spacing w:after="45"/>
            </w:pPr>
            <w:r>
              <w:rPr>
                <w:sz w:val="15"/>
                <w:szCs w:val="15"/>
              </w:rPr>
              <w:t xml:space="preserve">Selection bias cannot be ruled out given the absence of randomisation and the scarcity of baseline data in some studies; for most studies it is unclear whether the standard-resection patients would also have been suitable for enucleation</w:t>
            </w:r>
          </w:p>
          <w:p>
            <w:pPr>
              <w:pStyle w:val="ListParagraph"/>
              <w:numPr>
                <w:ilvl w:val="0"/>
                <w:numId w:val="2"/>
              </w:numPr>
              <w:spacing w:after="45"/>
            </w:pPr>
            <w:r>
              <w:rPr>
                <w:sz w:val="15"/>
                <w:szCs w:val="15"/>
              </w:rPr>
              <w:t xml:space="preserve">Long-term disease-specific outcomes such as disease-free survival could not be compared because most primary studies focused on short-term surgical outcomes</w:t>
            </w:r>
          </w:p>
          <w:p>
            <w:pPr>
              <w:pStyle w:val="ListParagraph"/>
              <w:numPr>
                <w:ilvl w:val="0"/>
                <w:numId w:val="2"/>
              </w:numPr>
              <w:spacing w:after="45"/>
            </w:pPr>
            <w:r>
              <w:rPr>
                <w:sz w:val="15"/>
                <w:szCs w:val="15"/>
              </w:rPr>
              <w:t xml:space="preserve">A planned subgroup analysis of enucleation in the body/tail versus distal pancreatectomy and enucleation in the head/uncinate versus pancreaticoduodenectomy could not be performed because the primary data did not separate fistula rates by location</w:t>
            </w:r>
          </w:p>
          <w:p>
            <w:pPr>
              <w:pStyle w:val="ListParagraph"/>
              <w:numPr>
                <w:ilvl w:val="0"/>
                <w:numId w:val="2"/>
              </w:numPr>
              <w:spacing w:after="45"/>
            </w:pPr>
            <w:r>
              <w:rPr>
                <w:sz w:val="15"/>
                <w:szCs w:val="15"/>
              </w:rPr>
              <w:t xml:space="preserve">All data come from non-randomised studies, so results must be interpreted with caution; a randomised trial of disease-specific outcome would be relevant but difficult because suitable lesions are rare, multicentre recruitment would be needed, learning-curve bias would intrude, and patient and surgeon preferences would impair recruitment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analysis most likely to change practice - that enucleation carries no excess fistula risk in high-volume centres - rests on 4 of 22 studies with I2 = 49%, and the volume threshold was defined by the authors themselves and inserted as a modified item into the Downs and Black checklist, so the least robust and least pre-specified result is the one carried into the conclusion</w:t>
            </w:r>
          </w:p>
          <w:p>
            <w:pPr>
              <w:pStyle w:val="ListParagraph"/>
              <w:numPr>
                <w:ilvl w:val="0"/>
                <w:numId w:val="2"/>
              </w:numPr>
              <w:spacing w:after="45"/>
            </w:pPr>
            <w:r>
              <w:rPr>
                <w:sz w:val="15"/>
                <w:szCs w:val="15"/>
              </w:rPr>
              <w:t xml:space="preserve">The primary comparison is between operations chosen for anatomically different lesions, and the review explicitly concedes it cannot tell whether the resected patients were ever enucleation candidates - which makes every difference in blood loss, operating time and pancreatic insufficiency partly an artefact of lesion size and location rather than of the operation</w:t>
            </w:r>
          </w:p>
          <w:p>
            <w:pPr>
              <w:pStyle w:val="ListParagraph"/>
              <w:numPr>
                <w:ilvl w:val="0"/>
                <w:numId w:val="2"/>
              </w:numPr>
              <w:spacing w:after="45"/>
            </w:pPr>
            <w:r>
              <w:rPr>
                <w:sz w:val="15"/>
                <w:szCs w:val="15"/>
              </w:rPr>
              <w:t xml:space="preserve">Means and standard deviations were back-calculated from medians and ranges by the Hozo method for an unstated number of studies, which manufactures precision in exactly the continuous outcomes where heterogeneity is already 50-87%</w:t>
            </w:r>
          </w:p>
          <w:p>
            <w:pPr>
              <w:pStyle w:val="ListParagraph"/>
              <w:numPr>
                <w:ilvl w:val="0"/>
                <w:numId w:val="2"/>
              </w:numPr>
              <w:spacing w:after="45"/>
            </w:pPr>
            <w:r>
              <w:rPr>
                <w:sz w:val="15"/>
                <w:szCs w:val="15"/>
              </w:rPr>
              <w:t xml:space="preserve">Indications are pooled across insulinoma, non-functioning NET, serous and mucinous cystadenoma, IPMN and chronic pancreatitis, so no result here is specific to pancreatic neuroendocrine tumour, and the fistula risk of enucleating a soft NET differs from that of a cystic lesion</w:t>
            </w:r>
          </w:p>
          <w:p>
            <w:pPr>
              <w:pStyle w:val="ListParagraph"/>
              <w:numPr>
                <w:ilvl w:val="0"/>
                <w:numId w:val="2"/>
              </w:numPr>
              <w:spacing w:after="45"/>
            </w:pPr>
            <w:r>
              <w:rPr>
                <w:sz w:val="15"/>
                <w:szCs w:val="15"/>
              </w:rPr>
              <w:t xml:space="preserve">Exocrine insufficiency is reported as a pooled risk difference of -0.17 despite I2 = 86%, and rests on 5 studies in which the definition and timing of assessment are not standardised</w:t>
            </w:r>
          </w:p>
          <w:p>
            <w:pPr>
              <w:pStyle w:val="ListParagraph"/>
              <w:numPr>
                <w:ilvl w:val="0"/>
                <w:numId w:val="2"/>
              </w:numPr>
              <w:spacing w:after="45"/>
            </w:pPr>
            <w:r>
              <w:rPr>
                <w:sz w:val="15"/>
                <w:szCs w:val="15"/>
              </w:rPr>
              <w:t xml:space="preserve">The hospital stay result (-1.3 days) is acknowledged to be driven by between-country practice - 3 vs 5 days in the US study against 32 vs 34 days in the Korean study - yet it is pooled and reported as an effect of the operation</w:t>
            </w:r>
          </w:p>
          <w:p>
            <w:pPr>
              <w:pStyle w:val="ListParagraph"/>
              <w:numPr>
                <w:ilvl w:val="0"/>
                <w:numId w:val="2"/>
              </w:numPr>
              <w:spacing w:after="45"/>
            </w:pPr>
            <w:r>
              <w:rPr>
                <w:sz w:val="15"/>
                <w:szCs w:val="15"/>
              </w:rPr>
              <w:t xml:space="preserve">Only one of 22 primary studies reported information on principal confounders, which means the random-effects pooling is combining uncontrolled comparisons; the funnel-plot assessment of publication bias is uninformative with this few studies and this much clinical heterogeneity</w:t>
            </w:r>
          </w:p>
          <w:p>
            <w:pPr>
              <w:pStyle w:val="ListParagraph"/>
              <w:numPr>
                <w:ilvl w:val="0"/>
                <w:numId w:val="2"/>
              </w:numPr>
              <w:spacing w:after="45"/>
            </w:pPr>
            <w:r>
              <w:rPr>
                <w:sz w:val="15"/>
                <w:szCs w:val="15"/>
              </w:rPr>
              <w:t xml:space="preserve">The clinical question a surveillance pathway needs - whether enucleation without lymphadenectomy is oncologically adequate - is the one the review states it cannot address</w:t>
            </w:r>
          </w:p>
        </w:tc>
      </w:tr>
    </w:tbl>
    <w:p>
      <w:pPr>
        <w:spacing w:after="0" w:line="276"/>
      </w:pPr>
      <w:r>
        <w:rPr>
          <w:color w:val="5A6069"/>
          <w:sz w:val="14"/>
          <w:szCs w:val="14"/>
        </w:rPr>
        <w:t xml:space="preserve">Funding: The Study Centre of the German Surgical Society was funded by grant 01GH0702 from the German Federal Ministry of Education and Research to 31 December 2013; the Systematic Reviews Working Group received a donation from Covidien. The authors declare no conflict of interest.</w:t>
      </w:r>
    </w:p>
    <w:p>
      <w:pPr>
        <w:keepNext/>
        <w:spacing w:after="50" w:before="260"/>
      </w:pPr>
      <w:r>
        <w:rPr>
          <w:rFonts w:ascii="Cambria" w:cs="Cambria" w:eastAsia="Cambria" w:hAnsi="Cambria"/>
          <w:b/>
          <w:bCs/>
          <w:color w:val="17365D"/>
          <w:sz w:val="20"/>
          <w:szCs w:val="20"/>
        </w:rPr>
        <w:t xml:space="preserve">LITESPARK-004</w:t>
      </w:r>
      <w:r>
        <w:rPr>
          <w:b/>
          <w:bCs/>
          <w:color w:val="176A87"/>
          <w:sz w:val="15"/>
          <w:szCs w:val="15"/>
        </w:rPr>
        <w:t xml:space="preserve">   Prospective cohort</w:t>
      </w:r>
      <w:r>
        <w:rPr>
          <w:color w:val="5A6069"/>
          <w:sz w:val="15"/>
          <w:szCs w:val="15"/>
        </w:rPr>
        <w:t xml:space="preserve">   PMID 34818478</w:t>
      </w:r>
    </w:p>
    <w:p>
      <w:pPr>
        <w:spacing w:after="50" w:line="276"/>
      </w:pPr>
      <w:r>
        <w:rPr>
          <w:color w:val="5A6069"/>
          <w:sz w:val="17"/>
          <w:szCs w:val="17"/>
        </w:rPr>
        <w:t xml:space="preserve">Belzutifan for renal cell carcinoma in von Hippel-Lindau disease.</w:t>
      </w:r>
    </w:p>
    <w:p>
      <w:pPr>
        <w:spacing w:after="50"/>
      </w:pPr>
      <w:r>
        <w:rPr>
          <w:b/>
          <w:bCs/>
          <w:color w:val="176A87"/>
          <w:sz w:val="16"/>
          <w:szCs w:val="16"/>
        </w:rPr>
        <w:t xml:space="preserve">Population. </w:t>
      </w:r>
      <w:r>
        <w:rPr>
          <w:sz w:val="16"/>
          <w:szCs w:val="16"/>
        </w:rPr>
        <w:t xml:space="preserve">61 patients enrolled; all 61 had pancreatic lesions and 22 (36%) had pancreatic neuroendocrine tumours</w:t>
      </w:r>
    </w:p>
    <w:p>
      <w:pPr>
        <w:spacing w:after="70"/>
      </w:pPr>
      <w:r>
        <w:rPr>
          <w:b/>
          <w:bCs/>
          <w:color w:val="17365D"/>
          <w:sz w:val="16"/>
          <w:szCs w:val="16"/>
        </w:rPr>
        <w:t xml:space="preserve">Bottom line. </w:t>
      </w:r>
      <w:r>
        <w:rPr>
          <w:sz w:val="16"/>
          <w:szCs w:val="16"/>
        </w:rPr>
        <w:t xml:space="preserve">Belzutifan shrank VHL-associated tumours across organ systems, with a 91% response rate in the 22 patients who had pancreatic neuroendocrine tumours and no pancreatic surgery required over 22 months, but this is an uncontrolled secondary endpoint in a single-arm industry trial of 61 unusually fit patients, with universal anaemia and no data on durability or on sporadic disease.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Interpretation is limited by the lack of a comparator group and by the modest sample size</w:t>
            </w:r>
          </w:p>
          <w:p>
            <w:pPr>
              <w:pStyle w:val="ListParagraph"/>
              <w:numPr>
                <w:ilvl w:val="0"/>
                <w:numId w:val="2"/>
              </w:numPr>
              <w:spacing w:after="45"/>
            </w:pPr>
            <w:r>
              <w:rPr>
                <w:sz w:val="15"/>
                <w:szCs w:val="15"/>
              </w:rPr>
              <w:t xml:space="preserve">Because no other non-surgical treatment for VHL disease has been approved, designing a randomised controlled trial is an ethical challenge</w:t>
            </w:r>
          </w:p>
          <w:p>
            <w:pPr>
              <w:pStyle w:val="ListParagraph"/>
              <w:numPr>
                <w:ilvl w:val="0"/>
                <w:numId w:val="2"/>
              </w:numPr>
              <w:spacing w:after="45"/>
            </w:pPr>
            <w:r>
              <w:rPr>
                <w:sz w:val="15"/>
                <w:szCs w:val="15"/>
              </w:rPr>
              <w:t xml:space="preserve">The mechanism of possible resistance in the 2 patients with progressive disease is unknown, although a HIF-2-alpha gatekeeper mutation was reported in earlier preclinical and phase 1 work</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91% pancreatic neuroendocrine tumour response rate that gets quoted is 20 of 22 patients, a secondary endpoint in a single-arm trial whose primary endpoint was renal, with no pre-specified statistical plan for it, no multiplicity control across the several organ systems assessed, and no histological confirmation that each measured 'pancreatic neuroendocrine tumour' was one rather than a serous cystadenoma - the two were deliberately measured together in the larger 77% figure</w:t>
            </w:r>
          </w:p>
          <w:p>
            <w:pPr>
              <w:pStyle w:val="ListParagraph"/>
              <w:numPr>
                <w:ilvl w:val="0"/>
                <w:numId w:val="2"/>
              </w:numPr>
              <w:spacing w:after="45"/>
            </w:pPr>
            <w:r>
              <w:rPr>
                <w:sz w:val="15"/>
                <w:szCs w:val="15"/>
              </w:rPr>
              <w:t xml:space="preserve">RECIST response in indolent VHL lesions is several steps removed from the outcomes that matter - operations avoided, endocrine and exocrine function preserved, metastasis prevented, survival - and the trial reports none of them with a comparator</w:t>
            </w:r>
          </w:p>
          <w:p>
            <w:pPr>
              <w:pStyle w:val="ListParagraph"/>
              <w:numPr>
                <w:ilvl w:val="0"/>
                <w:numId w:val="2"/>
              </w:numPr>
              <w:spacing w:after="45"/>
            </w:pPr>
            <w:r>
              <w:rPr>
                <w:sz w:val="15"/>
                <w:szCs w:val="15"/>
              </w:rPr>
              <w:t xml:space="preserve">The comparison of 327 prior procedures against 3 on treatment contrasts a lifetime of accumulated disease across 61 patients with 22 months of follow-up; the authors' own figure shows 64 procedures in the preceding 2.5 years, which is the only like-for-like rate available and is not the one emphasised</w:t>
            </w:r>
          </w:p>
          <w:p>
            <w:pPr>
              <w:pStyle w:val="ListParagraph"/>
              <w:numPr>
                <w:ilvl w:val="0"/>
                <w:numId w:val="2"/>
              </w:numPr>
              <w:spacing w:after="45"/>
            </w:pPr>
            <w:r>
              <w:rPr>
                <w:sz w:val="15"/>
                <w:szCs w:val="15"/>
              </w:rPr>
              <w:t xml:space="preserve">Eligibility required no renal tumour above 3 cm, no metastases, ECOG 0-1 and gave a median age of 41, so the cohort is the fittest and least advanced end of the VHL population, and the authors note the contrast with the sicker advanced-RCC population in which hypoxia was previously seen</w:t>
            </w:r>
          </w:p>
          <w:p>
            <w:pPr>
              <w:pStyle w:val="ListParagraph"/>
              <w:numPr>
                <w:ilvl w:val="0"/>
                <w:numId w:val="2"/>
              </w:numPr>
              <w:spacing w:after="45"/>
            </w:pPr>
            <w:r>
              <w:rPr>
                <w:sz w:val="15"/>
                <w:szCs w:val="15"/>
              </w:rPr>
              <w:t xml:space="preserve">Anaemia in 90% of patients with 20% needing erythropoiesis-stimulating agents is a lifelong on-target toxicity in people who may take the drug for decades, and 22 months of exposure cannot establish durability, cumulative harm or resistance</w:t>
            </w:r>
          </w:p>
          <w:p>
            <w:pPr>
              <w:pStyle w:val="ListParagraph"/>
              <w:numPr>
                <w:ilvl w:val="0"/>
                <w:numId w:val="2"/>
              </w:numPr>
              <w:spacing w:after="45"/>
            </w:pPr>
            <w:r>
              <w:rPr>
                <w:sz w:val="15"/>
                <w:szCs w:val="15"/>
              </w:rPr>
              <w:t xml:space="preserve">The trial was sponsored and designed by Merck in collaboration with academic advisors, three authors are Merck employees, and medical writing was provided by an agency paid by the sponsor</w:t>
            </w:r>
          </w:p>
          <w:p>
            <w:pPr>
              <w:pStyle w:val="ListParagraph"/>
              <w:numPr>
                <w:ilvl w:val="0"/>
                <w:numId w:val="2"/>
              </w:numPr>
              <w:spacing w:after="45"/>
            </w:pPr>
            <w:r>
              <w:rPr>
                <w:sz w:val="15"/>
                <w:szCs w:val="15"/>
              </w:rPr>
              <w:t xml:space="preserve">Retinal haemangioblastoma assessment was explicitly qualitative, combining size, location, number, vessel engorgement, exudate and fibrosis, and the 100% improvement figure rests on 16 eyes in 12 patients</w:t>
            </w:r>
          </w:p>
          <w:p>
            <w:pPr>
              <w:pStyle w:val="ListParagraph"/>
              <w:numPr>
                <w:ilvl w:val="0"/>
                <w:numId w:val="2"/>
              </w:numPr>
              <w:spacing w:after="45"/>
            </w:pPr>
            <w:r>
              <w:rPr>
                <w:sz w:val="15"/>
                <w:szCs w:val="15"/>
              </w:rPr>
              <w:t xml:space="preserve">One patient was centrally assessed as stable while the treating physician called it progression, which is reported without resolution and indicates the softness of the response endpoint in multifocal low-growth disease</w:t>
            </w:r>
          </w:p>
          <w:p>
            <w:pPr>
              <w:pStyle w:val="ListParagraph"/>
              <w:numPr>
                <w:ilvl w:val="0"/>
                <w:numId w:val="2"/>
              </w:numPr>
              <w:spacing w:after="45"/>
            </w:pPr>
            <w:r>
              <w:rPr>
                <w:sz w:val="15"/>
                <w:szCs w:val="15"/>
              </w:rPr>
              <w:t xml:space="preserve">Nothing in this trial applies to sporadic non-functioning pancreatic neuroendocrine tumour, where the driving lesion is not VHL loss and HIF-2-alpha is not constitutively activated</w:t>
            </w:r>
          </w:p>
        </w:tc>
      </w:tr>
    </w:tbl>
    <w:p>
      <w:pPr>
        <w:spacing w:after="0" w:line="276"/>
      </w:pPr>
      <w:r>
        <w:rPr>
          <w:color w:val="5A6069"/>
          <w:sz w:val="14"/>
          <w:szCs w:val="14"/>
        </w:rPr>
        <w:t xml:space="preserve">Funding: Merck Sharp and Dohme, a subsidiary of Merck; the Intramural Research Program of the NIH National Cancer Institute Center for Cancer Research; and NCI grant UO1 CA236489. Three authors are Merck employees; medical writing by ApotheCom was paid for by the sponsor.</w:t>
      </w:r>
    </w:p>
    <w:p>
      <w:pPr>
        <w:keepNext/>
        <w:spacing w:after="50" w:before="260"/>
      </w:pPr>
      <w:r>
        <w:rPr>
          <w:rFonts w:ascii="Cambria" w:cs="Cambria" w:eastAsia="Cambria" w:hAnsi="Cambria"/>
          <w:b/>
          <w:bCs/>
          <w:color w:val="17365D"/>
          <w:sz w:val="20"/>
          <w:szCs w:val="20"/>
        </w:rPr>
        <w:t xml:space="preserve">Makris 2023</w:t>
      </w:r>
      <w:r>
        <w:rPr>
          <w:b/>
          <w:bCs/>
          <w:color w:val="176A87"/>
          <w:sz w:val="15"/>
          <w:szCs w:val="15"/>
        </w:rPr>
        <w:t xml:space="preserve">   Retrospective cohort</w:t>
      </w:r>
      <w:r>
        <w:rPr>
          <w:color w:val="5A6069"/>
          <w:sz w:val="15"/>
          <w:szCs w:val="15"/>
        </w:rPr>
        <w:t xml:space="preserve">   PMID 36434481</w:t>
      </w:r>
    </w:p>
    <w:p>
      <w:pPr>
        <w:spacing w:after="50" w:line="276"/>
      </w:pPr>
      <w:r>
        <w:rPr>
          <w:color w:val="5A6069"/>
          <w:sz w:val="17"/>
          <w:szCs w:val="17"/>
        </w:rPr>
        <w:t xml:space="preserve">Calcifications and cystic morphology on preoperative imaging predict survival after resection of pancreatic neuroendocrine tumors.</w:t>
      </w:r>
    </w:p>
    <w:p>
      <w:pPr>
        <w:spacing w:after="50"/>
      </w:pPr>
      <w:r>
        <w:rPr>
          <w:b/>
          <w:bCs/>
          <w:color w:val="176A87"/>
          <w:sz w:val="16"/>
          <w:szCs w:val="16"/>
        </w:rPr>
        <w:t xml:space="preserve">Population. </w:t>
      </w:r>
      <w:r>
        <w:rPr>
          <w:sz w:val="16"/>
          <w:szCs w:val="16"/>
        </w:rPr>
        <w:t xml:space="preserve">981 patients resected for well-differentiated PNET; cystic morphology data missing in 279 (28%) and calcification data missing in 284 (29%)</w:t>
      </w:r>
    </w:p>
    <w:p>
      <w:pPr>
        <w:spacing w:after="70"/>
      </w:pPr>
      <w:r>
        <w:rPr>
          <w:b/>
          <w:bCs/>
          <w:color w:val="17365D"/>
          <w:sz w:val="16"/>
          <w:szCs w:val="16"/>
        </w:rPr>
        <w:t xml:space="preserve">Bottom line. </w:t>
      </w:r>
      <w:r>
        <w:rPr>
          <w:sz w:val="16"/>
          <w:szCs w:val="16"/>
        </w:rPr>
        <w:t xml:space="preserve">Across 981 resected well-differentiated pancreatic NET, radiographic calcification marked adverse pathology and shorter recurrence-free survival while a predominantly cystic appearance marked the opposite, but calcification's independent hazard ratio of 11.5 spans 1.1 to 125.0, cystic morphology was not independent at all, nearly 30% of the exposure data are missing, and nobody in the cohort was observed.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Only resected PNET were included, so the study is subject to the selection bias that led patients to undergo resection, and the authors could not retrospectively ascertain which PNET were managed non-operatively</w:t>
            </w:r>
          </w:p>
          <w:p>
            <w:pPr>
              <w:pStyle w:val="ListParagraph"/>
              <w:numPr>
                <w:ilvl w:val="0"/>
                <w:numId w:val="2"/>
              </w:numPr>
              <w:spacing w:after="45"/>
            </w:pPr>
            <w:r>
              <w:rPr>
                <w:sz w:val="15"/>
                <w:szCs w:val="15"/>
              </w:rPr>
              <w:t xml:space="preserve">Some cystic PNET under 3 cm with non-mucinous cyst fluid may have been misdiagnosed as serous cystic lesions, so the true proportion of cystic PNET is probably misrepresented - though the authors argue that including them would strengthen the findings since the most favourable lesions are the ones least likely to be operated</w:t>
            </w:r>
          </w:p>
          <w:p>
            <w:pPr>
              <w:pStyle w:val="ListParagraph"/>
              <w:numPr>
                <w:ilvl w:val="0"/>
                <w:numId w:val="2"/>
              </w:numPr>
              <w:spacing w:after="45"/>
            </w:pPr>
            <w:r>
              <w:rPr>
                <w:sz w:val="15"/>
                <w:szCs w:val="15"/>
              </w:rPr>
              <w:t xml:space="preserve">Given the multicentre design, variation in radiographic imaging and interpretation, data collection, pathology assessment and treatment across institutions may exist, offset in the authors' view by greater generalisability and adequate sample size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multivariable hazard ratio for calcification is 11.5 with a confidence interval from 1.1 to 125.0 at p = 0.043 - a point estimate with essentially no precision - sitting in a model that also returns 25.2 and 33.0 for nodal and distant metastasis, the signature of an overfitted Cox model with far too few recurrence events for the covariates entered; no event count for the model is reported anywhere</w:t>
            </w:r>
          </w:p>
          <w:p>
            <w:pPr>
              <w:pStyle w:val="ListParagraph"/>
              <w:numPr>
                <w:ilvl w:val="0"/>
                <w:numId w:val="2"/>
              </w:numPr>
              <w:spacing w:after="45"/>
            </w:pPr>
            <w:r>
              <w:rPr>
                <w:sz w:val="15"/>
                <w:szCs w:val="15"/>
              </w:rPr>
              <w:t xml:space="preserve">Between 28% and 29% of the cohort has no data on the two exposures of interest and the analysis is complete-case with no imputation and no sensitivity analysis, so the effective sample is not 981 and may be differentially missing by centre and era</w:t>
            </w:r>
          </w:p>
          <w:p>
            <w:pPr>
              <w:pStyle w:val="ListParagraph"/>
              <w:numPr>
                <w:ilvl w:val="0"/>
                <w:numId w:val="2"/>
              </w:numPr>
              <w:spacing w:after="45"/>
            </w:pPr>
            <w:r>
              <w:rPr>
                <w:sz w:val="15"/>
                <w:szCs w:val="15"/>
              </w:rPr>
              <w:t xml:space="preserve">Table 1 is internally inconsistent, giving n = 167 cystic and 814 solid and 177 calcified and 804 non-calcified in one row against 120, 582, 122 and 575 in the column headers, with a garbled '305 (3)' cell - so the denominators underlying the percentages cannot be reconstructed from the paper</w:t>
            </w:r>
          </w:p>
          <w:p>
            <w:pPr>
              <w:pStyle w:val="ListParagraph"/>
              <w:numPr>
                <w:ilvl w:val="0"/>
                <w:numId w:val="2"/>
              </w:numPr>
              <w:spacing w:after="45"/>
            </w:pPr>
            <w:r>
              <w:rPr>
                <w:sz w:val="15"/>
                <w:szCs w:val="15"/>
              </w:rPr>
              <w:t xml:space="preserve">Imaging was classified from radiology report wording rather than by central re-read, across eight institutions and seventeen years of changing CT and MRI technique, which makes the exposure a measure of reporting practice as much as of tumour biology</w:t>
            </w:r>
          </w:p>
          <w:p>
            <w:pPr>
              <w:pStyle w:val="ListParagraph"/>
              <w:numPr>
                <w:ilvl w:val="0"/>
                <w:numId w:val="2"/>
              </w:numPr>
              <w:spacing w:after="45"/>
            </w:pPr>
            <w:r>
              <w:rPr>
                <w:sz w:val="15"/>
                <w:szCs w:val="15"/>
              </w:rPr>
              <w:t xml:space="preserve">The cystic-calcified cell that anchors the four-way survival comparison contains 16 patients, and that comparison carries p = 0.043 with no correction for the multiple pairwise contrasts implied</w:t>
            </w:r>
          </w:p>
          <w:p>
            <w:pPr>
              <w:pStyle w:val="ListParagraph"/>
              <w:numPr>
                <w:ilvl w:val="0"/>
                <w:numId w:val="2"/>
              </w:numPr>
              <w:spacing w:after="45"/>
            </w:pPr>
            <w:r>
              <w:rPr>
                <w:sz w:val="15"/>
                <w:szCs w:val="15"/>
              </w:rPr>
              <w:t xml:space="preserve">Median follow-up is 35 months in a disease whose recurrences arrive at a median of 4-7 years, so every 5-year recurrence-free survival figure is extrapolated from a thin risk set, and the stated last follow-up date of March 2017 is the same year the accrual window closes</w:t>
            </w:r>
          </w:p>
          <w:p>
            <w:pPr>
              <w:pStyle w:val="ListParagraph"/>
              <w:numPr>
                <w:ilvl w:val="0"/>
                <w:numId w:val="2"/>
              </w:numPr>
              <w:spacing w:after="45"/>
            </w:pPr>
            <w:r>
              <w:rPr>
                <w:sz w:val="15"/>
                <w:szCs w:val="15"/>
              </w:rPr>
              <w:t xml:space="preserve">The conclusion that these features could inform the decision to observe or resect a small asymptomatic PNET is drawn from a cohort in which no patient was observed - the authors acknowledge they cannot identify the non-operated patients and then make the recommendation anyway</w:t>
            </w:r>
          </w:p>
          <w:p>
            <w:pPr>
              <w:pStyle w:val="ListParagraph"/>
              <w:numPr>
                <w:ilvl w:val="0"/>
                <w:numId w:val="2"/>
              </w:numPr>
              <w:spacing w:after="45"/>
            </w:pPr>
            <w:r>
              <w:rPr>
                <w:sz w:val="15"/>
                <w:szCs w:val="15"/>
              </w:rPr>
              <w:t xml:space="preserve">Cystic morphology, one of the paper's two headline features, was not independently prognostic (p = 0.69), yet the abstract and conclusion present both features as usable for stratification</w:t>
            </w:r>
          </w:p>
        </w:tc>
      </w:tr>
    </w:tbl>
    <w:p>
      <w:pPr>
        <w:keepNext/>
        <w:spacing w:after="50" w:before="260"/>
      </w:pPr>
      <w:r>
        <w:rPr>
          <w:rFonts w:ascii="Cambria" w:cs="Cambria" w:eastAsia="Cambria" w:hAnsi="Cambria"/>
          <w:b/>
          <w:bCs/>
          <w:color w:val="17365D"/>
          <w:sz w:val="20"/>
          <w:szCs w:val="20"/>
        </w:rPr>
        <w:t xml:space="preserve">MEN1 2025 guideline</w:t>
      </w:r>
      <w:r>
        <w:rPr>
          <w:b/>
          <w:bCs/>
          <w:color w:val="176A87"/>
          <w:sz w:val="15"/>
          <w:szCs w:val="15"/>
        </w:rPr>
        <w:t xml:space="preserve">   Consensus statement</w:t>
      </w:r>
      <w:r>
        <w:rPr>
          <w:color w:val="5A6069"/>
          <w:sz w:val="15"/>
          <w:szCs w:val="15"/>
        </w:rPr>
        <w:t xml:space="preserve">   PMID 40523372</w:t>
      </w:r>
    </w:p>
    <w:p>
      <w:pPr>
        <w:spacing w:after="50" w:line="276"/>
      </w:pPr>
      <w:r>
        <w:rPr>
          <w:color w:val="5A6069"/>
          <w:sz w:val="17"/>
          <w:szCs w:val="17"/>
        </w:rPr>
        <w:t xml:space="preserve">Multiple endocrine neoplasia type 1 (MEN1): recommendations and guidelines for best practice.</w:t>
      </w:r>
    </w:p>
    <w:p>
      <w:pPr>
        <w:spacing w:after="50"/>
      </w:pPr>
      <w:r>
        <w:rPr>
          <w:b/>
          <w:bCs/>
          <w:color w:val="176A87"/>
          <w:sz w:val="16"/>
          <w:szCs w:val="16"/>
        </w:rPr>
        <w:t xml:space="preserve">Population. </w:t>
      </w:r>
      <w:r>
        <w:rPr>
          <w:sz w:val="16"/>
          <w:szCs w:val="16"/>
        </w:rPr>
        <w:t xml:space="preserve">55 recommendations, comprising 52 Delphi consensus statements plus 3 from systematic reviews of 37 of 3048 publications covering 1814 patients</w:t>
      </w:r>
    </w:p>
    <w:p>
      <w:pPr>
        <w:spacing w:after="70"/>
      </w:pPr>
      <w:r>
        <w:rPr>
          <w:b/>
          <w:bCs/>
          <w:color w:val="17365D"/>
          <w:sz w:val="16"/>
          <w:szCs w:val="16"/>
        </w:rPr>
        <w:t xml:space="preserve">Bottom line. </w:t>
      </w:r>
      <w:r>
        <w:rPr>
          <w:sz w:val="16"/>
          <w:szCs w:val="16"/>
        </w:rPr>
        <w:t xml:space="preserve">The most rigorous MEN1 guidance yet assembled, and its most important finding for a pancreatic pathway is negative: across 37 usable studies, surgery and active surveillance for nonfunctioning pancreatic neuroendocrine tumours of 2 cm or less produced no difference in metastasis or mortality at low or very low GRADE certainty - after which the panel recommends caution anyway, on expert judgement rather than data.</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recommendations are limited by the varying methodological quality of available data, derived primarily from retrospective series and insufficient to provide high or moderate certainty of evidence using the GRADE approach</w:t>
            </w:r>
          </w:p>
          <w:p>
            <w:pPr>
              <w:pStyle w:val="ListParagraph"/>
              <w:numPr>
                <w:ilvl w:val="0"/>
                <w:numId w:val="2"/>
              </w:numPr>
              <w:spacing w:after="45"/>
            </w:pPr>
            <w:r>
              <w:rPr>
                <w:sz w:val="15"/>
                <w:szCs w:val="15"/>
              </w:rPr>
              <w:t xml:space="preserve">Only 37 of 3048 publications (1.2%) met the inclusion criteria for the systematic reviews</w:t>
            </w:r>
          </w:p>
          <w:p>
            <w:pPr>
              <w:pStyle w:val="ListParagraph"/>
              <w:numPr>
                <w:ilvl w:val="0"/>
                <w:numId w:val="2"/>
              </w:numPr>
              <w:spacing w:after="45"/>
            </w:pPr>
            <w:r>
              <w:rPr>
                <w:sz w:val="15"/>
                <w:szCs w:val="15"/>
              </w:rPr>
              <w:t xml:space="preserve">Confounding could have arisen in the surgery versus surveillance comparison because surgery for tumours of 2 cm or less was indicated by growth on serial imaging, so the effects of surgery may have been underestimated; given that the implications of surveillance for morbidity, metastasis and mortality are important and irreversible, a more cautious approach might be prudent</w:t>
            </w:r>
          </w:p>
          <w:p>
            <w:pPr>
              <w:pStyle w:val="ListParagraph"/>
              <w:numPr>
                <w:ilvl w:val="0"/>
                <w:numId w:val="2"/>
              </w:numPr>
              <w:spacing w:after="45"/>
            </w:pPr>
            <w:r>
              <w:rPr>
                <w:sz w:val="15"/>
                <w:szCs w:val="15"/>
              </w:rPr>
              <w:t xml:space="preserve">Further studies are required to validate and optimise the proposed screening protocols and to develop shared decision-making tools</w:t>
            </w:r>
          </w:p>
          <w:p>
            <w:pPr>
              <w:pStyle w:val="ListParagraph"/>
              <w:numPr>
                <w:ilvl w:val="0"/>
                <w:numId w:val="2"/>
              </w:numPr>
              <w:spacing w:after="45"/>
            </w:pPr>
            <w:r>
              <w:rPr>
                <w:sz w:val="15"/>
                <w:szCs w:val="15"/>
              </w:rPr>
              <w:t xml:space="preserve">A similar evidence-based and consensus-based approach is still required for adrenal tumours, which are frequently found as incidentalomas on surveillance MRI</w:t>
            </w:r>
          </w:p>
          <w:p>
            <w:pPr>
              <w:pStyle w:val="ListParagraph"/>
              <w:numPr>
                <w:ilvl w:val="0"/>
                <w:numId w:val="2"/>
              </w:numPr>
              <w:spacing w:after="45"/>
            </w:pPr>
            <w:r>
              <w:rPr>
                <w:sz w:val="15"/>
                <w:szCs w:val="15"/>
              </w:rPr>
              <w:t xml:space="preserve">Biomarkers are lacking for accurate risk stratification of neuroendocrine tumours, for predicting aggressive pancreatic neuroendocrine tumours, for personalised risk-based management and for early detection of thymic neuroendocrine tumours</w:t>
            </w:r>
          </w:p>
          <w:p>
            <w:pPr>
              <w:pStyle w:val="ListParagraph"/>
              <w:numPr>
                <w:ilvl w:val="0"/>
                <w:numId w:val="2"/>
              </w:numPr>
              <w:spacing w:after="45"/>
            </w:pPr>
            <w:r>
              <w:rPr>
                <w:sz w:val="15"/>
                <w:szCs w:val="15"/>
              </w:rPr>
              <w:t xml:space="preserve">Better variant-of-uncertain-significance prediction tools and high-throughput functional assays are needed for genetic testing; prospective, well-annotated cohorts with clinical biobanks and global collaboration are needed to enable the research</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systematic review found no difference between surgery and surveillance for lesions of 2 cm or less, and the panel then declines to follow its own finding, writing that 'a more cautious approach might be prudent' - a defensible clinical judgement, but it means the resulting operative posture is expert preference overriding the evidence the exercise was convened to produce, and should not be cited as evidence-based</w:t>
            </w:r>
          </w:p>
          <w:p>
            <w:pPr>
              <w:pStyle w:val="ListParagraph"/>
              <w:numPr>
                <w:ilvl w:val="0"/>
                <w:numId w:val="2"/>
              </w:numPr>
              <w:spacing w:after="45"/>
            </w:pPr>
            <w:r>
              <w:rPr>
                <w:sz w:val="15"/>
                <w:szCs w:val="15"/>
              </w:rPr>
              <w:t xml:space="preserve">1814 patients across 37 mostly retrospective studies for an entire multi-organ syndrome means every pancreatic statement rests on very few events; the panel's own GRADE rating is low or very low throughout while the statements are worded as recommendations carrying 92-100% agreement</w:t>
            </w:r>
          </w:p>
          <w:p>
            <w:pPr>
              <w:pStyle w:val="ListParagraph"/>
              <w:numPr>
                <w:ilvl w:val="0"/>
                <w:numId w:val="2"/>
              </w:numPr>
              <w:spacing w:after="45"/>
            </w:pPr>
            <w:r>
              <w:rPr>
                <w:sz w:val="15"/>
                <w:szCs w:val="15"/>
              </w:rPr>
              <w:t xml:space="preserve">A Delphi percentage measures how many experts agree, not how likely they are to be right; the paper's own scale calls 51% agreement a 'consider', so the apparatus systematically converts low-certainty evidence into high-confidence prose, and the agreement figure is the only number most readers will carry away</w:t>
            </w:r>
          </w:p>
          <w:p>
            <w:pPr>
              <w:pStyle w:val="ListParagraph"/>
              <w:numPr>
                <w:ilvl w:val="0"/>
                <w:numId w:val="2"/>
              </w:numPr>
              <w:spacing w:after="45"/>
            </w:pPr>
            <w:r>
              <w:rPr>
                <w:sz w:val="15"/>
                <w:szCs w:val="15"/>
              </w:rPr>
              <w:t xml:space="preserve">The 1 mm per year growth criterion in statements 28 and 39 has no cited derivation and lies below the measurement reproducibility of serial MRI of a multifocal pancreas across different scanners and readers, so it will generate both false stability and false progression</w:t>
            </w:r>
          </w:p>
          <w:p>
            <w:pPr>
              <w:pStyle w:val="ListParagraph"/>
              <w:numPr>
                <w:ilvl w:val="0"/>
                <w:numId w:val="2"/>
              </w:numPr>
              <w:spacing w:after="45"/>
            </w:pPr>
            <w:r>
              <w:rPr>
                <w:sz w:val="15"/>
                <w:szCs w:val="15"/>
              </w:rPr>
              <w:t xml:space="preserve">Panel selection was by recognised standing within the same societies that issued the 2001 and 2012 guidelines, and several authors wrote those, so the 'new or now explicit' labels partly re-endorse the panel's own prior positions</w:t>
            </w:r>
          </w:p>
          <w:p>
            <w:pPr>
              <w:pStyle w:val="ListParagraph"/>
              <w:numPr>
                <w:ilvl w:val="0"/>
                <w:numId w:val="2"/>
              </w:numPr>
              <w:spacing w:after="45"/>
            </w:pPr>
            <w:r>
              <w:rPr>
                <w:sz w:val="15"/>
                <w:szCs w:val="15"/>
              </w:rPr>
              <w:t xml:space="preserve">Recommending pancreatic MRI from age 10-15 commits asymptomatic children to lifelong imaging on the strength of penetrance data alone, with no outcome evidence that earlier detection reduces mortality and no analysis of the harms - incidental adrenal findings, which the paper separately flags as a growing problem, or the psychological burden of surveillance from childhood</w:t>
            </w:r>
          </w:p>
          <w:p>
            <w:pPr>
              <w:pStyle w:val="ListParagraph"/>
              <w:numPr>
                <w:ilvl w:val="0"/>
                <w:numId w:val="2"/>
              </w:numPr>
              <w:spacing w:after="45"/>
            </w:pPr>
            <w:r>
              <w:rPr>
                <w:sz w:val="15"/>
                <w:szCs w:val="15"/>
              </w:rPr>
              <w:t xml:space="preserve">The screening recommendations deliberately aim to detect 'clinically relevant disease, and not necessarily the earliest onset of disease', yet the interval recommendations are set by expert vote with no modelling of what interval achieves that distinction</w:t>
            </w:r>
          </w:p>
          <w:p>
            <w:pPr>
              <w:pStyle w:val="ListParagraph"/>
              <w:numPr>
                <w:ilvl w:val="0"/>
                <w:numId w:val="2"/>
              </w:numPr>
              <w:spacing w:after="45"/>
            </w:pPr>
            <w:r>
              <w:rPr>
                <w:sz w:val="15"/>
                <w:szCs w:val="15"/>
              </w:rPr>
              <w:t xml:space="preserve">Nothing in this document transfers to sporadic nonfunctioning pancreatic NET: in MEN1 the gland carries a field defect, lesions are multiple, patients are decades younger, and competing parathyroid, pituitary and thymic disease dominates the risk calculus - so the MEN1 2 cm threshold and the sporadic 2 cm threshold happen to share a number but not an evidence base</w:t>
            </w:r>
          </w:p>
        </w:tc>
      </w:tr>
    </w:tbl>
    <w:p>
      <w:pPr>
        <w:keepNext/>
        <w:spacing w:after="50" w:before="260"/>
      </w:pPr>
      <w:r>
        <w:rPr>
          <w:rFonts w:ascii="Cambria" w:cs="Cambria" w:eastAsia="Cambria" w:hAnsi="Cambria"/>
          <w:b/>
          <w:bCs/>
          <w:color w:val="17365D"/>
          <w:sz w:val="20"/>
          <w:szCs w:val="20"/>
        </w:rPr>
        <w:t xml:space="preserve">NETPET derivation</w:t>
      </w:r>
      <w:r>
        <w:rPr>
          <w:b/>
          <w:bCs/>
          <w:color w:val="176A87"/>
          <w:sz w:val="15"/>
          <w:szCs w:val="15"/>
        </w:rPr>
        <w:t xml:space="preserve">   Retrospective cohort</w:t>
      </w:r>
      <w:r>
        <w:rPr>
          <w:color w:val="5A6069"/>
          <w:sz w:val="15"/>
          <w:szCs w:val="15"/>
        </w:rPr>
        <w:t xml:space="preserve">   PMID 28435454</w:t>
      </w:r>
    </w:p>
    <w:p>
      <w:pPr>
        <w:spacing w:after="50" w:line="276"/>
      </w:pPr>
      <w:r>
        <w:rPr>
          <w:color w:val="5A6069"/>
          <w:sz w:val="17"/>
          <w:szCs w:val="17"/>
        </w:rPr>
        <w:t xml:space="preserve">Dual somatostatin receptor/FDG PET/CT imaging in metastatic neuroendocrine tumours: proposal for a novel grading scheme with prognostic significance.</w:t>
      </w:r>
    </w:p>
    <w:p>
      <w:pPr>
        <w:spacing w:after="50"/>
      </w:pPr>
      <w:r>
        <w:rPr>
          <w:b/>
          <w:bCs/>
          <w:color w:val="176A87"/>
          <w:sz w:val="16"/>
          <w:szCs w:val="16"/>
        </w:rPr>
        <w:t xml:space="preserve">Population. </w:t>
      </w:r>
      <w:r>
        <w:rPr>
          <w:sz w:val="16"/>
          <w:szCs w:val="16"/>
        </w:rPr>
        <w:t xml:space="preserve">62 patients with metastatic NET (24 pancreatic primaries, 39%), selected from 730 DOTATATE PET scans and 118 patients with both scans</w:t>
      </w:r>
    </w:p>
    <w:p>
      <w:pPr>
        <w:spacing w:after="70"/>
      </w:pPr>
      <w:r>
        <w:rPr>
          <w:b/>
          <w:bCs/>
          <w:color w:val="17365D"/>
          <w:sz w:val="16"/>
          <w:szCs w:val="16"/>
        </w:rPr>
        <w:t xml:space="preserve">Bottom line. </w:t>
      </w:r>
      <w:r>
        <w:rPr>
          <w:sz w:val="16"/>
          <w:szCs w:val="16"/>
        </w:rPr>
        <w:t xml:space="preserve">Dual DOTATATE/FDG PET summarised as a NETPET grade separated a group with FDG-positive, SSTR-negative disease and 11-month median survival from everyone else in a 62-patient mixed-primary cohort, but it is a hypothesis-generating single-centre analysis with no pancreas-specific signal and no adjustment for who received PRRT.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Small retrospective single-centre study whose findings, though intriguing, need prospective validation</w:t>
            </w:r>
          </w:p>
          <w:p>
            <w:pPr>
              <w:pStyle w:val="ListParagraph"/>
              <w:numPr>
                <w:ilvl w:val="0"/>
                <w:numId w:val="2"/>
              </w:numPr>
              <w:spacing w:after="45"/>
            </w:pPr>
            <w:r>
              <w:rPr>
                <w:sz w:val="15"/>
                <w:szCs w:val="15"/>
              </w:rPr>
              <w:t xml:space="preserve">The two PET scans were generally not performed on the same day, so shift in lesion position or size and rapid progression may impede accurate comparison, mitigated only by the 31-day limit</w:t>
            </w:r>
          </w:p>
          <w:p>
            <w:pPr>
              <w:pStyle w:val="ListParagraph"/>
              <w:numPr>
                <w:ilvl w:val="0"/>
                <w:numId w:val="2"/>
              </w:numPr>
              <w:spacing w:after="45"/>
            </w:pPr>
            <w:r>
              <w:rPr>
                <w:sz w:val="15"/>
                <w:szCs w:val="15"/>
              </w:rPr>
              <w:t xml:space="preserve">A novel grading system needs testing at other centres to establish practical utility and to measure inter-rater reliability</w:t>
            </w:r>
          </w:p>
          <w:p>
            <w:pPr>
              <w:pStyle w:val="ListParagraph"/>
              <w:numPr>
                <w:ilvl w:val="0"/>
                <w:numId w:val="2"/>
              </w:numPr>
              <w:spacing w:after="45"/>
            </w:pPr>
            <w:r>
              <w:rPr>
                <w:sz w:val="15"/>
                <w:szCs w:val="15"/>
              </w:rPr>
              <w:t xml:space="preserve">A larger cohort might have confirmed the prognostic significance of known determinants such as histological grade, whose non-significance here the authors attribute to the small heterogeneous sample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Only 39% of the cohort had pancreatic primaries and the remainder span midgut, lung, thymus and breast, so nothing in this paper is pancreas-specific despite its use as a PNET imaging citation</w:t>
            </w:r>
          </w:p>
          <w:p>
            <w:pPr>
              <w:pStyle w:val="ListParagraph"/>
              <w:numPr>
                <w:ilvl w:val="0"/>
                <w:numId w:val="2"/>
              </w:numPr>
              <w:spacing w:after="45"/>
            </w:pPr>
            <w:r>
              <w:rPr>
                <w:sz w:val="15"/>
                <w:szCs w:val="15"/>
              </w:rPr>
              <w:t xml:space="preserve">Readers were given 'all pertinent clinical information at the time of scanning', which includes histology and disease extent - the very comparators NETPET is said to outperform - so incorporation bias favours the index test</w:t>
            </w:r>
          </w:p>
          <w:p>
            <w:pPr>
              <w:pStyle w:val="ListParagraph"/>
              <w:numPr>
                <w:ilvl w:val="0"/>
                <w:numId w:val="2"/>
              </w:numPr>
              <w:spacing w:after="45"/>
            </w:pPr>
            <w:r>
              <w:rPr>
                <w:sz w:val="15"/>
                <w:szCs w:val="15"/>
              </w:rPr>
              <w:t xml:space="preserve">The reported result is for a three-way collapse (P1 / P2-4 / P5); the 5-point scale that the paper exists to propose is never shown to be prognostic level by level, and several sub-grades contain a single patient (P3a n = 1, P3b n = 1)</w:t>
            </w:r>
          </w:p>
          <w:p>
            <w:pPr>
              <w:pStyle w:val="ListParagraph"/>
              <w:numPr>
                <w:ilvl w:val="0"/>
                <w:numId w:val="2"/>
              </w:numPr>
              <w:spacing w:after="45"/>
            </w:pPr>
            <w:r>
              <w:rPr>
                <w:sz w:val="15"/>
                <w:szCs w:val="15"/>
              </w:rPr>
              <w:t xml:space="preserve">A third of the cohort received PRRT, for which SSTR-positive/FDG-negative disease is precisely the eligibility criterion, and treatment is not adjusted for, so the P1 survival advantage may measure access to Lutate rather than tumour biology</w:t>
            </w:r>
          </w:p>
          <w:p>
            <w:pPr>
              <w:pStyle w:val="ListParagraph"/>
              <w:numPr>
                <w:ilvl w:val="0"/>
                <w:numId w:val="2"/>
              </w:numPr>
              <w:spacing w:after="45"/>
            </w:pPr>
            <w:r>
              <w:rPr>
                <w:sz w:val="15"/>
                <w:szCs w:val="15"/>
              </w:rPr>
              <w:t xml:space="preserve">The comparator, WHO grade, was taken at the time of original diagnosis - potentially years before the scan pair - while NETPET was measured contemporaneously, systematically disadvantaging grade</w:t>
            </w:r>
          </w:p>
          <w:p>
            <w:pPr>
              <w:pStyle w:val="ListParagraph"/>
              <w:numPr>
                <w:ilvl w:val="0"/>
                <w:numId w:val="2"/>
              </w:numPr>
              <w:spacing w:after="45"/>
            </w:pPr>
            <w:r>
              <w:rPr>
                <w:sz w:val="15"/>
                <w:szCs w:val="15"/>
              </w:rPr>
              <w:t xml:space="preserve">With 62 patients and a median OS not reached in two of three strata, the effect estimates carry very wide uncertainty; no hazard ratios or confidence intervals are reported anywhere for the primary analysis</w:t>
            </w:r>
          </w:p>
          <w:p>
            <w:pPr>
              <w:pStyle w:val="ListParagraph"/>
              <w:numPr>
                <w:ilvl w:val="0"/>
                <w:numId w:val="2"/>
              </w:numPr>
              <w:spacing w:after="45"/>
            </w:pPr>
            <w:r>
              <w:rPr>
                <w:sz w:val="15"/>
                <w:szCs w:val="15"/>
              </w:rPr>
              <w:t xml:space="preserve">No correction for multiple testing across several candidate covariates, two cohort definitions and two analysis strategies</w:t>
            </w:r>
          </w:p>
        </w:tc>
      </w:tr>
    </w:tbl>
    <w:p>
      <w:pPr>
        <w:spacing w:after="0" w:line="276"/>
      </w:pPr>
      <w:r>
        <w:rPr>
          <w:color w:val="5A6069"/>
          <w:sz w:val="14"/>
          <w:szCs w:val="14"/>
        </w:rPr>
        <w:t xml:space="preserve">Funding: Cancer Institute of New South Wales through the Translational Cancer Research Centre programme (Sydney Vital); D. Chan, A. Hayes and D. Bailey received support from Sydney Vital. Authors declared no competing interests.</w:t>
      </w:r>
    </w:p>
    <w:p>
      <w:pPr>
        <w:keepNext/>
        <w:spacing w:after="50" w:before="260"/>
      </w:pPr>
      <w:r>
        <w:rPr>
          <w:rFonts w:ascii="Cambria" w:cs="Cambria" w:eastAsia="Cambria" w:hAnsi="Cambria"/>
          <w:b/>
          <w:bCs/>
          <w:color w:val="17365D"/>
          <w:sz w:val="20"/>
          <w:szCs w:val="20"/>
        </w:rPr>
        <w:t xml:space="preserve">NETPET validation</w:t>
      </w:r>
      <w:r>
        <w:rPr>
          <w:b/>
          <w:bCs/>
          <w:color w:val="176A87"/>
          <w:sz w:val="15"/>
          <w:szCs w:val="15"/>
        </w:rPr>
        <w:t xml:space="preserve">   Retrospective cohort</w:t>
      </w:r>
      <w:r>
        <w:rPr>
          <w:color w:val="5A6069"/>
          <w:sz w:val="15"/>
          <w:szCs w:val="15"/>
        </w:rPr>
        <w:t xml:space="preserve">   PMID 36434154</w:t>
      </w:r>
    </w:p>
    <w:p>
      <w:pPr>
        <w:spacing w:after="50" w:line="276"/>
      </w:pPr>
      <w:r>
        <w:rPr>
          <w:color w:val="5A6069"/>
          <w:sz w:val="17"/>
          <w:szCs w:val="17"/>
        </w:rPr>
        <w:t xml:space="preserve">Dual [68Ga]DOTATATE and [18F]FDG PET/CT in patients with metastatic gastroenteropancreatic neuroendocrine neoplasms: a multicentre validation of the NETPET score.</w:t>
      </w:r>
    </w:p>
    <w:p>
      <w:pPr>
        <w:spacing w:after="50"/>
      </w:pPr>
      <w:r>
        <w:rPr>
          <w:b/>
          <w:bCs/>
          <w:color w:val="176A87"/>
          <w:sz w:val="16"/>
          <w:szCs w:val="16"/>
        </w:rPr>
        <w:t xml:space="preserve">Population. </w:t>
      </w:r>
      <w:r>
        <w:rPr>
          <w:sz w:val="16"/>
          <w:szCs w:val="16"/>
        </w:rPr>
        <w:t xml:space="preserve">319 patients with metastatic or unresectable GEPNEN (114 pancreatic primaries, 36%)</w:t>
      </w:r>
    </w:p>
    <w:p>
      <w:pPr>
        <w:spacing w:after="70"/>
      </w:pPr>
      <w:r>
        <w:rPr>
          <w:b/>
          <w:bCs/>
          <w:color w:val="17365D"/>
          <w:sz w:val="16"/>
          <w:szCs w:val="16"/>
        </w:rPr>
        <w:t xml:space="preserve">Bottom line. </w:t>
      </w:r>
      <w:r>
        <w:rPr>
          <w:sz w:val="16"/>
          <w:szCs w:val="16"/>
        </w:rPr>
        <w:t xml:space="preserve">In 319 patients with metastatic GEP-NEN the NETPET score independently predicted overall survival and time to progression alongside histological grade, but two of the three contributing centres supplied the original derivation data, treatment was not adjusted for, and only a third of the cohort had pancreatic primaries.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design makes the study susceptible to bias, although consecutive series were identified at each centre</w:t>
            </w:r>
          </w:p>
          <w:p>
            <w:pPr>
              <w:pStyle w:val="ListParagraph"/>
              <w:numPr>
                <w:ilvl w:val="0"/>
                <w:numId w:val="2"/>
              </w:numPr>
              <w:spacing w:after="45"/>
            </w:pPr>
            <w:r>
              <w:rPr>
                <w:sz w:val="15"/>
                <w:szCs w:val="15"/>
              </w:rPr>
              <w:t xml:space="preserve">The scan interval of up to 90 days allows lesions to shift or grow, impeding accurate comparison, though the median interval was only 9 days against a median TTP of 17.1 months</w:t>
            </w:r>
          </w:p>
          <w:p>
            <w:pPr>
              <w:pStyle w:val="ListParagraph"/>
              <w:numPr>
                <w:ilvl w:val="0"/>
                <w:numId w:val="2"/>
              </w:numPr>
              <w:spacing w:after="45"/>
            </w:pPr>
            <w:r>
              <w:rPr>
                <w:sz w:val="15"/>
                <w:szCs w:val="15"/>
              </w:rPr>
              <w:t xml:space="preserve">The treatments individual patients received were not reported, which may bias both TTP and OS; in particular starting PRRT may confer a survival advantage on the P1-P4 cohort</w:t>
            </w:r>
          </w:p>
          <w:p>
            <w:pPr>
              <w:pStyle w:val="ListParagraph"/>
              <w:numPr>
                <w:ilvl w:val="0"/>
                <w:numId w:val="2"/>
              </w:numPr>
              <w:spacing w:after="45"/>
            </w:pPr>
            <w:r>
              <w:rPr>
                <w:sz w:val="15"/>
                <w:szCs w:val="15"/>
              </w:rPr>
              <w:t xml:space="preserve">The approach to determining progression was not standardised across centres</w:t>
            </w:r>
          </w:p>
          <w:p>
            <w:pPr>
              <w:pStyle w:val="ListParagraph"/>
              <w:numPr>
                <w:ilvl w:val="0"/>
                <w:numId w:val="2"/>
              </w:numPr>
              <w:spacing w:after="45"/>
            </w:pPr>
            <w:r>
              <w:rPr>
                <w:sz w:val="15"/>
                <w:szCs w:val="15"/>
              </w:rPr>
              <w:t xml:space="preserve">Findings should ideally be confirmed in a prospective trial using NETPET as an exploratory endpoint, although accrual in an uncommon disease would be difficult</w:t>
            </w:r>
          </w:p>
          <w:p>
            <w:pPr>
              <w:pStyle w:val="ListParagraph"/>
              <w:numPr>
                <w:ilvl w:val="0"/>
                <w:numId w:val="2"/>
              </w:numPr>
              <w:spacing w:after="45"/>
            </w:pPr>
            <w:r>
              <w:rPr>
                <w:sz w:val="15"/>
                <w:szCs w:val="15"/>
              </w:rPr>
              <w:t xml:space="preserve">Larger numbers and longer follow-up are needed before concluding that NETPET further stratifies within histological grade, and to test it within well- and poorly differentiated grade 3</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Two of the three centres had already published their own NETPET series and the original 2017 derivation cohort came from one of them, so this is partly a re-analysis of the data that generated the hypothesis rather than external validation; a 239-patient interim version of this same cohort had already been presented in 2021</w:t>
            </w:r>
          </w:p>
          <w:p>
            <w:pPr>
              <w:pStyle w:val="ListParagraph"/>
              <w:numPr>
                <w:ilvl w:val="0"/>
                <w:numId w:val="2"/>
              </w:numPr>
              <w:spacing w:after="45"/>
            </w:pPr>
            <w:r>
              <w:rPr>
                <w:sz w:val="15"/>
                <w:szCs w:val="15"/>
              </w:rPr>
              <w:t xml:space="preserve">Only 36% of patients had pancreatic primaries and no pancreas-specific subgroup analysis is presented, so the score cannot be cited as evidence for managing pancreatic NET</w:t>
            </w:r>
          </w:p>
          <w:p>
            <w:pPr>
              <w:pStyle w:val="ListParagraph"/>
              <w:numPr>
                <w:ilvl w:val="0"/>
                <w:numId w:val="2"/>
              </w:numPr>
              <w:spacing w:after="45"/>
            </w:pPr>
            <w:r>
              <w:rPr>
                <w:sz w:val="15"/>
                <w:szCs w:val="15"/>
              </w:rPr>
              <w:t xml:space="preserve">Histological grade - the comparator the score is said to complement - was taken from whatever biopsy was available with no central pathology review across three countries, which biases the comparison in the index test's favour</w:t>
            </w:r>
          </w:p>
          <w:p>
            <w:pPr>
              <w:pStyle w:val="ListParagraph"/>
              <w:numPr>
                <w:ilvl w:val="0"/>
                <w:numId w:val="2"/>
              </w:numPr>
              <w:spacing w:after="45"/>
            </w:pPr>
            <w:r>
              <w:rPr>
                <w:sz w:val="15"/>
                <w:szCs w:val="15"/>
              </w:rPr>
              <w:t xml:space="preserve">The authors concede that treatment, including PRRT, was not modelled; since SSTR-positive/FDG-negative disease is the eligibility criterion for PRRT, the P1 advantage is confounded with access to an effective therapy</w:t>
            </w:r>
          </w:p>
          <w:p>
            <w:pPr>
              <w:pStyle w:val="ListParagraph"/>
              <w:numPr>
                <w:ilvl w:val="0"/>
                <w:numId w:val="2"/>
              </w:numPr>
              <w:spacing w:after="45"/>
            </w:pPr>
            <w:r>
              <w:rPr>
                <w:sz w:val="15"/>
                <w:szCs w:val="15"/>
              </w:rPr>
              <w:t xml:space="preserve">Time zero is the date of the second scan, which sits at an arbitrary and differing point in each patient's disease course and selects for patients who survived to be scanned, inviting left-truncation and immortal-time bias</w:t>
            </w:r>
          </w:p>
          <w:p>
            <w:pPr>
              <w:pStyle w:val="ListParagraph"/>
              <w:numPr>
                <w:ilvl w:val="0"/>
                <w:numId w:val="2"/>
              </w:numPr>
              <w:spacing w:after="45"/>
            </w:pPr>
            <w:r>
              <w:rPr>
                <w:sz w:val="15"/>
                <w:szCs w:val="15"/>
              </w:rPr>
              <w:t xml:space="preserve">The analysis again uses the pre-specified three-category collapse, so the 5-point scale the papers propose remains unvalidated at the level at which it is reported clinically</w:t>
            </w:r>
          </w:p>
          <w:p>
            <w:pPr>
              <w:pStyle w:val="ListParagraph"/>
              <w:numPr>
                <w:ilvl w:val="0"/>
                <w:numId w:val="2"/>
              </w:numPr>
              <w:spacing w:after="45"/>
            </w:pPr>
            <w:r>
              <w:rPr>
                <w:sz w:val="15"/>
                <w:szCs w:val="15"/>
              </w:rPr>
              <w:t xml:space="preserve">The finding that 59% of grade 1 patients were FDG-avid, well above published rates, is presented as a strength of dual imaging but is equally consistent with reader threshold drift or with grade misassignment, and is not resolved</w:t>
            </w:r>
          </w:p>
        </w:tc>
      </w:tr>
    </w:tbl>
    <w:p>
      <w:pPr>
        <w:spacing w:after="0" w:line="276"/>
      </w:pPr>
      <w:r>
        <w:rPr>
          <w:color w:val="5A6069"/>
          <w:sz w:val="14"/>
          <w:szCs w:val="14"/>
        </w:rPr>
        <w:t xml:space="preserve">Funding: No specific funding for the research project; D.L. Chan funded by NHMRC Australia grant GNT1175788. Several authors report honoraria or research support from Ipsen, Novartis, AAA, Pfizer, Lexicon, EMD Serono and others outside the submitted work.</w:t>
      </w:r>
    </w:p>
    <w:p>
      <w:pPr>
        <w:keepNext/>
        <w:spacing w:after="50" w:before="260"/>
      </w:pPr>
      <w:r>
        <w:rPr>
          <w:rFonts w:ascii="Cambria" w:cs="Cambria" w:eastAsia="Cambria" w:hAnsi="Cambria"/>
          <w:b/>
          <w:bCs/>
          <w:color w:val="17365D"/>
          <w:sz w:val="20"/>
          <w:szCs w:val="20"/>
        </w:rPr>
        <w:t xml:space="preserve">NORDIC NEC</w:t>
      </w:r>
      <w:r>
        <w:rPr>
          <w:b/>
          <w:bCs/>
          <w:color w:val="176A87"/>
          <w:sz w:val="15"/>
          <w:szCs w:val="15"/>
        </w:rPr>
        <w:t xml:space="preserve">   Retrospective cohort</w:t>
      </w:r>
      <w:r>
        <w:rPr>
          <w:color w:val="5A6069"/>
          <w:sz w:val="15"/>
          <w:szCs w:val="15"/>
        </w:rPr>
        <w:t xml:space="preserve">   PMID 22967994</w:t>
      </w:r>
    </w:p>
    <w:p>
      <w:pPr>
        <w:spacing w:after="50" w:line="276"/>
      </w:pPr>
      <w:r>
        <w:rPr>
          <w:color w:val="5A6069"/>
          <w:sz w:val="17"/>
          <w:szCs w:val="17"/>
        </w:rPr>
        <w:t xml:space="preserve">Predictive and prognostic factors for treatment and survival in 305 patients with advanced gastrointestinal neuroendocrine carcinoma (WHO G3): the NORDIC NEC study.</w:t>
      </w:r>
    </w:p>
    <w:p>
      <w:pPr>
        <w:spacing w:after="50"/>
      </w:pPr>
      <w:r>
        <w:rPr>
          <w:b/>
          <w:bCs/>
          <w:color w:val="176A87"/>
          <w:sz w:val="16"/>
          <w:szCs w:val="16"/>
        </w:rPr>
        <w:t xml:space="preserve">Population. </w:t>
      </w:r>
      <w:r>
        <w:rPr>
          <w:sz w:val="16"/>
          <w:szCs w:val="16"/>
        </w:rPr>
        <w:t xml:space="preserve">305 patients with advanced GI-NEC (71 pancreatic primaries, 23%): 252 given palliative chemotherapy and 53 best supportive care only</w:t>
      </w:r>
    </w:p>
    <w:p>
      <w:pPr>
        <w:spacing w:after="70"/>
      </w:pPr>
      <w:r>
        <w:rPr>
          <w:b/>
          <w:bCs/>
          <w:color w:val="17365D"/>
          <w:sz w:val="16"/>
          <w:szCs w:val="16"/>
        </w:rPr>
        <w:t xml:space="preserve">Bottom line. </w:t>
      </w:r>
      <w:r>
        <w:rPr>
          <w:sz w:val="16"/>
          <w:szCs w:val="16"/>
        </w:rPr>
        <w:t xml:space="preserve">The largest advanced GI-NEC cohort ever reported establishes performance status, primary site and raised platelets or LDH as the dominant prognostic factors and shows that tumours with Ki-67 below 55% respond less to platinum yet survive longer - but the untreated comparison group is a late-referral artefact, the 55% cut-off is internally derived and drops out of the multivariable model, and pancreatic NEC is a 71-patient subgroup.</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design with its inherent limitations</w:t>
            </w:r>
          </w:p>
          <w:p>
            <w:pPr>
              <w:pStyle w:val="ListParagraph"/>
              <w:numPr>
                <w:ilvl w:val="0"/>
                <w:numId w:val="2"/>
              </w:numPr>
              <w:spacing w:after="45"/>
            </w:pPr>
            <w:r>
              <w:rPr>
                <w:sz w:val="15"/>
                <w:szCs w:val="15"/>
              </w:rPr>
              <w:t xml:space="preserve">The exceedingly low median survival of untreated patients may be biased by late referral and more advanced disease stage, as the worse performance status, white cell count and CRP suggest, or by conditions such as age that precluded chemotherapy</w:t>
            </w:r>
          </w:p>
          <w:p>
            <w:pPr>
              <w:pStyle w:val="ListParagraph"/>
              <w:numPr>
                <w:ilvl w:val="0"/>
                <w:numId w:val="2"/>
              </w:numPr>
              <w:spacing w:after="45"/>
            </w:pPr>
            <w:r>
              <w:rPr>
                <w:sz w:val="15"/>
                <w:szCs w:val="15"/>
              </w:rPr>
              <w:t xml:space="preserve">Ki-67 was assessed by many different pathologists in different countries, so the 55% analysis may be biased by methodology, pathologist experience and Ki-67 heterogeneity, and the cut-off should be interpreted with some caution</w:t>
            </w:r>
          </w:p>
          <w:p>
            <w:pPr>
              <w:pStyle w:val="ListParagraph"/>
              <w:numPr>
                <w:ilvl w:val="0"/>
                <w:numId w:val="2"/>
              </w:numPr>
              <w:spacing w:after="45"/>
            </w:pPr>
            <w:r>
              <w:rPr>
                <w:sz w:val="15"/>
                <w:szCs w:val="15"/>
              </w:rPr>
              <w:t xml:space="preserve">Patients were not specifically reclassified according to the new WHO 2010 criteria</w:t>
            </w:r>
          </w:p>
          <w:p>
            <w:pPr>
              <w:pStyle w:val="ListParagraph"/>
              <w:numPr>
                <w:ilvl w:val="0"/>
                <w:numId w:val="2"/>
              </w:numPr>
              <w:spacing w:after="45"/>
            </w:pPr>
            <w:r>
              <w:rPr>
                <w:sz w:val="15"/>
                <w:szCs w:val="15"/>
              </w:rPr>
              <w:t xml:space="preserve">Response rates were evaluated by RECIST 1.0 from radiological reports rather than from measured scans</w:t>
            </w:r>
          </w:p>
          <w:p>
            <w:pPr>
              <w:pStyle w:val="ListParagraph"/>
              <w:numPr>
                <w:ilvl w:val="0"/>
                <w:numId w:val="2"/>
              </w:numPr>
              <w:spacing w:after="45"/>
            </w:pPr>
            <w:r>
              <w:rPr>
                <w:sz w:val="15"/>
                <w:szCs w:val="15"/>
              </w:rPr>
              <w:t xml:space="preserve">There are limited data explaining why the abnormal laboratory values evolve and what they reflect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11-month versus 1-month contrast between chemotherapy and best supportive care is the paper's most quoted figure and is almost pure selection: the untreated group was twelve years older and half of it was PS 3-4, and a median survival of one month identifies patients referred at the point of death - the authors note this and still frame it as a reason to treat without delay</w:t>
            </w:r>
          </w:p>
          <w:p>
            <w:pPr>
              <w:pStyle w:val="ListParagraph"/>
              <w:numPr>
                <w:ilvl w:val="0"/>
                <w:numId w:val="2"/>
              </w:numPr>
              <w:spacing w:after="45"/>
            </w:pPr>
            <w:r>
              <w:rPr>
                <w:sz w:val="15"/>
                <w:szCs w:val="15"/>
              </w:rPr>
              <w:t xml:space="preserve">The Ki-67 threshold of 55% was derived by ROC in 42 randomly selected patients and then applied to the rest of the same cohort, so it is an internally generated cut-off with no external validation, and it disappears entirely from the multivariable model - meaning the paper's signature prognostic marker is not independently prognostic in its own analysis, a point the abstract does not convey</w:t>
            </w:r>
          </w:p>
          <w:p>
            <w:pPr>
              <w:pStyle w:val="ListParagraph"/>
              <w:numPr>
                <w:ilvl w:val="0"/>
                <w:numId w:val="2"/>
              </w:numPr>
              <w:spacing w:after="45"/>
            </w:pPr>
            <w:r>
              <w:rPr>
                <w:sz w:val="15"/>
                <w:szCs w:val="15"/>
              </w:rPr>
              <w:t xml:space="preserve">The regression that produces the final prognostic model runs on 170 of 252 chemotherapy patients after excluding the ROC derivation set and incomplete cases, which is not stated in the abstract</w:t>
            </w:r>
          </w:p>
          <w:p>
            <w:pPr>
              <w:pStyle w:val="ListParagraph"/>
              <w:numPr>
                <w:ilvl w:val="0"/>
                <w:numId w:val="2"/>
              </w:numPr>
              <w:spacing w:after="45"/>
            </w:pPr>
            <w:r>
              <w:rPr>
                <w:sz w:val="15"/>
                <w:szCs w:val="15"/>
              </w:rPr>
              <w:t xml:space="preserve">GI-NEC here pools oesophagus to rectum with 32% unknown primary; pancreatic NEC, the only portion relevant to a pancreatic pathway, is 71 patients analysed as a site subgroup with no multiplicity correction across seven sites</w:t>
            </w:r>
          </w:p>
          <w:p>
            <w:pPr>
              <w:pStyle w:val="ListParagraph"/>
              <w:numPr>
                <w:ilvl w:val="0"/>
                <w:numId w:val="2"/>
              </w:numPr>
              <w:spacing w:after="45"/>
            </w:pPr>
            <w:r>
              <w:rPr>
                <w:sz w:val="15"/>
                <w:szCs w:val="15"/>
              </w:rPr>
              <w:t xml:space="preserve">Small-cell versus non-small-cell morphology was taken from pathology report wording with no central review and no re-review of slides, which is the most likely explanation for the null result on morphology, yet the paper concludes the morphological classification is of uncertain clinical relevance</w:t>
            </w:r>
          </w:p>
          <w:p>
            <w:pPr>
              <w:pStyle w:val="ListParagraph"/>
              <w:numPr>
                <w:ilvl w:val="0"/>
                <w:numId w:val="2"/>
              </w:numPr>
              <w:spacing w:after="45"/>
            </w:pPr>
            <w:r>
              <w:rPr>
                <w:sz w:val="15"/>
                <w:szCs w:val="15"/>
              </w:rPr>
              <w:t xml:space="preserve">Response was assessed from radiological reports, not from measured target lesions, so the 31% response rate and the Ki-67 response gradient rest on unstandardised radiology narrative</w:t>
            </w:r>
          </w:p>
          <w:p>
            <w:pPr>
              <w:pStyle w:val="ListParagraph"/>
              <w:numPr>
                <w:ilvl w:val="0"/>
                <w:numId w:val="2"/>
              </w:numPr>
              <w:spacing w:after="45"/>
            </w:pPr>
            <w:r>
              <w:rPr>
                <w:sz w:val="15"/>
                <w:szCs w:val="15"/>
              </w:rPr>
              <w:t xml:space="preserve">Treatment choice between cisplatin and carboplatin was 'mainly due to different center policy', which makes the equivalence claim a comparison between centres rather than between drugs, confounded by everything else those centres did differently</w:t>
            </w:r>
          </w:p>
          <w:p>
            <w:pPr>
              <w:pStyle w:val="ListParagraph"/>
              <w:numPr>
                <w:ilvl w:val="0"/>
                <w:numId w:val="2"/>
              </w:numPr>
              <w:spacing w:after="45"/>
            </w:pPr>
            <w:r>
              <w:rPr>
                <w:sz w:val="15"/>
                <w:szCs w:val="15"/>
              </w:rPr>
              <w:t xml:space="preserve">The favourable 26-month survival in 36 patients with PS 0 and normal platelets and LDH is a post hoc subgroup defined by the model fitted to the same data</w:t>
            </w:r>
          </w:p>
        </w:tc>
      </w:tr>
    </w:tbl>
    <w:p>
      <w:pPr>
        <w:spacing w:after="0" w:line="276"/>
      </w:pPr>
      <w:r>
        <w:rPr>
          <w:color w:val="5A6069"/>
          <w:sz w:val="14"/>
          <w:szCs w:val="14"/>
        </w:rPr>
        <w:t xml:space="preserve">Funding: Nordic Cancer Union and Eckbo Foundations; H. Sorbye funded by the Norwegian Cancer Society, H. Gronbaek by the NOVO Nordisk Foundation, N. Holt by the Danish Research Council, E.T. Janson by the Swedish Cancer Society and I.H. Olsen by a Rigshospitalet research grant. The authors declared no conflicts of interest.</w:t>
      </w:r>
    </w:p>
    <w:p>
      <w:pPr>
        <w:keepNext/>
        <w:spacing w:after="50" w:before="260"/>
      </w:pPr>
      <w:r>
        <w:rPr>
          <w:rFonts w:ascii="Cambria" w:cs="Cambria" w:eastAsia="Cambria" w:hAnsi="Cambria"/>
          <w:b/>
          <w:bCs/>
          <w:color w:val="17365D"/>
          <w:sz w:val="20"/>
          <w:szCs w:val="20"/>
        </w:rPr>
        <w:t xml:space="preserve">Norton 2006</w:t>
      </w:r>
      <w:r>
        <w:rPr>
          <w:b/>
          <w:bCs/>
          <w:color w:val="176A87"/>
          <w:sz w:val="15"/>
          <w:szCs w:val="15"/>
        </w:rPr>
        <w:t xml:space="preserve">   Prospective cohort</w:t>
      </w:r>
      <w:r>
        <w:rPr>
          <w:color w:val="5A6069"/>
          <w:sz w:val="15"/>
          <w:szCs w:val="15"/>
        </w:rPr>
        <w:t xml:space="preserve">   PMID 16926567</w:t>
      </w:r>
    </w:p>
    <w:p>
      <w:pPr>
        <w:spacing w:after="50" w:line="276"/>
      </w:pPr>
      <w:r>
        <w:rPr>
          <w:color w:val="5A6069"/>
          <w:sz w:val="17"/>
          <w:szCs w:val="17"/>
        </w:rPr>
        <w:t xml:space="preserve">Surgery increases survival in patients with gastrinoma.</w:t>
      </w:r>
    </w:p>
    <w:p>
      <w:pPr>
        <w:spacing w:after="50"/>
      </w:pPr>
      <w:r>
        <w:rPr>
          <w:b/>
          <w:bCs/>
          <w:color w:val="176A87"/>
          <w:sz w:val="16"/>
          <w:szCs w:val="16"/>
        </w:rPr>
        <w:t xml:space="preserve">Population. </w:t>
      </w:r>
      <w:r>
        <w:rPr>
          <w:sz w:val="16"/>
          <w:szCs w:val="16"/>
        </w:rPr>
        <w:t xml:space="preserve">195 ZES patients: 160 who underwent surgical exploration and 35 who did not</w:t>
      </w:r>
    </w:p>
    <w:p>
      <w:pPr>
        <w:spacing w:after="70"/>
      </w:pPr>
      <w:r>
        <w:rPr>
          <w:b/>
          <w:bCs/>
          <w:color w:val="17365D"/>
          <w:sz w:val="16"/>
          <w:szCs w:val="16"/>
        </w:rPr>
        <w:t xml:space="preserve">Bottom line. </w:t>
      </w:r>
      <w:r>
        <w:rPr>
          <w:sz w:val="16"/>
          <w:szCs w:val="16"/>
        </w:rPr>
        <w:t xml:space="preserve">Over a mean 12 years of follow-up, routine exploration for gastrinoma was associated with far fewer liver metastases and a 15-year disease-related survival of 98% versus 74% without surgery, but the comparison is non-randomised with 35 self-selected controls, 2 disease-related deaths in the surgical arm, and no bearing on non-functioning pancreatic NET.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study is not randomised; this is the authors' stated principal limitation</w:t>
            </w:r>
          </w:p>
          <w:p>
            <w:pPr>
              <w:pStyle w:val="ListParagraph"/>
              <w:numPr>
                <w:ilvl w:val="0"/>
                <w:numId w:val="2"/>
              </w:numPr>
              <w:spacing w:after="45"/>
            </w:pPr>
            <w:r>
              <w:rPr>
                <w:sz w:val="15"/>
                <w:szCs w:val="15"/>
              </w:rPr>
              <w:t xml:space="preserve">The 35 non-surgical patients did not have surgery for a mixture of reasons - refusal after discussion with the referring physician in 55%, concurrent illness, inability to consent, and the MEN1 size rule</w:t>
            </w:r>
          </w:p>
          <w:p>
            <w:pPr>
              <w:pStyle w:val="ListParagraph"/>
              <w:numPr>
                <w:ilvl w:val="0"/>
                <w:numId w:val="2"/>
              </w:numPr>
              <w:spacing w:after="45"/>
            </w:pPr>
            <w:r>
              <w:rPr>
                <w:sz w:val="15"/>
                <w:szCs w:val="15"/>
              </w:rPr>
              <w:t xml:space="preserve">The authors defend comparability by showing no significant difference in any clinical, laboratory or imaging parameter, including the factors previously shown to predict aggressive disease (sex, MEN1 status, disease duration, fasting gastrin, imaging results), and no difference in follow-up duration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a gastrinoma study and almost all primaries were duodenal or nodal; it bears on functioning duodenopancreatic NET and not at all on incidental non-functioning pancreatic NET, yet it is the usual citation for the proposition that surgery prolongs survival in pancreatic NET</w:t>
            </w:r>
          </w:p>
          <w:p>
            <w:pPr>
              <w:pStyle w:val="ListParagraph"/>
              <w:numPr>
                <w:ilvl w:val="0"/>
                <w:numId w:val="2"/>
              </w:numPr>
              <w:spacing w:after="45"/>
            </w:pPr>
            <w:r>
              <w:rPr>
                <w:sz w:val="15"/>
                <w:szCs w:val="15"/>
              </w:rPr>
              <w:t xml:space="preserve">Thirty-five controls, of whom 10 were excluded from surgery by the MEN1 size rule and 5 by comorbidity, cannot be assumed exchangeable with 160 operated patients however many baseline variables match; refusing surgery after consulting one's own doctor is itself a marker of health behaviour, health literacy and access</w:t>
            </w:r>
          </w:p>
          <w:p>
            <w:pPr>
              <w:pStyle w:val="ListParagraph"/>
              <w:numPr>
                <w:ilvl w:val="0"/>
                <w:numId w:val="2"/>
              </w:numPr>
              <w:spacing w:after="45"/>
            </w:pPr>
            <w:r>
              <w:rPr>
                <w:sz w:val="15"/>
                <w:szCs w:val="15"/>
              </w:rPr>
              <w:t xml:space="preserve">Disease-related death in the surgical arm is 2 events, so the 23-fold difference and the 98% figure rest on single digits with no confidence interval reported for the ratio</w:t>
            </w:r>
          </w:p>
          <w:p>
            <w:pPr>
              <w:pStyle w:val="ListParagraph"/>
              <w:numPr>
                <w:ilvl w:val="0"/>
                <w:numId w:val="2"/>
              </w:numPr>
              <w:spacing w:after="45"/>
            </w:pPr>
            <w:r>
              <w:rPr>
                <w:sz w:val="15"/>
                <w:szCs w:val="15"/>
              </w:rPr>
              <w:t xml:space="preserve">Non-disease-related mortality was numerically higher in the controls (31% vs 20%), which is the expected signature of a sicker comparison group and undercuts the claim that the arms differed only in disease-specific risk; this is reported as non-significant rather than interpreted</w:t>
            </w:r>
          </w:p>
          <w:p>
            <w:pPr>
              <w:pStyle w:val="ListParagraph"/>
              <w:numPr>
                <w:ilvl w:val="0"/>
                <w:numId w:val="2"/>
              </w:numPr>
              <w:spacing w:after="45"/>
            </w:pPr>
            <w:r>
              <w:rPr>
                <w:sz w:val="15"/>
                <w:szCs w:val="15"/>
              </w:rPr>
              <w:t xml:space="preserve">Cause of death was adjudicated by the treating and operating investigators without blinding, in a study whose central endpoint is cause-specific</w:t>
            </w:r>
          </w:p>
          <w:p>
            <w:pPr>
              <w:pStyle w:val="ListParagraph"/>
              <w:numPr>
                <w:ilvl w:val="0"/>
                <w:numId w:val="2"/>
              </w:numPr>
              <w:spacing w:after="45"/>
            </w:pPr>
            <w:r>
              <w:rPr>
                <w:sz w:val="15"/>
                <w:szCs w:val="15"/>
              </w:rPr>
              <w:t xml:space="preserve">Controls were imaged every 6-12 months whereas operated patients were evaluated yearly, and controls less often had functional localisation studies, so ascertainment of liver metastases differed by arm in both direction and intensity</w:t>
            </w:r>
          </w:p>
          <w:p>
            <w:pPr>
              <w:pStyle w:val="ListParagraph"/>
              <w:numPr>
                <w:ilvl w:val="0"/>
                <w:numId w:val="2"/>
              </w:numPr>
              <w:spacing w:after="45"/>
            </w:pPr>
            <w:r>
              <w:rPr>
                <w:sz w:val="15"/>
                <w:szCs w:val="15"/>
              </w:rPr>
              <w:t xml:space="preserve">Accrual spans 1980 to the mid-2000s across three institutions while the operation itself changed mid-study - routine duodenotomy and intraoperative endoscopic transillumination from 1987, somatostatin receptor scintigraphy from 1994 - and all 10 patients in whom no tumour was found were operated before duodenotomy, so the arms are not method-contemporaneous</w:t>
            </w:r>
          </w:p>
          <w:p>
            <w:pPr>
              <w:pStyle w:val="ListParagraph"/>
              <w:numPr>
                <w:ilvl w:val="0"/>
                <w:numId w:val="2"/>
              </w:numPr>
              <w:spacing w:after="45"/>
            </w:pPr>
            <w:r>
              <w:rPr>
                <w:sz w:val="15"/>
                <w:szCs w:val="15"/>
              </w:rPr>
              <w:t xml:space="preserve">With 20-31% non-disease mortality over two decades, competing risk is substantial and no competing-risk analysis was performed; Kaplan-Meier censoring inflates the disease-specific separation</w:t>
            </w:r>
          </w:p>
        </w:tc>
      </w:tr>
    </w:tbl>
    <w:p>
      <w:pPr>
        <w:keepNext/>
        <w:spacing w:after="50" w:before="260"/>
      </w:pPr>
      <w:r>
        <w:rPr>
          <w:rFonts w:ascii="Cambria" w:cs="Cambria" w:eastAsia="Cambria" w:hAnsi="Cambria"/>
          <w:b/>
          <w:bCs/>
          <w:color w:val="17365D"/>
          <w:sz w:val="20"/>
          <w:szCs w:val="20"/>
        </w:rPr>
        <w:t xml:space="preserve">PANDORA</w:t>
      </w:r>
      <w:r>
        <w:rPr>
          <w:b/>
          <w:bCs/>
          <w:color w:val="176A87"/>
          <w:sz w:val="15"/>
          <w:szCs w:val="15"/>
        </w:rPr>
        <w:t xml:space="preserve">   Prospective cohort</w:t>
      </w:r>
      <w:r>
        <w:rPr>
          <w:color w:val="5A6069"/>
          <w:sz w:val="15"/>
          <w:szCs w:val="15"/>
        </w:rPr>
        <w:t xml:space="preserve">   PMID 33783475</w:t>
      </w:r>
    </w:p>
    <w:p>
      <w:pPr>
        <w:spacing w:after="50" w:line="276"/>
      </w:pPr>
      <w:r>
        <w:rPr>
          <w:color w:val="5A6069"/>
          <w:sz w:val="17"/>
          <w:szCs w:val="17"/>
        </w:rPr>
        <w:t xml:space="preserve">Watchful waiting for small non-functional pancreatic neuroendocrine tumours: nationwide prospective cohort study (PANDORA).</w:t>
      </w:r>
    </w:p>
    <w:p>
      <w:pPr>
        <w:spacing w:after="50"/>
      </w:pPr>
      <w:r>
        <w:rPr>
          <w:b/>
          <w:bCs/>
          <w:color w:val="176A87"/>
          <w:sz w:val="16"/>
          <w:szCs w:val="16"/>
        </w:rPr>
        <w:t xml:space="preserve">Population. </w:t>
      </w:r>
      <w:r>
        <w:rPr>
          <w:sz w:val="16"/>
          <w:szCs w:val="16"/>
        </w:rPr>
        <w:t xml:space="preserve">76 patients with a non-functional pancreatic NET of 2 cm or less</w:t>
      </w:r>
    </w:p>
    <w:p>
      <w:pPr>
        <w:spacing w:after="70"/>
      </w:pPr>
      <w:r>
        <w:rPr>
          <w:b/>
          <w:bCs/>
          <w:color w:val="17365D"/>
          <w:sz w:val="16"/>
          <w:szCs w:val="16"/>
        </w:rPr>
        <w:t xml:space="preserve">Bottom line. </w:t>
      </w:r>
      <w:r>
        <w:rPr>
          <w:sz w:val="16"/>
          <w:szCs w:val="16"/>
        </w:rPr>
        <w:t xml:space="preserve">A nationwide prospective surveillance protocol for sub-2 cm non-functional pancreatic NET was implemented with no disease-related death at a median 17 months, but with 76 patients, poor protocol adherence, six of eight progressing patients refusing the mandated operation, and one occult nodal plus peritoneal metastasis at 2.0 cm, this interim analysis establishes feasibility and nothing about oncological safety.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 potential pitfall of wait-and-see is late detection of disease spread, as happened in the patient found to have peritoneal metastases at operation; the sensitivity of CT, MRI and DOTATATE PET-CT for small peritoneal deposits is known to be low</w:t>
            </w:r>
          </w:p>
          <w:p>
            <w:pPr>
              <w:pStyle w:val="ListParagraph"/>
              <w:numPr>
                <w:ilvl w:val="0"/>
                <w:numId w:val="2"/>
              </w:numPr>
              <w:spacing w:after="45"/>
            </w:pPr>
            <w:r>
              <w:rPr>
                <w:sz w:val="15"/>
                <w:szCs w:val="15"/>
              </w:rPr>
              <w:t xml:space="preserve">To truly evaluate the oncological safety of watchful waiting, longer follow-up is necessary; only short-term findings are reported</w:t>
            </w:r>
          </w:p>
          <w:p>
            <w:pPr>
              <w:pStyle w:val="ListParagraph"/>
              <w:numPr>
                <w:ilvl w:val="0"/>
                <w:numId w:val="2"/>
              </w:numPr>
              <w:spacing w:after="45"/>
            </w:pPr>
            <w:r>
              <w:rPr>
                <w:sz w:val="15"/>
                <w:szCs w:val="15"/>
              </w:rPr>
              <w:t xml:space="preserve">As is common in investigator-driven multicentre studies, not all centres adhered to the follow-up protocol; EUS was considered burdensome and was frequently rejected by patients and physicians, prompting the study group to reduce the EUS requirement</w:t>
            </w:r>
          </w:p>
          <w:p>
            <w:pPr>
              <w:pStyle w:val="ListParagraph"/>
              <w:numPr>
                <w:ilvl w:val="0"/>
                <w:numId w:val="2"/>
              </w:numPr>
              <w:spacing w:after="45"/>
            </w:pPr>
            <w:r>
              <w:rPr>
                <w:sz w:val="15"/>
                <w:szCs w:val="15"/>
              </w:rPr>
              <w:t xml:space="preserve">The quality-of-life results are too premature to draw conclusions about the reason for the difference from the reference population</w:t>
            </w:r>
          </w:p>
          <w:p>
            <w:pPr>
              <w:pStyle w:val="ListParagraph"/>
              <w:numPr>
                <w:ilvl w:val="0"/>
                <w:numId w:val="2"/>
              </w:numPr>
              <w:spacing w:after="45"/>
            </w:pPr>
            <w:r>
              <w:rPr>
                <w:sz w:val="15"/>
                <w:szCs w:val="15"/>
              </w:rPr>
              <w:t xml:space="preserve">Patients with malignant tumour features were excluded from the study, which the authors note when interpreting the favourable course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Seventy-six patients followed for a median of 17 months cannot support any statement about the safety of surveillance, yet the paper is routinely cited as the prospective evidence underwriting the 2 cm threshold; the resected series it is set against report recurrences at 4-7 years</w:t>
            </w:r>
          </w:p>
          <w:p>
            <w:pPr>
              <w:pStyle w:val="ListParagraph"/>
              <w:numPr>
                <w:ilvl w:val="0"/>
                <w:numId w:val="2"/>
              </w:numPr>
              <w:spacing w:after="45"/>
            </w:pPr>
            <w:r>
              <w:rPr>
                <w:sz w:val="15"/>
                <w:szCs w:val="15"/>
              </w:rPr>
              <w:t xml:space="preserve">This is an interim analysis of a single-arm cohort with no comparison group, no pre-specified non-inferiority margin and no stopping rule, so 'safe and feasible' rests entirely on absence of events in a sample too small and too briefly observed to generate them</w:t>
            </w:r>
          </w:p>
          <w:p>
            <w:pPr>
              <w:pStyle w:val="ListParagraph"/>
              <w:numPr>
                <w:ilvl w:val="0"/>
                <w:numId w:val="2"/>
              </w:numPr>
              <w:spacing w:after="45"/>
            </w:pPr>
            <w:r>
              <w:rPr>
                <w:sz w:val="15"/>
                <w:szCs w:val="15"/>
              </w:rPr>
              <w:t xml:space="preserve">The one genuinely informative event cuts against the conclusion: occult nodal and peritoneal disease in a tumour that was 2.0 cm on pathology is a 1 in 76 rate of under-staged malignancy at the top of the eligible size band, discovered only because the patient was operated</w:t>
            </w:r>
          </w:p>
          <w:p>
            <w:pPr>
              <w:pStyle w:val="ListParagraph"/>
              <w:numPr>
                <w:ilvl w:val="0"/>
                <w:numId w:val="2"/>
              </w:numPr>
              <w:spacing w:after="45"/>
            </w:pPr>
            <w:r>
              <w:rPr>
                <w:sz w:val="15"/>
                <w:szCs w:val="15"/>
              </w:rPr>
              <w:t xml:space="preserve">Six of the eight patients who met the protocol's own criterion for resection declined it, so the cohort's benign course reflects patient choice rather than the protocol being tested, and the protocol was in effect not evaluated</w:t>
            </w:r>
          </w:p>
          <w:p>
            <w:pPr>
              <w:pStyle w:val="ListParagraph"/>
              <w:numPr>
                <w:ilvl w:val="0"/>
                <w:numId w:val="2"/>
              </w:numPr>
              <w:spacing w:after="45"/>
            </w:pPr>
            <w:r>
              <w:rPr>
                <w:sz w:val="15"/>
                <w:szCs w:val="15"/>
              </w:rPr>
              <w:t xml:space="preserve">A quarter of patients were enrolled on a single imaging modality against a protocol requiring two, and 28-33% missed scheduled scans, so progression could have been missed rather than absent; one resected lesion was not a neuroendocrine tumour at all, which also means some surveilled lesions may not be</w:t>
            </w:r>
          </w:p>
          <w:p>
            <w:pPr>
              <w:pStyle w:val="ListParagraph"/>
              <w:numPr>
                <w:ilvl w:val="0"/>
                <w:numId w:val="2"/>
              </w:numPr>
              <w:spacing w:after="45"/>
            </w:pPr>
            <w:r>
              <w:rPr>
                <w:sz w:val="15"/>
                <w:szCs w:val="15"/>
              </w:rPr>
              <w:t xml:space="preserve">Eligibility excluded anyone whose lesion already looked malignant - exactly the population whose risk determines whether waiting is safe - so the study measures the natural history of lesions pre-selected as indolent</w:t>
            </w:r>
          </w:p>
          <w:p>
            <w:pPr>
              <w:pStyle w:val="ListParagraph"/>
              <w:numPr>
                <w:ilvl w:val="0"/>
                <w:numId w:val="2"/>
              </w:numPr>
              <w:spacing w:after="45"/>
            </w:pPr>
            <w:r>
              <w:rPr>
                <w:sz w:val="15"/>
                <w:szCs w:val="15"/>
              </w:rPr>
              <w:t xml:space="preserve">The quality-of-life signal, that patients enter surveillance with worse emotional functioning and insomnia than the general population, is the one patient-centred finding here and is dismissed as premature rather than pursued</w:t>
            </w:r>
          </w:p>
          <w:p>
            <w:pPr>
              <w:pStyle w:val="ListParagraph"/>
              <w:numPr>
                <w:ilvl w:val="0"/>
                <w:numId w:val="2"/>
              </w:numPr>
              <w:spacing w:after="45"/>
            </w:pPr>
            <w:r>
              <w:rPr>
                <w:sz w:val="15"/>
                <w:szCs w:val="15"/>
              </w:rPr>
              <w:t xml:space="preserve">Growth of 0.5 cm/year is used as the progression threshold without any evidence that it corresponds to biological risk, and two patients crossed 2.0 cm while their mean final size was 1.2 cm, so the threshold is detecting measurement variation as much as growth</w:t>
            </w:r>
          </w:p>
        </w:tc>
      </w:tr>
    </w:tbl>
    <w:p>
      <w:pPr>
        <w:keepNext/>
        <w:spacing w:after="50" w:before="260"/>
      </w:pPr>
      <w:r>
        <w:rPr>
          <w:rFonts w:ascii="Cambria" w:cs="Cambria" w:eastAsia="Cambria" w:hAnsi="Cambria"/>
          <w:b/>
          <w:bCs/>
          <w:color w:val="17365D"/>
          <w:sz w:val="20"/>
          <w:szCs w:val="20"/>
        </w:rPr>
        <w:t xml:space="preserve">Sadot 2016</w:t>
      </w:r>
      <w:r>
        <w:rPr>
          <w:b/>
          <w:bCs/>
          <w:color w:val="176A87"/>
          <w:sz w:val="15"/>
          <w:szCs w:val="15"/>
        </w:rPr>
        <w:t xml:space="preserve">   Retrospective cohort</w:t>
      </w:r>
      <w:r>
        <w:rPr>
          <w:color w:val="5A6069"/>
          <w:sz w:val="15"/>
          <w:szCs w:val="15"/>
        </w:rPr>
        <w:t xml:space="preserve">   PMID 26597365</w:t>
      </w:r>
    </w:p>
    <w:p>
      <w:pPr>
        <w:spacing w:after="50" w:line="276"/>
      </w:pPr>
      <w:r>
        <w:rPr>
          <w:color w:val="5A6069"/>
          <w:sz w:val="17"/>
          <w:szCs w:val="17"/>
        </w:rPr>
        <w:t xml:space="preserve">Observation versus resection for small asymptomatic pancreatic neuroendocrine tumors: a matched case-control study.</w:t>
      </w:r>
    </w:p>
    <w:p>
      <w:pPr>
        <w:spacing w:after="50"/>
      </w:pPr>
      <w:r>
        <w:rPr>
          <w:b/>
          <w:bCs/>
          <w:color w:val="176A87"/>
          <w:sz w:val="16"/>
          <w:szCs w:val="16"/>
        </w:rPr>
        <w:t xml:space="preserve">Population. </w:t>
      </w:r>
      <w:r>
        <w:rPr>
          <w:sz w:val="16"/>
          <w:szCs w:val="16"/>
        </w:rPr>
        <w:t xml:space="preserve">464 stage I-II PanNET reviewed; 104 in the observation group vs 77 size-matched resection controls (181 analysed)</w:t>
      </w:r>
    </w:p>
    <w:p>
      <w:pPr>
        <w:spacing w:after="70"/>
      </w:pPr>
      <w:r>
        <w:rPr>
          <w:b/>
          <w:bCs/>
          <w:color w:val="17365D"/>
          <w:sz w:val="16"/>
          <w:szCs w:val="16"/>
        </w:rPr>
        <w:t xml:space="preserve">Bottom line. </w:t>
      </w:r>
      <w:r>
        <w:rPr>
          <w:sz w:val="16"/>
          <w:szCs w:val="16"/>
        </w:rPr>
        <w:t xml:space="preserve">In carefully selected patients with sporadic, asymptomatic, mostly sub-centimetre PanNET at one tertiary centre, initial observation produced no metastases over a median 44 months, but the cohort was under 3 cm rather than under 2 cm, a quarter crossed over to surgery, the unoperated patients were followed only 33 months, and the survival comparison favours observation only because the two arms cannot experience the same events.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design</w:t>
            </w:r>
          </w:p>
          <w:p>
            <w:pPr>
              <w:pStyle w:val="ListParagraph"/>
              <w:numPr>
                <w:ilvl w:val="0"/>
                <w:numId w:val="2"/>
              </w:numPr>
              <w:spacing w:after="45"/>
            </w:pPr>
            <w:r>
              <w:rPr>
                <w:sz w:val="15"/>
                <w:szCs w:val="15"/>
              </w:rPr>
              <w:t xml:space="preserve">Relatively short follow-up of the observation group, which is why the authors stress that observation must be paired with a low threshold for intervention if aggressive features such as growth or nodal involvement appear</w:t>
            </w:r>
          </w:p>
          <w:p>
            <w:pPr>
              <w:pStyle w:val="ListParagraph"/>
              <w:numPr>
                <w:ilvl w:val="0"/>
                <w:numId w:val="2"/>
              </w:numPr>
              <w:spacing w:after="45"/>
            </w:pPr>
            <w:r>
              <w:rPr>
                <w:sz w:val="15"/>
                <w:szCs w:val="15"/>
              </w:rPr>
              <w:t xml:space="preserve">The question should ideally be answered by a prospective randomised study, which the authors judge unlikely to be accomplished given the rarity and indolence of the disease</w:t>
            </w:r>
          </w:p>
          <w:p>
            <w:pPr>
              <w:pStyle w:val="ListParagraph"/>
              <w:numPr>
                <w:ilvl w:val="0"/>
                <w:numId w:val="2"/>
              </w:numPr>
              <w:spacing w:after="45"/>
            </w:pPr>
            <w:r>
              <w:rPr>
                <w:sz w:val="15"/>
                <w:szCs w:val="15"/>
              </w:rPr>
              <w:t xml:space="preserve">Population-based data reaching the opposite conclusion are hard to interpret because registries lack familial status, growth characteristics, intent of surgery, margin status, comorbidity, performance status and consistent grading</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inclusion band is under 3 cm, not 2 cm, yet this is a foundational citation for a 2 cm threshold; in fact the median lesion was 1.2-1.4 cm and 87% were T1, so the paper's evidence concerns tumours around 1 cm and is silent about the 2-3 cm range it nominally covers</w:t>
            </w:r>
          </w:p>
          <w:p>
            <w:pPr>
              <w:pStyle w:val="ListParagraph"/>
              <w:numPr>
                <w:ilvl w:val="0"/>
                <w:numId w:val="2"/>
              </w:numPr>
              <w:spacing w:after="45"/>
            </w:pPr>
            <w:r>
              <w:rPr>
                <w:sz w:val="15"/>
                <w:szCs w:val="15"/>
              </w:rPr>
              <w:t xml:space="preserve">Matching was on initial tumour size alone, deliberately leaving age, comorbidity, performance status and the surgeon's impression unbalanced; the observation arm was significantly older, so the two groups differ on the one variable most likely to determine who was offered an operation</w:t>
            </w:r>
          </w:p>
          <w:p>
            <w:pPr>
              <w:pStyle w:val="ListParagraph"/>
              <w:numPr>
                <w:ilvl w:val="0"/>
                <w:numId w:val="2"/>
              </w:numPr>
              <w:spacing w:after="45"/>
            </w:pPr>
            <w:r>
              <w:rPr>
                <w:sz w:val="15"/>
                <w:szCs w:val="15"/>
              </w:rPr>
              <w:t xml:space="preserve">The significant metastasis-free survival advantage for observation (99% vs 88%, p = 0.01) is an artefact of the endpoint rather than a finding: a resected patient can be recorded as recurring while an unresected patient with stable imaging cannot, so the two arms are not at risk of the same events; the authors report the direction of this implausible result without flagging it</w:t>
            </w:r>
          </w:p>
          <w:p>
            <w:pPr>
              <w:pStyle w:val="ListParagraph"/>
              <w:numPr>
                <w:ilvl w:val="0"/>
                <w:numId w:val="2"/>
              </w:numPr>
              <w:spacing w:after="45"/>
            </w:pPr>
            <w:r>
              <w:rPr>
                <w:sz w:val="15"/>
                <w:szCs w:val="15"/>
              </w:rPr>
              <w:t xml:space="preserve">A quarter of the observation arm had an operation and remain in that arm by intention to treat, so part of the arm's clean oncological record was purchased with the very surgery the paper argues can be avoided</w:t>
            </w:r>
          </w:p>
          <w:p>
            <w:pPr>
              <w:pStyle w:val="ListParagraph"/>
              <w:numPr>
                <w:ilvl w:val="0"/>
                <w:numId w:val="2"/>
              </w:numPr>
              <w:spacing w:after="45"/>
            </w:pPr>
            <w:r>
              <w:rPr>
                <w:sz w:val="15"/>
                <w:szCs w:val="15"/>
              </w:rPr>
              <w:t xml:space="preserve">The patients who were genuinely never operated were followed a median of 33 months, while the recurrences in the resected arm appeared at a median of 5.1 years - the observation arm was not watched long enough to experience the event the paper reports as absent</w:t>
            </w:r>
          </w:p>
          <w:p>
            <w:pPr>
              <w:pStyle w:val="ListParagraph"/>
              <w:numPr>
                <w:ilvl w:val="0"/>
                <w:numId w:val="2"/>
              </w:numPr>
              <w:spacing w:after="45"/>
            </w:pPr>
            <w:r>
              <w:rPr>
                <w:sz w:val="15"/>
                <w:szCs w:val="15"/>
              </w:rPr>
              <w:t xml:space="preserve">35% of the observation group never had tissue, so some lesions may not have been PanNET at all; those patients contribute to the 'no progression' numerator and denominator alike</w:t>
            </w:r>
          </w:p>
          <w:p>
            <w:pPr>
              <w:pStyle w:val="ListParagraph"/>
              <w:numPr>
                <w:ilvl w:val="0"/>
                <w:numId w:val="2"/>
              </w:numPr>
              <w:spacing w:after="45"/>
            </w:pPr>
            <w:r>
              <w:rPr>
                <w:sz w:val="15"/>
                <w:szCs w:val="15"/>
              </w:rPr>
              <w:t xml:space="preserve">Competing risk is material (6% died of other causes, median age 63) but is not modelled; Kaplan-Meier treats non-disease death as censoring and so overstates the chance of ever seeing a disease event</w:t>
            </w:r>
          </w:p>
          <w:p>
            <w:pPr>
              <w:pStyle w:val="ListParagraph"/>
              <w:numPr>
                <w:ilvl w:val="0"/>
                <w:numId w:val="2"/>
              </w:numPr>
              <w:spacing w:after="45"/>
            </w:pPr>
            <w:r>
              <w:rPr>
                <w:sz w:val="15"/>
                <w:szCs w:val="15"/>
              </w:rPr>
              <w:t xml:space="preserve">Fifty-one percent of observed tumours did grow, a fact visible only in a figure legend and submerged beneath an unchanged median size</w:t>
            </w:r>
          </w:p>
          <w:p>
            <w:pPr>
              <w:pStyle w:val="ListParagraph"/>
              <w:numPr>
                <w:ilvl w:val="0"/>
                <w:numId w:val="2"/>
              </w:numPr>
              <w:spacing w:after="45"/>
            </w:pPr>
            <w:r>
              <w:rPr>
                <w:sz w:val="15"/>
                <w:szCs w:val="15"/>
              </w:rPr>
              <w:t xml:space="preserve">Single tertiary referral centre with its own selection filter at the front door, and no accounting for the patients in the original 464 who were neither observed nor matched</w:t>
            </w:r>
          </w:p>
        </w:tc>
      </w:tr>
    </w:tbl>
    <w:p>
      <w:pPr>
        <w:spacing w:after="0" w:line="276"/>
      </w:pPr>
      <w:r>
        <w:rPr>
          <w:color w:val="5A6069"/>
          <w:sz w:val="14"/>
          <w:szCs w:val="14"/>
        </w:rPr>
        <w:t xml:space="preserve">Funding: Funded in part by NIH/NCI Cancer Center Support Grant P30 CA008748 and R21-CA158267; all authors declared no conflict of interest.</w:t>
      </w:r>
    </w:p>
    <w:p>
      <w:pPr>
        <w:keepNext/>
        <w:spacing w:after="50" w:before="260"/>
      </w:pPr>
      <w:r>
        <w:rPr>
          <w:rFonts w:ascii="Cambria" w:cs="Cambria" w:eastAsia="Cambria" w:hAnsi="Cambria"/>
          <w:b/>
          <w:bCs/>
          <w:color w:val="17365D"/>
          <w:sz w:val="20"/>
          <w:szCs w:val="20"/>
        </w:rPr>
        <w:t xml:space="preserve">Sadowski 2016</w:t>
      </w:r>
      <w:r>
        <w:rPr>
          <w:b/>
          <w:bCs/>
          <w:color w:val="176A87"/>
          <w:sz w:val="15"/>
          <w:szCs w:val="15"/>
        </w:rPr>
        <w:t xml:space="preserve">   Prospective cohort</w:t>
      </w:r>
      <w:r>
        <w:rPr>
          <w:color w:val="5A6069"/>
          <w:sz w:val="15"/>
          <w:szCs w:val="15"/>
        </w:rPr>
        <w:t xml:space="preserve">   PMID 26712231</w:t>
      </w:r>
    </w:p>
    <w:p>
      <w:pPr>
        <w:spacing w:after="50" w:line="276"/>
      </w:pPr>
      <w:r>
        <w:rPr>
          <w:color w:val="5A6069"/>
          <w:sz w:val="17"/>
          <w:szCs w:val="17"/>
        </w:rPr>
        <w:t xml:space="preserve">Prospective study of 68Ga-DOTATATE positron emission tomography/computed tomography for detecting gastro-entero-pancreatic neuroendocrine tumors and unknown primary sites.</w:t>
      </w:r>
    </w:p>
    <w:p>
      <w:pPr>
        <w:spacing w:after="50"/>
      </w:pPr>
      <w:r>
        <w:rPr>
          <w:b/>
          <w:bCs/>
          <w:color w:val="176A87"/>
          <w:sz w:val="16"/>
          <w:szCs w:val="16"/>
        </w:rPr>
        <w:t xml:space="preserve">Population. </w:t>
      </w:r>
      <w:r>
        <w:rPr>
          <w:sz w:val="16"/>
          <w:szCs w:val="16"/>
        </w:rPr>
        <w:t xml:space="preserve">131 patients; 891 lesions in the imaging denominator; 25 patients operated, giving 113 histologically confirmed lesions</w:t>
      </w:r>
    </w:p>
    <w:p>
      <w:pPr>
        <w:spacing w:after="70"/>
      </w:pPr>
      <w:r>
        <w:rPr>
          <w:b/>
          <w:bCs/>
          <w:color w:val="17365D"/>
          <w:sz w:val="16"/>
          <w:szCs w:val="16"/>
        </w:rPr>
        <w:t xml:space="preserve">Bottom line. </w:t>
      </w:r>
      <w:r>
        <w:rPr>
          <w:sz w:val="16"/>
          <w:szCs w:val="16"/>
        </w:rPr>
        <w:t xml:space="preserve">68Ga-DOTATATE PET/CT finds far more GEP-NET lesions than 111In-pentetreotide SPECT/CT or cross-sectional imaging and often changes the plan, but the comparison is made against a reference standard built from the tests themselves, and the study offers no outcome data and almost no pancreas-specific or sporadic-disease evidence.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Histopathological proof was not available for every detected lesion, so false positives are possible even though high SUV and location make most lesions likely true</w:t>
            </w:r>
          </w:p>
          <w:p>
            <w:pPr>
              <w:pStyle w:val="ListParagraph"/>
              <w:numPr>
                <w:ilvl w:val="0"/>
                <w:numId w:val="2"/>
              </w:numPr>
              <w:spacing w:after="45"/>
            </w:pPr>
            <w:r>
              <w:rPr>
                <w:sz w:val="15"/>
                <w:szCs w:val="15"/>
              </w:rPr>
              <w:t xml:space="preserve">The design is not a randomised controlled trial and there are no follow-up data, so it cannot show that treatment chosen on DOTATATE findings improved long-term outcome</w:t>
            </w:r>
          </w:p>
          <w:p>
            <w:pPr>
              <w:pStyle w:val="ListParagraph"/>
              <w:numPr>
                <w:ilvl w:val="0"/>
                <w:numId w:val="2"/>
              </w:numPr>
              <w:spacing w:after="45"/>
            </w:pPr>
            <w:r>
              <w:rPr>
                <w:sz w:val="15"/>
                <w:szCs w:val="15"/>
              </w:rPr>
              <w:t xml:space="preserve">Lesion count is only an approximation of tumour burden, not a measurement of tumour mass</w:t>
            </w:r>
          </w:p>
          <w:p>
            <w:pPr>
              <w:pStyle w:val="ListParagraph"/>
              <w:numPr>
                <w:ilvl w:val="0"/>
                <w:numId w:val="2"/>
              </w:numPr>
              <w:spacing w:after="45"/>
            </w:pPr>
            <w:r>
              <w:rPr>
                <w:sz w:val="15"/>
                <w:szCs w:val="15"/>
              </w:rPr>
              <w:t xml:space="preserve">The imaging denominator is not a perfect gold standard and may itself contain false positives</w:t>
            </w:r>
          </w:p>
          <w:p>
            <w:pPr>
              <w:pStyle w:val="ListParagraph"/>
              <w:numPr>
                <w:ilvl w:val="0"/>
                <w:numId w:val="2"/>
              </w:numPr>
              <w:spacing w:after="45"/>
            </w:pPr>
            <w:r>
              <w:rPr>
                <w:sz w:val="15"/>
                <w:szCs w:val="15"/>
              </w:rPr>
              <w:t xml:space="preserve">18F-FDG PET was not performed in every patient although DOTATATE is known to be less avid in poorly differentiated NET</w:t>
            </w:r>
          </w:p>
          <w:p>
            <w:pPr>
              <w:pStyle w:val="ListParagraph"/>
              <w:numPr>
                <w:ilvl w:val="0"/>
                <w:numId w:val="2"/>
              </w:numPr>
              <w:spacing w:after="45"/>
            </w:pPr>
            <w:r>
              <w:rPr>
                <w:sz w:val="15"/>
                <w:szCs w:val="15"/>
              </w:rPr>
              <w:t xml:space="preserve">Adding a diagnostic contrast-enhanced CT might have improved the sensitivity and specificity of both SPECT/CT and PET/CT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'imaging denominator' is the union of lesions seen on any of the three tests, which structurally forces the most sensitive modality toward 100% and the others downward - a composite-reference incorporation bias that inflates the 95% vs 45% vs 31% headline</w:t>
            </w:r>
          </w:p>
          <w:p>
            <w:pPr>
              <w:pStyle w:val="ListParagraph"/>
              <w:numPr>
                <w:ilvl w:val="0"/>
                <w:numId w:val="2"/>
              </w:numPr>
              <w:spacing w:after="45"/>
            </w:pPr>
            <w:r>
              <w:rPr>
                <w:sz w:val="15"/>
                <w:szCs w:val="15"/>
              </w:rPr>
              <w:t xml:space="preserve">Only 25 of 131 patients (19%) had any histology, so the one analysis with an independent reference standard rests on a fifth of the cohort, and in it DOTATATE's per-lesion accuracy falls from 95% to 64%</w:t>
            </w:r>
          </w:p>
          <w:p>
            <w:pPr>
              <w:pStyle w:val="ListParagraph"/>
              <w:numPr>
                <w:ilvl w:val="0"/>
                <w:numId w:val="2"/>
              </w:numPr>
              <w:spacing w:after="45"/>
            </w:pPr>
            <w:r>
              <w:rPr>
                <w:sz w:val="15"/>
                <w:szCs w:val="15"/>
              </w:rPr>
              <w:t xml:space="preserve">The cohort is deliberately enriched for familial disease (MEN1 and VHL were an inclusion criterion; 14 of 25 operated patients were syndromic), so the detection figures do not transfer to a sporadic incidental pancreatic lesion</w:t>
            </w:r>
          </w:p>
          <w:p>
            <w:pPr>
              <w:pStyle w:val="ListParagraph"/>
              <w:numPr>
                <w:ilvl w:val="0"/>
                <w:numId w:val="2"/>
              </w:numPr>
              <w:spacing w:after="45"/>
            </w:pPr>
            <w:r>
              <w:rPr>
                <w:sz w:val="15"/>
                <w:szCs w:val="15"/>
              </w:rPr>
              <w:t xml:space="preserve">Pancreatic lesions are 12% of the lesion total; this is a GEP-NET and unknown-primary imaging study being cited in a pancreatic pathway</w:t>
            </w:r>
          </w:p>
          <w:p>
            <w:pPr>
              <w:pStyle w:val="ListParagraph"/>
              <w:numPr>
                <w:ilvl w:val="0"/>
                <w:numId w:val="2"/>
              </w:numPr>
              <w:spacing w:after="45"/>
            </w:pPr>
            <w:r>
              <w:rPr>
                <w:sz w:val="15"/>
                <w:szCs w:val="15"/>
              </w:rPr>
              <w:t xml:space="preserve">Reported pancreatic sensitivity of 95.5% sits uneasily with the well-documented physiological DOTATATE uptake in the pancreatic head and uncinate process, which the paper excludes for spleen and adrenals but not for pancreas</w:t>
            </w:r>
          </w:p>
          <w:p>
            <w:pPr>
              <w:pStyle w:val="ListParagraph"/>
              <w:numPr>
                <w:ilvl w:val="0"/>
                <w:numId w:val="2"/>
              </w:numPr>
              <w:spacing w:after="45"/>
            </w:pPr>
            <w:r>
              <w:rPr>
                <w:sz w:val="15"/>
                <w:szCs w:val="15"/>
              </w:rPr>
              <w:t xml:space="preserve">'Change in management' was adjudicated unblinded by the same multidisciplinary team that ordered the scans, is not a validated endpoint, and 32.8% is reported without any check that the changed decisions were correct</w:t>
            </w:r>
          </w:p>
          <w:p>
            <w:pPr>
              <w:pStyle w:val="ListParagraph"/>
              <w:numPr>
                <w:ilvl w:val="0"/>
                <w:numId w:val="2"/>
              </w:numPr>
              <w:spacing w:after="45"/>
            </w:pPr>
            <w:r>
              <w:rPr>
                <w:sz w:val="15"/>
                <w:szCs w:val="15"/>
              </w:rPr>
              <w:t xml:space="preserve">Single tertiary referral centre under an IND, with patients travelling to the NIH, so both the pretest probability and the quality of the comparator imaging differ from community practice</w:t>
            </w:r>
          </w:p>
        </w:tc>
      </w:tr>
    </w:tbl>
    <w:p>
      <w:pPr>
        <w:spacing w:after="0" w:line="276"/>
      </w:pPr>
      <w:r>
        <w:rPr>
          <w:color w:val="5A6069"/>
          <w:sz w:val="14"/>
          <w:szCs w:val="14"/>
        </w:rPr>
        <w:t xml:space="preserve">Funding: Intramural Research Programs of the Center for Cancer Research, National Cancer Institute, and the National Institute of Diabetes and Digestive and Kidney Diseases, NIH; all authors declared no relationships.</w:t>
      </w:r>
    </w:p>
    <w:p>
      <w:pPr>
        <w:keepNext/>
        <w:spacing w:after="50" w:before="260"/>
      </w:pPr>
      <w:r>
        <w:rPr>
          <w:rFonts w:ascii="Cambria" w:cs="Cambria" w:eastAsia="Cambria" w:hAnsi="Cambria"/>
          <w:b/>
          <w:bCs/>
          <w:color w:val="17365D"/>
          <w:sz w:val="20"/>
          <w:szCs w:val="20"/>
        </w:rPr>
        <w:t xml:space="preserve">Singh 2018 follow-up</w:t>
      </w:r>
      <w:r>
        <w:rPr>
          <w:b/>
          <w:bCs/>
          <w:color w:val="176A87"/>
          <w:sz w:val="15"/>
          <w:szCs w:val="15"/>
        </w:rPr>
        <w:t xml:space="preserve">   Consensus statement</w:t>
      </w:r>
      <w:r>
        <w:rPr>
          <w:color w:val="5A6069"/>
          <w:sz w:val="15"/>
          <w:szCs w:val="15"/>
        </w:rPr>
        <w:t xml:space="preserve">   PMID 30054622</w:t>
      </w:r>
    </w:p>
    <w:p>
      <w:pPr>
        <w:spacing w:after="50" w:line="276"/>
      </w:pPr>
      <w:r>
        <w:rPr>
          <w:color w:val="5A6069"/>
          <w:sz w:val="17"/>
          <w:szCs w:val="17"/>
        </w:rPr>
        <w:t xml:space="preserve">Follow-up recommendations for completely resected gastroenteropancreatic neuroendocrine tumors.</w:t>
      </w:r>
    </w:p>
    <w:p>
      <w:pPr>
        <w:spacing w:after="50"/>
      </w:pPr>
      <w:r>
        <w:rPr>
          <w:b/>
          <w:bCs/>
          <w:color w:val="176A87"/>
          <w:sz w:val="16"/>
          <w:szCs w:val="16"/>
        </w:rPr>
        <w:t xml:space="preserve">Population. </w:t>
      </w:r>
      <w:r>
        <w:rPr>
          <w:sz w:val="16"/>
          <w:szCs w:val="16"/>
        </w:rPr>
        <w:t xml:space="preserve">22-member expert panel scoring 193 clinical scenarios; evidence base of 6 studies (994 patients) plus unpublished cohorts of 936 and 129 patients; practice survey of 163 respondents</w:t>
      </w:r>
    </w:p>
    <w:p>
      <w:pPr>
        <w:spacing w:after="70"/>
      </w:pPr>
      <w:r>
        <w:rPr>
          <w:b/>
          <w:bCs/>
          <w:color w:val="17365D"/>
          <w:sz w:val="16"/>
          <w:szCs w:val="16"/>
        </w:rPr>
        <w:t xml:space="preserve">Bottom line. </w:t>
      </w:r>
      <w:r>
        <w:rPr>
          <w:sz w:val="16"/>
          <w:szCs w:val="16"/>
        </w:rPr>
        <w:t xml:space="preserve">A RAND/UCLA consensus that de-intensifies the first three years after resection of a gastroenteropancreatic NET, extends surveillance beyond ten years, abandons biomarkers and chest imaging, and exempts grade 1 node-negative pancreatic tumours under 2 cm from any follow-up - the last being expert opinion rather than evidence, in a cohort whose 10-year recurrence rate was 48.5%.</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RAND/UCLA Appropriateness Method carries potential bias in the selection and interaction of expert panel members, and panellist fatigue in addressing 193 detailed scenarios</w:t>
            </w:r>
          </w:p>
          <w:p>
            <w:pPr>
              <w:pStyle w:val="ListParagraph"/>
              <w:numPr>
                <w:ilvl w:val="0"/>
                <w:numId w:val="2"/>
              </w:numPr>
              <w:spacing w:after="45"/>
            </w:pPr>
            <w:r>
              <w:rPr>
                <w:sz w:val="15"/>
                <w:szCs w:val="15"/>
              </w:rPr>
              <w:t xml:space="preserve">The Ontario cohort has no data on WHO 2010 tumour grade (it spans 1994-2012), on ENETS or AJCC staging, or on margin status</w:t>
            </w:r>
          </w:p>
          <w:p>
            <w:pPr>
              <w:pStyle w:val="ListParagraph"/>
              <w:numPr>
                <w:ilvl w:val="0"/>
                <w:numId w:val="2"/>
              </w:numPr>
              <w:spacing w:after="45"/>
            </w:pPr>
            <w:r>
              <w:rPr>
                <w:sz w:val="15"/>
                <w:szCs w:val="15"/>
              </w:rPr>
              <w:t xml:space="preserve">As with all guidelines, clinical judgment and individual patient-centred factors and preferences must be taken into account when implementing the recommendations</w:t>
            </w:r>
          </w:p>
          <w:p>
            <w:pPr>
              <w:pStyle w:val="ListParagraph"/>
              <w:numPr>
                <w:ilvl w:val="0"/>
                <w:numId w:val="2"/>
              </w:numPr>
              <w:spacing w:after="45"/>
            </w:pPr>
            <w:r>
              <w:rPr>
                <w:sz w:val="15"/>
                <w:szCs w:val="15"/>
              </w:rPr>
              <w:t xml:space="preserve">Cost-effectiveness, resource use and patient preferences in the NET setting all deserve examination and were not addressed</w:t>
            </w:r>
          </w:p>
          <w:p>
            <w:pPr>
              <w:pStyle w:val="ListParagraph"/>
              <w:numPr>
                <w:ilvl w:val="0"/>
                <w:numId w:val="2"/>
              </w:numPr>
              <w:spacing w:after="45"/>
            </w:pPr>
            <w:r>
              <w:rPr>
                <w:sz w:val="15"/>
                <w:szCs w:val="15"/>
              </w:rPr>
              <w:t xml:space="preserve">The correlation between earlier detection and an overall survival benefit should ultimately determine follow-up recommendations, but this will be difficult to resolve in NETs given their low incidence, heterogeneity and extended natural history</w:t>
            </w:r>
          </w:p>
          <w:p>
            <w:pPr>
              <w:pStyle w:val="ListParagraph"/>
              <w:numPr>
                <w:ilvl w:val="0"/>
                <w:numId w:val="2"/>
              </w:numPr>
              <w:spacing w:after="45"/>
            </w:pPr>
            <w:r>
              <w:rPr>
                <w:sz w:val="15"/>
                <w:szCs w:val="15"/>
              </w:rPr>
              <w:t xml:space="preserve">No differences were recommended between R0 and R1 resections because no data on that distinction were available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two cohorts supplying the entire quantitative backbone were unpublished at the time of the consensus meeting, and the larger of them has no grade, stage or margin data - which are precisely the variables the resulting recommendations stratify on, so the panel stratified by factors its own evidence could not measure</w:t>
            </w:r>
          </w:p>
          <w:p>
            <w:pPr>
              <w:pStyle w:val="ListParagraph"/>
              <w:numPr>
                <w:ilvl w:val="0"/>
                <w:numId w:val="2"/>
              </w:numPr>
              <w:spacing w:after="45"/>
            </w:pPr>
            <w:r>
              <w:rPr>
                <w:sz w:val="15"/>
                <w:szCs w:val="15"/>
              </w:rPr>
              <w:t xml:space="preserve">The single most consequential statement, that grade 1 node-negative pancreatic tumours under 2 cm need no follow-up at all, is pure expert opinion at a 75% agreement threshold, in a dataset where cumulative recurrence reaches 48.5% at 10 years and median time to pancreatic recurrence is 7.2 years</w:t>
            </w:r>
          </w:p>
          <w:p>
            <w:pPr>
              <w:pStyle w:val="ListParagraph"/>
              <w:numPr>
                <w:ilvl w:val="0"/>
                <w:numId w:val="2"/>
              </w:numPr>
              <w:spacing w:after="45"/>
            </w:pPr>
            <w:r>
              <w:rPr>
                <w:sz w:val="15"/>
                <w:szCs w:val="15"/>
              </w:rPr>
              <w:t xml:space="preserve">Node-negative status in a small pancreatic tumour usually means few or no nodes were removed, so the exempted subgroup is partly defined by incomplete staging rather than by established absence of nodal disease - a circularity the paper does not address</w:t>
            </w:r>
          </w:p>
          <w:p>
            <w:pPr>
              <w:pStyle w:val="ListParagraph"/>
              <w:numPr>
                <w:ilvl w:val="0"/>
                <w:numId w:val="2"/>
              </w:numPr>
              <w:spacing w:after="45"/>
            </w:pPr>
            <w:r>
              <w:rPr>
                <w:sz w:val="15"/>
                <w:szCs w:val="15"/>
              </w:rPr>
              <w:t xml:space="preserve">The practice survey response rate was 15% (163 of 1068), and the clinicians who answered a survey about follow-up are plausibly those most invested in it, so the finding that existing guidelines are useless is itself subject to selection</w:t>
            </w:r>
          </w:p>
          <w:p>
            <w:pPr>
              <w:pStyle w:val="ListParagraph"/>
              <w:numPr>
                <w:ilvl w:val="0"/>
                <w:numId w:val="2"/>
              </w:numPr>
              <w:spacing w:after="45"/>
            </w:pPr>
            <w:r>
              <w:rPr>
                <w:sz w:val="15"/>
                <w:szCs w:val="15"/>
              </w:rPr>
              <w:t xml:space="preserve">Appropriateness was explicitly scored 'regardless of cost' while the discussion argues from resource allocation, radiation exposure and cost-effectiveness - the scoring instrument was blind to the consideration the conclusions invoke</w:t>
            </w:r>
          </w:p>
          <w:p>
            <w:pPr>
              <w:pStyle w:val="ListParagraph"/>
              <w:numPr>
                <w:ilvl w:val="0"/>
                <w:numId w:val="2"/>
              </w:numPr>
              <w:spacing w:after="45"/>
            </w:pPr>
            <w:r>
              <w:rPr>
                <w:sz w:val="15"/>
                <w:szCs w:val="15"/>
              </w:rPr>
              <w:t xml:space="preserve">The panel was drawn from the membership of the two societies issuing the guideline, and four of its own steering members wrote the 193 scenarios, so the questions and the answers come from the same group</w:t>
            </w:r>
          </w:p>
          <w:p>
            <w:pPr>
              <w:pStyle w:val="ListParagraph"/>
              <w:numPr>
                <w:ilvl w:val="0"/>
                <w:numId w:val="2"/>
              </w:numPr>
              <w:spacing w:after="45"/>
            </w:pPr>
            <w:r>
              <w:rPr>
                <w:sz w:val="15"/>
                <w:szCs w:val="15"/>
              </w:rPr>
              <w:t xml:space="preserve">Despite the 'patient-centered' framing, no patient-reported outcome, anxiety or preference data were collected or analysed; the single patient advocate's contribution is not separable from the panel vote</w:t>
            </w:r>
          </w:p>
          <w:p>
            <w:pPr>
              <w:pStyle w:val="ListParagraph"/>
              <w:numPr>
                <w:ilvl w:val="0"/>
                <w:numId w:val="2"/>
              </w:numPr>
              <w:spacing w:after="45"/>
            </w:pPr>
            <w:r>
              <w:rPr>
                <w:sz w:val="15"/>
                <w:szCs w:val="15"/>
              </w:rPr>
              <w:t xml:space="preserve">The recommendation against chromogranin A rests on one cited cohort of 100 resected ileal NETs, and the recommendation against chest imaging on an unquantified judgement that isolated pulmonary recurrence is rare</w:t>
            </w:r>
          </w:p>
          <w:p>
            <w:pPr>
              <w:pStyle w:val="ListParagraph"/>
              <w:numPr>
                <w:ilvl w:val="0"/>
                <w:numId w:val="2"/>
              </w:numPr>
              <w:spacing w:after="45"/>
            </w:pPr>
            <w:r>
              <w:rPr>
                <w:sz w:val="15"/>
                <w:szCs w:val="15"/>
              </w:rPr>
              <w:t xml:space="preserve">No consensus was reached on functional imaging, the fastest-moving part of the field, which leaves the schedule silent on the modality most likely to change it</w:t>
            </w:r>
          </w:p>
        </w:tc>
      </w:tr>
    </w:tbl>
    <w:p>
      <w:pPr>
        <w:spacing w:after="0" w:line="276"/>
      </w:pPr>
      <w:r>
        <w:rPr>
          <w:color w:val="5A6069"/>
          <w:sz w:val="14"/>
          <w:szCs w:val="14"/>
        </w:rPr>
        <w:t xml:space="preserve">Funding: Funded by the Commonwealth Neuroendocrine Tumour Collaboration (CommNETS), which provided administrative support but had no role in design, conduct, analysis or manuscript preparation; conflict of interest disclosures: none reported.</w:t>
      </w:r>
    </w:p>
    <w:p>
      <w:pPr>
        <w:keepNext/>
        <w:spacing w:after="50" w:before="260"/>
      </w:pPr>
      <w:r>
        <w:rPr>
          <w:rFonts w:ascii="Cambria" w:cs="Cambria" w:eastAsia="Cambria" w:hAnsi="Cambria"/>
          <w:b/>
          <w:bCs/>
          <w:color w:val="17365D"/>
          <w:sz w:val="20"/>
          <w:szCs w:val="20"/>
        </w:rPr>
        <w:t xml:space="preserve">SNMMI/EANM SSTR PET</w:t>
      </w:r>
      <w:r>
        <w:rPr>
          <w:b/>
          <w:bCs/>
          <w:color w:val="176A87"/>
          <w:sz w:val="15"/>
          <w:szCs w:val="15"/>
        </w:rPr>
        <w:t xml:space="preserve">   Guideline</w:t>
      </w:r>
      <w:r>
        <w:rPr>
          <w:color w:val="5A6069"/>
          <w:sz w:val="15"/>
          <w:szCs w:val="15"/>
        </w:rPr>
        <w:t xml:space="preserve">   PMID 36725249</w:t>
      </w:r>
    </w:p>
    <w:p>
      <w:pPr>
        <w:spacing w:after="50" w:line="276"/>
      </w:pPr>
      <w:r>
        <w:rPr>
          <w:color w:val="5A6069"/>
          <w:sz w:val="17"/>
          <w:szCs w:val="17"/>
        </w:rPr>
        <w:t xml:space="preserve">SNMMI procedure standard/EANM practice guideline for SSTR PET: imaging neuroendocrine tumors.</w:t>
      </w:r>
    </w:p>
    <w:p>
      <w:pPr>
        <w:spacing w:after="70"/>
      </w:pPr>
      <w:r>
        <w:rPr>
          <w:b/>
          <w:bCs/>
          <w:color w:val="17365D"/>
          <w:sz w:val="16"/>
          <w:szCs w:val="16"/>
        </w:rPr>
        <w:t xml:space="preserve">Bottom line. </w:t>
      </w:r>
      <w:r>
        <w:rPr>
          <w:sz w:val="16"/>
          <w:szCs w:val="16"/>
        </w:rPr>
        <w:t xml:space="preserve">The authoritative technical standard for acquiring, interpreting and reporting somatostatin receptor PET, including tracer dosimetry, the modified Krenning score and the pancreatic head uptake trap - but it is consensus without evidence grading, it calls three physically unequal tracers equivalent, and it gives no guidance on whether or how to use SSTR PET in a small pancreatic lesion under surveillance.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preamble states that the standard is not an inflexible rule or requirement of practice, is not intended to establish a legal standard of care, and the societies caution against its use in litigation</w:t>
            </w:r>
          </w:p>
          <w:p>
            <w:pPr>
              <w:pStyle w:val="ListParagraph"/>
              <w:numPr>
                <w:ilvl w:val="0"/>
                <w:numId w:val="2"/>
              </w:numPr>
              <w:spacing w:after="45"/>
            </w:pPr>
            <w:r>
              <w:rPr>
                <w:sz w:val="15"/>
                <w:szCs w:val="15"/>
              </w:rPr>
              <w:t xml:space="preserve">Adherence to the standard will not ensure an accurate diagnosis or a successful outcome; all that should be expected is a reasonable course of action based on current knowledge</w:t>
            </w:r>
          </w:p>
          <w:p>
            <w:pPr>
              <w:pStyle w:val="ListParagraph"/>
              <w:numPr>
                <w:ilvl w:val="0"/>
                <w:numId w:val="2"/>
              </w:numPr>
              <w:spacing w:after="45"/>
            </w:pPr>
            <w:r>
              <w:rPr>
                <w:sz w:val="15"/>
                <w:szCs w:val="15"/>
              </w:rPr>
              <w:t xml:space="preserve">SUV measurements may not be reproducible across scanners and institutions without standardisation of imaging protocols, scanner qualification and cross-calibration, and SUV is affected by lesion size and uptake time</w:t>
            </w:r>
          </w:p>
          <w:p>
            <w:pPr>
              <w:pStyle w:val="ListParagraph"/>
              <w:numPr>
                <w:ilvl w:val="0"/>
                <w:numId w:val="2"/>
              </w:numPr>
              <w:spacing w:after="45"/>
            </w:pPr>
            <w:r>
              <w:rPr>
                <w:sz w:val="15"/>
                <w:szCs w:val="15"/>
              </w:rPr>
              <w:t xml:space="preserve">It is unclear how SSTR PET should be used for selecting patients for PRRT because NETTER-1 enrolled patients on the basis of 111In-pentetreotide rather than PET</w:t>
            </w:r>
          </w:p>
          <w:p>
            <w:pPr>
              <w:pStyle w:val="ListParagraph"/>
              <w:numPr>
                <w:ilvl w:val="0"/>
                <w:numId w:val="2"/>
              </w:numPr>
              <w:spacing w:after="45"/>
            </w:pPr>
            <w:r>
              <w:rPr>
                <w:sz w:val="15"/>
                <w:szCs w:val="15"/>
              </w:rPr>
              <w:t xml:space="preserve">It is currently unclear whether delayed imaging with 64Cu-DOTATATE offers benefit over standard times</w:t>
            </w:r>
          </w:p>
          <w:p>
            <w:pPr>
              <w:pStyle w:val="ListParagraph"/>
              <w:numPr>
                <w:ilvl w:val="0"/>
                <w:numId w:val="2"/>
              </w:numPr>
              <w:spacing w:after="45"/>
            </w:pPr>
            <w:r>
              <w:rPr>
                <w:sz w:val="15"/>
                <w:szCs w:val="15"/>
              </w:rPr>
              <w:t xml:space="preserve">It is difficult to generalise how much of 68Ga's greater positron range will affect quantification in small lesions because of the complex interplay of detector resolution, system diameter, reconstruction algorithm and spatial filtering</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document asserts that the three tracers can be considered equivalent for detecting SSTR-positive disease while in the same text quantifying a 10-20% SUV underestimation for 68Ga in 10-15 mm lesions and a five-fold count deficit for 64Cu; claims of equivalence and of measurable difference sit side by side with no head-to-head outcome data resolving them, which matters most for exactly the sub-centimetre pancreatic lesion a pathway is deciding about</w:t>
            </w:r>
          </w:p>
          <w:p>
            <w:pPr>
              <w:pStyle w:val="ListParagraph"/>
              <w:numPr>
                <w:ilvl w:val="0"/>
                <w:numId w:val="2"/>
              </w:numPr>
              <w:spacing w:after="45"/>
            </w:pPr>
            <w:r>
              <w:rPr>
                <w:sz w:val="15"/>
                <w:szCs w:val="15"/>
              </w:rPr>
              <w:t xml:space="preserve">There is no systematic review, no evidence grading and no strength-of-recommendation scheme, so a prospective trial, an expert opinion and an FDA package insert carry identical typographic authority, and the package inserts are cited repeatedly as primary sources for dosing and uptake timing</w:t>
            </w:r>
          </w:p>
          <w:p>
            <w:pPr>
              <w:pStyle w:val="ListParagraph"/>
              <w:numPr>
                <w:ilvl w:val="0"/>
                <w:numId w:val="2"/>
              </w:numPr>
              <w:spacing w:after="45"/>
            </w:pPr>
            <w:r>
              <w:rPr>
                <w:sz w:val="15"/>
                <w:szCs w:val="15"/>
              </w:rPr>
              <w:t xml:space="preserve">The instruction to discontinue long-acting somatostatin analogues 3-4 weeks before imaging is carried over from the EANM guideline while the adjacent text cites prospective evidence that this is unnecessary for lanreotide - leaving the reader with two contradictory instructions and no recommendation</w:t>
            </w:r>
          </w:p>
          <w:p>
            <w:pPr>
              <w:pStyle w:val="ListParagraph"/>
              <w:numPr>
                <w:ilvl w:val="0"/>
                <w:numId w:val="2"/>
              </w:numPr>
              <w:spacing w:after="45"/>
            </w:pPr>
            <w:r>
              <w:rPr>
                <w:sz w:val="15"/>
                <w:szCs w:val="15"/>
              </w:rPr>
              <w:t xml:space="preserve">Several authors hold intellectual property or consultancy relationships with the manufacturers of the tracers being standardised - one is named in a later ENETS document as inventor/IPR holder on 64Cu-DOTATATE - and the text of this version carries no individual disclosure statement, only a blanket line that no potential conflict was reported</w:t>
            </w:r>
          </w:p>
          <w:p>
            <w:pPr>
              <w:pStyle w:val="ListParagraph"/>
              <w:numPr>
                <w:ilvl w:val="0"/>
                <w:numId w:val="2"/>
              </w:numPr>
              <w:spacing w:after="45"/>
            </w:pPr>
            <w:r>
              <w:rPr>
                <w:sz w:val="15"/>
                <w:szCs w:val="15"/>
              </w:rPr>
              <w:t xml:space="preserve">Physiological uptake in the pancreatic head and uncinate process is the single largest source of false positives for any pancreatic pathway, and the standard acknowledges that its SUVs overlap with tumour but offers no decision rule beyond correlating with MRI or multiphase CT and following up</w:t>
            </w:r>
          </w:p>
          <w:p>
            <w:pPr>
              <w:pStyle w:val="ListParagraph"/>
              <w:numPr>
                <w:ilvl w:val="0"/>
                <w:numId w:val="2"/>
              </w:numPr>
              <w:spacing w:after="45"/>
            </w:pPr>
            <w:r>
              <w:rPr>
                <w:sz w:val="15"/>
                <w:szCs w:val="15"/>
              </w:rPr>
              <w:t xml:space="preserve">The standard is silent on whether SSTR PET should be performed at all for a sub-2 cm incidental pancreatic lesion under surveillance, and silent on whether serial SSTR PET has any role in surveillance - while simultaneously warning that change in uptake must not be read as response or progression, which removes the obvious use</w:t>
            </w:r>
          </w:p>
          <w:p>
            <w:pPr>
              <w:pStyle w:val="ListParagraph"/>
              <w:numPr>
                <w:ilvl w:val="0"/>
                <w:numId w:val="2"/>
              </w:numPr>
              <w:spacing w:after="45"/>
            </w:pPr>
            <w:r>
              <w:rPr>
                <w:sz w:val="15"/>
                <w:szCs w:val="15"/>
              </w:rPr>
              <w:t xml:space="preserve">The appropriate use criteria that define the indications are cited rather than reproduced, so the document that governs when to order the test does not itself contain the indications</w:t>
            </w:r>
          </w:p>
          <w:p>
            <w:pPr>
              <w:pStyle w:val="ListParagraph"/>
              <w:numPr>
                <w:ilvl w:val="0"/>
                <w:numId w:val="2"/>
              </w:numPr>
              <w:spacing w:after="45"/>
            </w:pPr>
            <w:r>
              <w:rPr>
                <w:sz w:val="15"/>
                <w:szCs w:val="15"/>
              </w:rPr>
              <w:t xml:space="preserve">Dosimetry is tabulated from four separate historical publications of varying vintage and method and presented as a single comparative table</w:t>
            </w:r>
          </w:p>
        </w:tc>
      </w:tr>
    </w:tbl>
    <w:p>
      <w:pPr>
        <w:keepNext/>
        <w:spacing w:after="50" w:before="260"/>
      </w:pPr>
      <w:r>
        <w:rPr>
          <w:rFonts w:ascii="Cambria" w:cs="Cambria" w:eastAsia="Cambria" w:hAnsi="Cambria"/>
          <w:b/>
          <w:bCs/>
          <w:color w:val="17365D"/>
          <w:sz w:val="20"/>
          <w:szCs w:val="20"/>
        </w:rPr>
        <w:t xml:space="preserve">Tang 2016</w:t>
      </w:r>
      <w:r>
        <w:rPr>
          <w:b/>
          <w:bCs/>
          <w:color w:val="176A87"/>
          <w:sz w:val="15"/>
          <w:szCs w:val="15"/>
        </w:rPr>
        <w:t xml:space="preserve">   Retrospective cohort</w:t>
      </w:r>
      <w:r>
        <w:rPr>
          <w:color w:val="5A6069"/>
          <w:sz w:val="15"/>
          <w:szCs w:val="15"/>
        </w:rPr>
        <w:t xml:space="preserve">   PMID 26482044</w:t>
      </w:r>
    </w:p>
    <w:p>
      <w:pPr>
        <w:spacing w:after="50" w:line="276"/>
      </w:pPr>
      <w:r>
        <w:rPr>
          <w:color w:val="5A6069"/>
          <w:sz w:val="17"/>
          <w:szCs w:val="17"/>
        </w:rPr>
        <w:t xml:space="preserve">Well-differentiated neuroendocrine tumors with a morphologically apparent high-grade component: a pathway distinct from poorly differentiated neuroendocrine carcinomas.</w:t>
      </w:r>
    </w:p>
    <w:p>
      <w:pPr>
        <w:spacing w:after="50"/>
      </w:pPr>
      <w:r>
        <w:rPr>
          <w:b/>
          <w:bCs/>
          <w:color w:val="176A87"/>
          <w:sz w:val="16"/>
          <w:szCs w:val="16"/>
        </w:rPr>
        <w:t xml:space="preserve">Population. </w:t>
      </w:r>
      <w:r>
        <w:rPr>
          <w:sz w:val="16"/>
          <w:szCs w:val="16"/>
        </w:rPr>
        <w:t xml:space="preserve">31 WD-NET with a high-grade component (21 pancreatic), compared with 329 low/intermediate-grade pancreatic WD-NET and 35 pancreatic PD-NEC</w:t>
      </w:r>
    </w:p>
    <w:p>
      <w:pPr>
        <w:spacing w:after="70"/>
      </w:pPr>
      <w:r>
        <w:rPr>
          <w:b/>
          <w:bCs/>
          <w:color w:val="17365D"/>
          <w:sz w:val="16"/>
          <w:szCs w:val="16"/>
        </w:rPr>
        <w:t xml:space="preserve">Bottom line. </w:t>
      </w:r>
      <w:r>
        <w:rPr>
          <w:sz w:val="16"/>
          <w:szCs w:val="16"/>
        </w:rPr>
        <w:t xml:space="preserve">Well-differentiated neuroendocrine tumours can contain a high-grade component that crosses the WHO G3 threshold while keeping the immunophenotype, DAXX/ATRX/MEN1 genotype and intermediate prognosis of a WD-NET rather than the Rb-deficient, p53-mutant, 16-month course of a true poorly differentiated carcinoma - an argument for splitting the G3 category, built on 31 archive-selected cases and four sequenced tumours.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20% volume cut-off defining the high-grade component was chosen arbitrarily to ensure both components were sufficiently represented, with no biological basis for the cut-point, as the authors state explicitly</w:t>
            </w:r>
          </w:p>
          <w:p>
            <w:pPr>
              <w:pStyle w:val="ListParagraph"/>
              <w:numPr>
                <w:ilvl w:val="0"/>
                <w:numId w:val="2"/>
              </w:numPr>
              <w:spacing w:after="45"/>
            </w:pPr>
            <w:r>
              <w:rPr>
                <w:sz w:val="15"/>
                <w:szCs w:val="15"/>
              </w:rPr>
              <w:t xml:space="preserve">A minimal mitotic rate for the high-grade regions was not specified, although all cases had more than 10 per 10 HPF</w:t>
            </w:r>
          </w:p>
          <w:p>
            <w:pPr>
              <w:pStyle w:val="ListParagraph"/>
              <w:numPr>
                <w:ilvl w:val="0"/>
                <w:numId w:val="2"/>
              </w:numPr>
              <w:spacing w:after="45"/>
            </w:pPr>
            <w:r>
              <w:rPr>
                <w:sz w:val="15"/>
                <w:szCs w:val="15"/>
              </w:rPr>
              <w:t xml:space="preserve">When high-grade features appear in a small biopsy without the lower-grade component, morphological evidence of grade progression is difficult to assess and the diagnosis depends on prior clinical history</w:t>
            </w:r>
          </w:p>
          <w:p>
            <w:pPr>
              <w:pStyle w:val="ListParagraph"/>
              <w:numPr>
                <w:ilvl w:val="0"/>
                <w:numId w:val="2"/>
              </w:numPr>
              <w:spacing w:after="45"/>
            </w:pPr>
            <w:r>
              <w:rPr>
                <w:sz w:val="15"/>
                <w:szCs w:val="15"/>
              </w:rPr>
              <w:t xml:space="preserve">TP53 mutational analysis was not performed; p53 immunoreactivity was used as a surrogate</w:t>
            </w:r>
          </w:p>
          <w:p>
            <w:pPr>
              <w:pStyle w:val="ListParagraph"/>
              <w:numPr>
                <w:ilvl w:val="0"/>
                <w:numId w:val="2"/>
              </w:numPr>
              <w:spacing w:after="45"/>
            </w:pPr>
            <w:r>
              <w:rPr>
                <w:sz w:val="15"/>
                <w:szCs w:val="15"/>
              </w:rPr>
              <w:t xml:space="preserve">In the absence of a lower-grade counterpart the high-grade component can be morphologically indistinguishable from a large-cell PD-NEC, which matters for biopsy interpretation, and absence of gene mutations or altered protein expression would not resolve it</w:t>
            </w:r>
          </w:p>
          <w:p>
            <w:pPr>
              <w:pStyle w:val="ListParagraph"/>
              <w:numPr>
                <w:ilvl w:val="0"/>
                <w:numId w:val="2"/>
              </w:numPr>
              <w:spacing w:after="45"/>
            </w:pPr>
            <w:r>
              <w:rPr>
                <w:sz w:val="15"/>
                <w:szCs w:val="15"/>
              </w:rPr>
              <w:t xml:space="preserve">The explanation for high-grade regions - neoplastic progression versus epigenetic variation or multiclonality - remains open and requires ongoing genomic analysis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31 cases were assembled by searching two pathology archives for grade discrepancy, which selects for the very phenomenon being described; the design cannot estimate how often high-grade transformation occurs, and the paper does not say how many WD-NET were screened to find them</w:t>
            </w:r>
          </w:p>
          <w:p>
            <w:pPr>
              <w:pStyle w:val="ListParagraph"/>
              <w:numPr>
                <w:ilvl w:val="0"/>
                <w:numId w:val="2"/>
              </w:numPr>
              <w:spacing w:after="45"/>
            </w:pPr>
            <w:r>
              <w:rPr>
                <w:sz w:val="15"/>
                <w:szCs w:val="15"/>
              </w:rPr>
              <w:t xml:space="preserve">The genotype claim that distinguishes these tumours from PD-NEC rests on four sequenced pancreatic cases, and the PD-NEC comparator genotypes are imported from a previously published series rather than run in parallel, so the key molecular contrast is between four prospectively sequenced tumours and a literature control</w:t>
            </w:r>
          </w:p>
          <w:p>
            <w:pPr>
              <w:pStyle w:val="ListParagraph"/>
              <w:numPr>
                <w:ilvl w:val="0"/>
                <w:numId w:val="2"/>
              </w:numPr>
              <w:spacing w:after="45"/>
            </w:pPr>
            <w:r>
              <w:rPr>
                <w:sz w:val="15"/>
                <w:szCs w:val="15"/>
              </w:rPr>
              <w:t xml:space="preserve">Survival is compared against historical institutional cohorts of 329 and 35 patients spanning different eras, treatments and staging practices, with no matching other than the single stage IV analysis</w:t>
            </w:r>
          </w:p>
          <w:p>
            <w:pPr>
              <w:pStyle w:val="ListParagraph"/>
              <w:numPr>
                <w:ilvl w:val="0"/>
                <w:numId w:val="2"/>
              </w:numPr>
              <w:spacing w:after="45"/>
            </w:pPr>
            <w:r>
              <w:rPr>
                <w:sz w:val="15"/>
                <w:szCs w:val="15"/>
              </w:rPr>
              <w:t xml:space="preserve">That stage-matched analysis is the result most corrosive to the paper's own premise - transformed tumours did no worse than grade 1-2 WD-NET once stage was accounted for - yet the abstract leads with the unmatched 55 versus 162 month comparison and calls the high-grade component associated with unfavourable outcome</w:t>
            </w:r>
          </w:p>
          <w:p>
            <w:pPr>
              <w:pStyle w:val="ListParagraph"/>
              <w:numPr>
                <w:ilvl w:val="0"/>
                <w:numId w:val="2"/>
              </w:numPr>
              <w:spacing w:after="45"/>
            </w:pPr>
            <w:r>
              <w:rPr>
                <w:sz w:val="15"/>
                <w:szCs w:val="15"/>
              </w:rPr>
              <w:t xml:space="preserve">Six of 31 cases are biopsies only, so the defining feature of the entity, a coexisting lower-grade component, was inferred from clinical history rather than observed in those patients</w:t>
            </w:r>
          </w:p>
          <w:p>
            <w:pPr>
              <w:pStyle w:val="ListParagraph"/>
              <w:numPr>
                <w:ilvl w:val="0"/>
                <w:numId w:val="2"/>
              </w:numPr>
              <w:spacing w:after="45"/>
            </w:pPr>
            <w:r>
              <w:rPr>
                <w:sz w:val="15"/>
                <w:szCs w:val="15"/>
              </w:rPr>
              <w:t xml:space="preserve">FDG positivity in 10 of 10 comes from 10 patients selected for scanning, and the mean SUV of 2.9 is low, so the imaging phenotype is derived from a convenience sample</w:t>
            </w:r>
          </w:p>
          <w:p>
            <w:pPr>
              <w:pStyle w:val="ListParagraph"/>
              <w:numPr>
                <w:ilvl w:val="0"/>
                <w:numId w:val="2"/>
              </w:numPr>
              <w:spacing w:after="45"/>
            </w:pPr>
            <w:r>
              <w:rPr>
                <w:sz w:val="15"/>
                <w:szCs w:val="15"/>
              </w:rPr>
              <w:t xml:space="preserve">Chemotherapy outcomes pool regimens, treatment lines, adjuvant and palliative intent and four primary sites across 21 patients, which cannot support the inference that platinum confers no long-term benefit</w:t>
            </w:r>
          </w:p>
          <w:p>
            <w:pPr>
              <w:pStyle w:val="ListParagraph"/>
              <w:numPr>
                <w:ilvl w:val="0"/>
                <w:numId w:val="2"/>
              </w:numPr>
              <w:spacing w:after="45"/>
            </w:pPr>
            <w:r>
              <w:rPr>
                <w:sz w:val="15"/>
                <w:szCs w:val="15"/>
              </w:rPr>
              <w:t xml:space="preserve">Ten of 31 cases are non-pancreatic, and the pancreatic subgroup that carries the survival and genotype analysis is 21 patients</w:t>
            </w:r>
          </w:p>
        </w:tc>
      </w:tr>
    </w:tbl>
    <w:p>
      <w:pPr>
        <w:spacing w:after="0" w:line="276"/>
      </w:pPr>
      <w:r>
        <w:rPr>
          <w:color w:val="5A6069"/>
          <w:sz w:val="14"/>
          <w:szCs w:val="14"/>
        </w:rPr>
        <w:t xml:space="preserve">Funding: Partially supported by the Raymond and Beverley Sackler's Research Foundation and the Mushett Family Foundation. D.S. Klimstra reports speakers bureau honoraria from Novartis and is a consultant or advisory board member for Ipsen and Wren Labs.</w:t>
      </w:r>
    </w:p>
    <w:p>
      <w:pPr>
        <w:keepNext/>
        <w:spacing w:after="50" w:before="260"/>
      </w:pPr>
      <w:r>
        <w:rPr>
          <w:rFonts w:ascii="Cambria" w:cs="Cambria" w:eastAsia="Cambria" w:hAnsi="Cambria"/>
          <w:b/>
          <w:bCs/>
          <w:color w:val="17365D"/>
          <w:sz w:val="20"/>
          <w:szCs w:val="20"/>
        </w:rPr>
        <w:t xml:space="preserve">Triponez 2006</w:t>
      </w:r>
      <w:r>
        <w:rPr>
          <w:b/>
          <w:bCs/>
          <w:color w:val="176A87"/>
          <w:sz w:val="15"/>
          <w:szCs w:val="15"/>
        </w:rPr>
        <w:t xml:space="preserve">   Registry study</w:t>
      </w:r>
      <w:r>
        <w:rPr>
          <w:color w:val="5A6069"/>
          <w:sz w:val="15"/>
          <w:szCs w:val="15"/>
        </w:rPr>
        <w:t xml:space="preserve">   PMID 16432361</w:t>
      </w:r>
    </w:p>
    <w:p>
      <w:pPr>
        <w:spacing w:after="50" w:line="276"/>
      </w:pPr>
      <w:r>
        <w:rPr>
          <w:color w:val="5A6069"/>
          <w:sz w:val="17"/>
          <w:szCs w:val="17"/>
        </w:rPr>
        <w:t xml:space="preserve">Epidemiology data on 108 MEN 1 patients from the GTE with isolated nonfunctioning tumors of the pancreas.</w:t>
      </w:r>
    </w:p>
    <w:p>
      <w:pPr>
        <w:spacing w:after="50"/>
      </w:pPr>
      <w:r>
        <w:rPr>
          <w:b/>
          <w:bCs/>
          <w:color w:val="176A87"/>
          <w:sz w:val="16"/>
          <w:szCs w:val="16"/>
        </w:rPr>
        <w:t xml:space="preserve">Population. </w:t>
      </w:r>
      <w:r>
        <w:rPr>
          <w:sz w:val="16"/>
          <w:szCs w:val="16"/>
        </w:rPr>
        <w:t xml:space="preserve">108 MEN1 patients with isolated nonfunctioning pancreatic tumours, drawn from 579 registered MEN1 patients</w:t>
      </w:r>
    </w:p>
    <w:p>
      <w:pPr>
        <w:spacing w:after="70"/>
      </w:pPr>
      <w:r>
        <w:rPr>
          <w:b/>
          <w:bCs/>
          <w:color w:val="17365D"/>
          <w:sz w:val="16"/>
          <w:szCs w:val="16"/>
        </w:rPr>
        <w:t xml:space="preserve">Bottom line. </w:t>
      </w:r>
      <w:r>
        <w:rPr>
          <w:sz w:val="16"/>
          <w:szCs w:val="16"/>
        </w:rPr>
        <w:t xml:space="preserve">In the largest population-based MEN1 series, nonfunctioning pancreatic tumours are the commonest pancreaticoduodenal lesion, reach 34% penetrance by age 50 and shorten life expectancy by about nine years, with metastasis rising from 4% below 10 mm to 43% above 30 mm - the basis for not operating below 20 mm, although that specific threshold rests on single-digit event counts, imaging-defined metastasis and 4 years of follow-up.</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There is wide overlap in tumour size between patients who had curative surgery and those who did not - one patient with an 8 mm tumour was resected while a patient with a 30 mm tumour and no metastasis was not - so the two groups are probably not comparable</w:t>
            </w:r>
          </w:p>
          <w:p>
            <w:pPr>
              <w:pStyle w:val="ListParagraph"/>
              <w:numPr>
                <w:ilvl w:val="0"/>
                <w:numId w:val="2"/>
              </w:numPr>
              <w:spacing w:after="45"/>
            </w:pPr>
            <w:r>
              <w:rPr>
                <w:sz w:val="15"/>
                <w:szCs w:val="15"/>
              </w:rPr>
              <w:t xml:space="preserve">Follow-up duration differed between the groups and patients were not randomly assigned to conservative or aggressive treatment</w:t>
            </w:r>
          </w:p>
          <w:p>
            <w:pPr>
              <w:pStyle w:val="ListParagraph"/>
              <w:numPr>
                <w:ilvl w:val="0"/>
                <w:numId w:val="2"/>
              </w:numPr>
              <w:spacing w:after="45"/>
            </w:pPr>
            <w:r>
              <w:rPr>
                <w:sz w:val="15"/>
                <w:szCs w:val="15"/>
              </w:rPr>
              <w:t xml:space="preserve">Classification of surgery as curative or non-curative was made retrospectively from intraoperative findings rather than on an intention-to-treat basis, which probably overestimates survival after curative surgery</w:t>
            </w:r>
          </w:p>
          <w:p>
            <w:pPr>
              <w:pStyle w:val="ListParagraph"/>
              <w:numPr>
                <w:ilvl w:val="0"/>
                <w:numId w:val="2"/>
              </w:numPr>
              <w:spacing w:after="45"/>
            </w:pPr>
            <w:r>
              <w:rPr>
                <w:sz w:val="15"/>
                <w:szCs w:val="15"/>
              </w:rPr>
              <w:t xml:space="preserve">The actual metastasis rate may be underestimated because only 40% had an operation and 60% of metastases were identified by imaging alone; CT has low sensitivity for small pancreatic tumours and metastases in MEN1, and a cited study found 26% of patients with radiographically demonstrated lesions had preoperatively unidentified metastases at operation</w:t>
            </w:r>
          </w:p>
          <w:p>
            <w:pPr>
              <w:pStyle w:val="ListParagraph"/>
              <w:numPr>
                <w:ilvl w:val="0"/>
                <w:numId w:val="2"/>
              </w:numPr>
              <w:spacing w:after="45"/>
            </w:pPr>
            <w:r>
              <w:rPr>
                <w:sz w:val="15"/>
                <w:szCs w:val="15"/>
              </w:rPr>
              <w:t xml:space="preserve">Because follow-up after diagnosis was relatively short, the rate of growth could not be predicted and the rate at which tumours migrate from one size group to another could not be evaluated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20 mm threshold the paper recommends is inferred from a metastasis gradient whose lowest two strata are 1 of 25 and 4 of 40 patients - rates whose confidence intervals overlap entirely - and the authors themselves report that survival in the 11-30 mm band was only slightly and non-significantly worse than at 10 mm or less, so the data support 'larger is worse' but not the specific cut point that subsequently entered international guidelines</w:t>
            </w:r>
          </w:p>
          <w:p>
            <w:pPr>
              <w:pStyle w:val="ListParagraph"/>
              <w:numPr>
                <w:ilvl w:val="0"/>
                <w:numId w:val="2"/>
              </w:numPr>
              <w:spacing w:after="45"/>
            </w:pPr>
            <w:r>
              <w:rPr>
                <w:sz w:val="15"/>
                <w:szCs w:val="15"/>
              </w:rPr>
              <w:t xml:space="preserve">The cohort spans 1956 to 2003 with prospective registration only from 1997, and the authors use the post-1997 subset for penetrance while using the whole cohort for metastasis and survival, so the two central estimates come from different populations imaged with different technology</w:t>
            </w:r>
          </w:p>
          <w:p>
            <w:pPr>
              <w:pStyle w:val="ListParagraph"/>
              <w:numPr>
                <w:ilvl w:val="0"/>
                <w:numId w:val="2"/>
              </w:numPr>
              <w:spacing w:after="45"/>
            </w:pPr>
            <w:r>
              <w:rPr>
                <w:sz w:val="15"/>
                <w:szCs w:val="15"/>
              </w:rPr>
              <w:t xml:space="preserve">Metastasis was imaging-defined in 60% of cases, and the authors cite evidence that a quarter of radiographically node-negative MEN1 patients have occult metastases at operation - which means the risk being weighed against the morbidity of surgery is systematically understated in the same analysis that recommends against surgery</w:t>
            </w:r>
          </w:p>
          <w:p>
            <w:pPr>
              <w:pStyle w:val="ListParagraph"/>
              <w:numPr>
                <w:ilvl w:val="0"/>
                <w:numId w:val="2"/>
              </w:numPr>
              <w:spacing w:after="45"/>
            </w:pPr>
            <w:r>
              <w:rPr>
                <w:sz w:val="15"/>
                <w:szCs w:val="15"/>
              </w:rPr>
              <w:t xml:space="preserve">Mean follow-up after diagnosis is 4.3 years in a disease whose victims die at a mean age of 43, so most of the hazard being adjudicated lies beyond the observation window; the 8-year survival estimates in the metastatic group have confidence intervals from 6% to 62%</w:t>
            </w:r>
          </w:p>
          <w:p>
            <w:pPr>
              <w:pStyle w:val="ListParagraph"/>
              <w:numPr>
                <w:ilvl w:val="0"/>
                <w:numId w:val="2"/>
              </w:numPr>
              <w:spacing w:after="45"/>
            </w:pPr>
            <w:r>
              <w:rPr>
                <w:sz w:val="15"/>
                <w:szCs w:val="15"/>
              </w:rPr>
              <w:t xml:space="preserve">The mortality argument is partly circular: life expectancy with a nonfunctioning tumour is compared against MEN1 patients without any pancreatic tumour, who differ systematically in age at diagnosis, screening intensity and era, and who by definition lack the lesion that defines the comparison</w:t>
            </w:r>
          </w:p>
          <w:p>
            <w:pPr>
              <w:pStyle w:val="ListParagraph"/>
              <w:numPr>
                <w:ilvl w:val="0"/>
                <w:numId w:val="2"/>
              </w:numPr>
              <w:spacing w:after="45"/>
            </w:pPr>
            <w:r>
              <w:rPr>
                <w:sz w:val="15"/>
                <w:szCs w:val="15"/>
              </w:rPr>
              <w:t xml:space="preserve">In MEN1 the pancreas carries a field defect with a mean of 2.9 tumours per patient, so a size threshold applied to the largest lesion ignores the remaining disease, and the authors' own data show 2 of 32 curatively resected patients needed reoperation for new tumours within 6 years</w:t>
            </w:r>
          </w:p>
          <w:p>
            <w:pPr>
              <w:pStyle w:val="ListParagraph"/>
              <w:numPr>
                <w:ilvl w:val="0"/>
                <w:numId w:val="2"/>
              </w:numPr>
              <w:spacing w:after="45"/>
            </w:pPr>
            <w:r>
              <w:rPr>
                <w:sz w:val="15"/>
                <w:szCs w:val="15"/>
              </w:rPr>
              <w:t xml:space="preserve">Thirty-two curatively operated patients and 66 unoperated patients with non-significant differences in metastasis, progression and death is an underpowered null, not evidence of equivalence; no power calculation or equivalence margin is offered</w:t>
            </w:r>
          </w:p>
        </w:tc>
      </w:tr>
    </w:tbl>
    <w:p>
      <w:pPr>
        <w:spacing w:after="0" w:line="276"/>
      </w:pPr>
      <w:r>
        <w:rPr>
          <w:color w:val="5A6069"/>
          <w:sz w:val="14"/>
          <w:szCs w:val="14"/>
        </w:rPr>
        <w:t xml:space="preserve">Funding: Supported in part by a grant from the University Hospital of Geneva, Switzerland, to F. Triponez.</w:t>
      </w:r>
    </w:p>
    <w:p>
      <w:pPr>
        <w:keepNext/>
        <w:spacing w:after="50" w:before="260"/>
      </w:pPr>
      <w:r>
        <w:rPr>
          <w:rFonts w:ascii="Cambria" w:cs="Cambria" w:eastAsia="Cambria" w:hAnsi="Cambria"/>
          <w:b/>
          <w:bCs/>
          <w:color w:val="17365D"/>
          <w:sz w:val="20"/>
          <w:szCs w:val="20"/>
        </w:rPr>
        <w:t xml:space="preserve">Weynand 2014</w:t>
      </w:r>
      <w:r>
        <w:rPr>
          <w:b/>
          <w:bCs/>
          <w:color w:val="176A87"/>
          <w:sz w:val="15"/>
          <w:szCs w:val="15"/>
        </w:rPr>
        <w:t xml:space="preserve">   Retrospective cohort</w:t>
      </w:r>
      <w:r>
        <w:rPr>
          <w:color w:val="5A6069"/>
          <w:sz w:val="15"/>
          <w:szCs w:val="15"/>
        </w:rPr>
        <w:t xml:space="preserve">   PMID 24750272</w:t>
      </w:r>
    </w:p>
    <w:p>
      <w:pPr>
        <w:spacing w:after="50" w:line="276"/>
      </w:pPr>
      <w:r>
        <w:rPr>
          <w:color w:val="5A6069"/>
          <w:sz w:val="17"/>
          <w:szCs w:val="17"/>
        </w:rPr>
        <w:t xml:space="preserve">Pancreatic neuroendocrine tumour grading on endoscopic ultrasound-guided fine needle aspiration: high reproducibility and inter-observer agreement of the Ki-67 labelling index.</w:t>
      </w:r>
    </w:p>
    <w:p>
      <w:pPr>
        <w:spacing w:after="50"/>
      </w:pPr>
      <w:r>
        <w:rPr>
          <w:b/>
          <w:bCs/>
          <w:color w:val="176A87"/>
          <w:sz w:val="16"/>
          <w:szCs w:val="16"/>
        </w:rPr>
        <w:t xml:space="preserve">Population. </w:t>
      </w:r>
      <w:r>
        <w:rPr>
          <w:sz w:val="16"/>
          <w:szCs w:val="16"/>
        </w:rPr>
        <w:t xml:space="preserve">46 pNETs in 45 patients; 33 tumours in 32 patients resected and available for histological comparison</w:t>
      </w:r>
    </w:p>
    <w:p>
      <w:pPr>
        <w:spacing w:after="70"/>
      </w:pPr>
      <w:r>
        <w:rPr>
          <w:b/>
          <w:bCs/>
          <w:color w:val="17365D"/>
          <w:sz w:val="16"/>
          <w:szCs w:val="16"/>
        </w:rPr>
        <w:t xml:space="preserve">Bottom line. </w:t>
      </w:r>
      <w:r>
        <w:rPr>
          <w:sz w:val="16"/>
          <w:szCs w:val="16"/>
        </w:rPr>
        <w:t xml:space="preserve">EUS-FNA Ki-67 is highly reproducible between readers and a cytological G3 result reliably marks aggressive disease, but it under-grades G2 tumours in about 70% of cases, so a low cytological Ki-67 cannot be used to certify a small pancreatic NET as low grade.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Cytology tends to underestimate the grade obtained on the resection specimen, so a low cytological Ki-67 should not be taken as proof of a low-grade tumour</w:t>
            </w:r>
          </w:p>
          <w:p>
            <w:pPr>
              <w:pStyle w:val="ListParagraph"/>
              <w:numPr>
                <w:ilvl w:val="0"/>
                <w:numId w:val="2"/>
              </w:numPr>
              <w:spacing w:after="45"/>
            </w:pPr>
            <w:r>
              <w:rPr>
                <w:sz w:val="15"/>
                <w:szCs w:val="15"/>
              </w:rPr>
              <w:t xml:space="preserve">EUS-FNA cellularity is variable and the needle may not sample the most mitotically active region, which the authors attribute to genuine intratumoural heterogeneity of proliferation</w:t>
            </w:r>
          </w:p>
          <w:p>
            <w:pPr>
              <w:pStyle w:val="ListParagraph"/>
              <w:numPr>
                <w:ilvl w:val="0"/>
                <w:numId w:val="2"/>
              </w:numPr>
              <w:spacing w:after="45"/>
            </w:pPr>
            <w:r>
              <w:rPr>
                <w:sz w:val="15"/>
                <w:szCs w:val="15"/>
              </w:rPr>
              <w:t xml:space="preserve">Only one resected tumour was cytological G3, which weakens the survival separation at the top of the scale</w:t>
            </w:r>
          </w:p>
          <w:p>
            <w:pPr>
              <w:pStyle w:val="ListParagraph"/>
              <w:numPr>
                <w:ilvl w:val="0"/>
                <w:numId w:val="2"/>
              </w:numPr>
              <w:spacing w:after="45"/>
            </w:pPr>
            <w:r>
              <w:rPr>
                <w:sz w:val="15"/>
                <w:szCs w:val="15"/>
              </w:rPr>
              <w:t xml:space="preserve">Neither a 2% nor a 5% cytological cut-off gave acceptable correlation with histological grade</w:t>
            </w:r>
          </w:p>
          <w:p>
            <w:pPr>
              <w:pStyle w:val="ListParagraph"/>
              <w:numPr>
                <w:ilvl w:val="0"/>
                <w:numId w:val="2"/>
              </w:numPr>
              <w:spacing w:after="45"/>
            </w:pPr>
            <w:r>
              <w:rPr>
                <w:sz w:val="15"/>
                <w:szCs w:val="15"/>
              </w:rPr>
              <w:t xml:space="preserve">Identifying that counted cells are genuinely neuroendocrine is difficult on dispersed cytological material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title advertises 'high reproducibility and inter-observer agreement', which is true only of two readers scoring the same slide; the clinically relevant question - does cytology predict resection grade - returned a kappa of 0.21 that the authors themselves call very low, and that result is not in the title</w:t>
            </w:r>
          </w:p>
          <w:p>
            <w:pPr>
              <w:pStyle w:val="ListParagraph"/>
              <w:numPr>
                <w:ilvl w:val="0"/>
                <w:numId w:val="2"/>
              </w:numPr>
              <w:spacing w:after="45"/>
            </w:pPr>
            <w:r>
              <w:rPr>
                <w:sz w:val="15"/>
                <w:szCs w:val="15"/>
              </w:rPr>
              <w:t xml:space="preserve">The concordance analysis can only include the 33 resected tumours, so the denominator is a resected population and nothing here tells you how cytology performs in the small lesions actually being watched</w:t>
            </w:r>
          </w:p>
          <w:p>
            <w:pPr>
              <w:pStyle w:val="ListParagraph"/>
              <w:numPr>
                <w:ilvl w:val="0"/>
                <w:numId w:val="2"/>
              </w:numPr>
              <w:spacing w:after="45"/>
            </w:pPr>
            <w:r>
              <w:rPr>
                <w:sz w:val="15"/>
                <w:szCs w:val="15"/>
              </w:rPr>
              <w:t xml:space="preserve">PFS was calculated 'independently from surgery', mixing resected and unresected patients in the same curves, so the cytological grade effect is confounded by whether the tumour was removed</w:t>
            </w:r>
          </w:p>
          <w:p>
            <w:pPr>
              <w:pStyle w:val="ListParagraph"/>
              <w:numPr>
                <w:ilvl w:val="0"/>
                <w:numId w:val="2"/>
              </w:numPr>
              <w:spacing w:after="45"/>
            </w:pPr>
            <w:r>
              <w:rPr>
                <w:sz w:val="15"/>
                <w:szCs w:val="15"/>
              </w:rPr>
              <w:t xml:space="preserve">The cG3 group that drives the significant PFS separation consists of 4 patients, all of whom the authors state were locally advanced, node-positive or metastatic at diagnosis, so cytological G3 may be a marker of stage rather than an independent grading achievement</w:t>
            </w:r>
          </w:p>
          <w:p>
            <w:pPr>
              <w:pStyle w:val="ListParagraph"/>
              <w:numPr>
                <w:ilvl w:val="0"/>
                <w:numId w:val="2"/>
              </w:numPr>
              <w:spacing w:after="45"/>
            </w:pPr>
            <w:r>
              <w:rPr>
                <w:sz w:val="15"/>
                <w:szCs w:val="15"/>
              </w:rPr>
              <w:t xml:space="preserve">The second cytology reader was a gastroenterologist, not a pathologist, while the histology arm used two pathologists, so the two inter-observer coefficients are not comparable</w:t>
            </w:r>
          </w:p>
          <w:p>
            <w:pPr>
              <w:pStyle w:val="ListParagraph"/>
              <w:numPr>
                <w:ilvl w:val="0"/>
                <w:numId w:val="2"/>
              </w:numPr>
              <w:spacing w:after="45"/>
            </w:pPr>
            <w:r>
              <w:rPr>
                <w:sz w:val="15"/>
                <w:szCs w:val="15"/>
              </w:rPr>
              <w:t xml:space="preserve">Fourteen years of accrual spans the 2000, 2004 and 2010 WHO classifications; the cases were retrospectively reclassified to WHO 2010 without re-review of the original diagnostic material</w:t>
            </w:r>
          </w:p>
          <w:p>
            <w:pPr>
              <w:pStyle w:val="ListParagraph"/>
              <w:numPr>
                <w:ilvl w:val="0"/>
                <w:numId w:val="2"/>
              </w:numPr>
              <w:spacing w:after="45"/>
            </w:pPr>
            <w:r>
              <w:rPr>
                <w:sz w:val="15"/>
                <w:szCs w:val="15"/>
              </w:rPr>
              <w:t xml:space="preserve">No adjustment for multiple comparisons across several cut-offs, subgroups and endpoints in 46 tumours</w:t>
            </w:r>
          </w:p>
        </w:tc>
      </w:tr>
    </w:tbl>
    <w:p>
      <w:pPr>
        <w:keepNext/>
        <w:spacing w:after="50" w:before="260"/>
      </w:pPr>
      <w:r>
        <w:rPr>
          <w:rFonts w:ascii="Cambria" w:cs="Cambria" w:eastAsia="Cambria" w:hAnsi="Cambria"/>
          <w:b/>
          <w:bCs/>
          <w:color w:val="17365D"/>
          <w:sz w:val="20"/>
          <w:szCs w:val="20"/>
        </w:rPr>
        <w:t xml:space="preserve">Wild 2021 GLP-1R review</w:t>
      </w:r>
      <w:r>
        <w:rPr>
          <w:b/>
          <w:bCs/>
          <w:color w:val="176A87"/>
          <w:sz w:val="15"/>
          <w:szCs w:val="15"/>
        </w:rPr>
        <w:t xml:space="preserve">   Review</w:t>
      </w:r>
      <w:r>
        <w:rPr>
          <w:color w:val="5A6069"/>
          <w:sz w:val="15"/>
          <w:szCs w:val="15"/>
        </w:rPr>
        <w:t xml:space="preserve">   PMID 34230073</w:t>
      </w:r>
    </w:p>
    <w:p>
      <w:pPr>
        <w:spacing w:after="50" w:line="276"/>
      </w:pPr>
      <w:r>
        <w:rPr>
          <w:color w:val="5A6069"/>
          <w:sz w:val="17"/>
          <w:szCs w:val="17"/>
        </w:rPr>
        <w:t xml:space="preserve">Glucagon-like peptide-1 receptor as emerging target: will it make it to the clinic?</w:t>
      </w:r>
    </w:p>
    <w:p>
      <w:pPr>
        <w:spacing w:after="70"/>
      </w:pPr>
      <w:r>
        <w:rPr>
          <w:b/>
          <w:bCs/>
          <w:color w:val="17365D"/>
          <w:sz w:val="16"/>
          <w:szCs w:val="16"/>
        </w:rPr>
        <w:t xml:space="preserve">Bottom line. </w:t>
      </w:r>
      <w:r>
        <w:rPr>
          <w:sz w:val="16"/>
          <w:szCs w:val="16"/>
        </w:rPr>
        <w:t xml:space="preserve">A useful map of GLP-1 receptor biology and of exendin tracer performance for occult benign insulinoma and adult nesidioblastosis, but it is an unsystematic review by the tracer's developers whose comparative sensitivity table mixes incommensurable studies, and it says nothing about non-functioning pancreatic NET.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main limitation the authors give is availability: GLP-1R imaging is not yet authorised for routine clinical use</w:t>
            </w:r>
          </w:p>
          <w:p>
            <w:pPr>
              <w:pStyle w:val="ListParagraph"/>
              <w:numPr>
                <w:ilvl w:val="0"/>
                <w:numId w:val="2"/>
              </w:numPr>
              <w:spacing w:after="45"/>
            </w:pPr>
            <w:r>
              <w:rPr>
                <w:sz w:val="15"/>
                <w:szCs w:val="15"/>
              </w:rPr>
              <w:t xml:space="preserve">High and persistent kidney uptake of radiometal-labelled exendin restricts therapeutic use and raises pancreatic background</w:t>
            </w:r>
          </w:p>
          <w:p>
            <w:pPr>
              <w:pStyle w:val="ListParagraph"/>
              <w:numPr>
                <w:ilvl w:val="0"/>
                <w:numId w:val="2"/>
              </w:numPr>
              <w:spacing w:after="45"/>
            </w:pPr>
            <w:r>
              <w:rPr>
                <w:sz w:val="15"/>
                <w:szCs w:val="15"/>
              </w:rPr>
              <w:t xml:space="preserve">Quantification of beta-cell mass showed marked differences only in established type 1 diabetes, so GLP-1R imaging may not detect submaximal changes</w:t>
            </w:r>
          </w:p>
          <w:p>
            <w:pPr>
              <w:pStyle w:val="ListParagraph"/>
              <w:numPr>
                <w:ilvl w:val="0"/>
                <w:numId w:val="2"/>
              </w:numPr>
              <w:spacing w:after="45"/>
            </w:pPr>
            <w:r>
              <w:rPr>
                <w:sz w:val="15"/>
                <w:szCs w:val="15"/>
              </w:rPr>
              <w:t xml:space="preserve">Evidence for comparator tracers is called scarce and controversial, and no prospective head-to-head comparison with 18F-DOPA PET/CT has been done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a narrative review by the group that developed, labelled and clinically validated the tracer, published in a supplement, and the comparative sensitivity table is substantially assembled from their own prospective studies</w:t>
            </w:r>
          </w:p>
          <w:p>
            <w:pPr>
              <w:pStyle w:val="ListParagraph"/>
              <w:numPr>
                <w:ilvl w:val="0"/>
                <w:numId w:val="2"/>
              </w:numPr>
              <w:spacing w:after="45"/>
            </w:pPr>
            <w:r>
              <w:rPr>
                <w:sz w:val="15"/>
                <w:szCs w:val="15"/>
              </w:rPr>
              <w:t xml:space="preserve">Table 3 places sensitivities from heterogeneous studies with different reference standards, different referral filters and different lesion sizes side by side as if they were comparable; several comparator figures rest on 5-13 patients, and the 18F-DOPA rows explicitly breach the review's own 12-patient rule</w:t>
            </w:r>
          </w:p>
          <w:p>
            <w:pPr>
              <w:pStyle w:val="ListParagraph"/>
              <w:numPr>
                <w:ilvl w:val="0"/>
                <w:numId w:val="2"/>
              </w:numPr>
              <w:spacing w:after="45"/>
            </w:pPr>
            <w:r>
              <w:rPr>
                <w:sz w:val="15"/>
                <w:szCs w:val="15"/>
              </w:rPr>
              <w:t xml:space="preserve">Diagnostic sensitivity in this literature is measured almost entirely in patients who reached surgery, so every number in the table shares the same verification bias and the table does not flag it</w:t>
            </w:r>
          </w:p>
          <w:p>
            <w:pPr>
              <w:pStyle w:val="ListParagraph"/>
              <w:numPr>
                <w:ilvl w:val="0"/>
                <w:numId w:val="2"/>
              </w:numPr>
              <w:spacing w:after="45"/>
            </w:pPr>
            <w:r>
              <w:rPr>
                <w:sz w:val="15"/>
                <w:szCs w:val="15"/>
              </w:rPr>
              <w:t xml:space="preserve">Receptor density figures come from in vitro autoradiography on 26-27 surgical samples, i.e. resected benign insulinomas, which cannot establish incidence in unresected or occult lesions</w:t>
            </w:r>
          </w:p>
          <w:p>
            <w:pPr>
              <w:pStyle w:val="ListParagraph"/>
              <w:numPr>
                <w:ilvl w:val="0"/>
                <w:numId w:val="2"/>
              </w:numPr>
              <w:spacing w:after="45"/>
            </w:pPr>
            <w:r>
              <w:rPr>
                <w:sz w:val="15"/>
                <w:szCs w:val="15"/>
              </w:rPr>
              <w:t xml:space="preserve">There is no evidence grading, no risk-of-bias appraisal and no quantitative synthesis, so a prospective crossover study and a case report carry the same typographic weight</w:t>
            </w:r>
          </w:p>
          <w:p>
            <w:pPr>
              <w:pStyle w:val="ListParagraph"/>
              <w:numPr>
                <w:ilvl w:val="0"/>
                <w:numId w:val="2"/>
              </w:numPr>
              <w:spacing w:after="45"/>
            </w:pPr>
            <w:r>
              <w:rPr>
                <w:sz w:val="15"/>
                <w:szCs w:val="15"/>
              </w:rPr>
              <w:t xml:space="preserve">The review contains nothing on non-functioning pancreatic NET, so despite being filed under pancreatic imaging it does not bear on the 2 cm observation-versus-resection question at all</w:t>
            </w:r>
          </w:p>
          <w:p>
            <w:pPr>
              <w:pStyle w:val="ListParagraph"/>
              <w:numPr>
                <w:ilvl w:val="0"/>
                <w:numId w:val="2"/>
              </w:numPr>
              <w:spacing w:after="45"/>
            </w:pPr>
            <w:r>
              <w:rPr>
                <w:sz w:val="15"/>
                <w:szCs w:val="15"/>
              </w:rPr>
              <w:t xml:space="preserve">The framing question 'will it make it to the clinic?' and the proposed algorithm are advocacy for an unlicensed tracer, and the stated aspiration that it 'will replace' ASVS is not supported by any comparative study of the two</w:t>
            </w:r>
          </w:p>
        </w:tc>
      </w:tr>
    </w:tbl>
    <w:p>
      <w:pPr>
        <w:spacing w:after="0" w:line="276"/>
      </w:pPr>
      <w:r>
        <w:rPr>
          <w:color w:val="5A6069"/>
          <w:sz w:val="14"/>
          <w:szCs w:val="14"/>
        </w:rPr>
        <w:t xml:space="preserve">Funding: Swiss National Science Foundation grant 320030-152938 and the Desiree and Niels Yde Foundation grant 389-12; the authors reported no potential conflict of interest, although they are the developers of the tracer under review.</w:t>
      </w:r>
    </w:p>
    <w:p>
      <w:pPr>
        <w:keepNext/>
        <w:spacing w:after="50" w:before="260"/>
      </w:pPr>
      <w:r>
        <w:rPr>
          <w:rFonts w:ascii="Cambria" w:cs="Cambria" w:eastAsia="Cambria" w:hAnsi="Cambria"/>
          <w:b/>
          <w:bCs/>
          <w:color w:val="17365D"/>
          <w:sz w:val="20"/>
          <w:szCs w:val="20"/>
        </w:rPr>
        <w:t xml:space="preserve">Yang 2022 SEER</w:t>
      </w:r>
      <w:r>
        <w:rPr>
          <w:b/>
          <w:bCs/>
          <w:color w:val="176A87"/>
          <w:sz w:val="15"/>
          <w:szCs w:val="15"/>
        </w:rPr>
        <w:t xml:space="preserve">   Registry study</w:t>
      </w:r>
      <w:r>
        <w:rPr>
          <w:color w:val="5A6069"/>
          <w:sz w:val="15"/>
          <w:szCs w:val="15"/>
        </w:rPr>
        <w:t xml:space="preserve">   PMID 35923628</w:t>
      </w:r>
    </w:p>
    <w:p>
      <w:pPr>
        <w:spacing w:after="50" w:line="276"/>
      </w:pPr>
      <w:r>
        <w:rPr>
          <w:color w:val="5A6069"/>
          <w:sz w:val="17"/>
          <w:szCs w:val="17"/>
        </w:rPr>
        <w:t xml:space="preserve">Reappraisal of a 2-cm cutoff size for the management of nonfunctional pancreatic neuroendocrine tumors: a population-based study.</w:t>
      </w:r>
    </w:p>
    <w:p>
      <w:pPr>
        <w:spacing w:after="50"/>
      </w:pPr>
      <w:r>
        <w:rPr>
          <w:b/>
          <w:bCs/>
          <w:color w:val="176A87"/>
          <w:sz w:val="16"/>
          <w:szCs w:val="16"/>
        </w:rPr>
        <w:t xml:space="preserve">Population. </w:t>
      </w:r>
      <w:r>
        <w:rPr>
          <w:sz w:val="16"/>
          <w:szCs w:val="16"/>
        </w:rPr>
        <w:t xml:space="preserve">5172 patients with PanNEN, 1760 (34.0%) with tumours 2 cm or less; 1621 NF-PanNET of whom 1350 had surgery and 271 observation; 259 matched pairs after propensity matching</w:t>
      </w:r>
    </w:p>
    <w:p>
      <w:pPr>
        <w:spacing w:after="70"/>
      </w:pPr>
      <w:r>
        <w:rPr>
          <w:b/>
          <w:bCs/>
          <w:color w:val="17365D"/>
          <w:sz w:val="16"/>
          <w:szCs w:val="16"/>
        </w:rPr>
        <w:t xml:space="preserve">Bottom line. </w:t>
      </w:r>
      <w:r>
        <w:rPr>
          <w:sz w:val="16"/>
          <w:szCs w:val="16"/>
        </w:rPr>
        <w:t xml:space="preserve">A SEER analysis arguing that tumour size alone should not decide observation versus surgery for sub-2 cm non-functional pancreatic NET, but its central comparison is between operated patients and a residual unoperated group that was older and sicker, and the equal cancer-specific survival after matching points to selection rather than to any benefit of resection.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Inherent biases of a retrospective design could not be completely eliminated even with propensity score matching</w:t>
            </w:r>
          </w:p>
          <w:p>
            <w:pPr>
              <w:pStyle w:val="ListParagraph"/>
              <w:numPr>
                <w:ilvl w:val="0"/>
                <w:numId w:val="2"/>
              </w:numPr>
              <w:spacing w:after="45"/>
            </w:pPr>
            <w:r>
              <w:rPr>
                <w:sz w:val="15"/>
                <w:szCs w:val="15"/>
              </w:rPr>
              <w:t xml:space="preserve">SEER lacks important prognostic parameters including the Ki-67 index and surgery-related complications</w:t>
            </w:r>
          </w:p>
          <w:p>
            <w:pPr>
              <w:pStyle w:val="ListParagraph"/>
              <w:numPr>
                <w:ilvl w:val="0"/>
                <w:numId w:val="2"/>
              </w:numPr>
              <w:spacing w:after="45"/>
            </w:pPr>
            <w:r>
              <w:rPr>
                <w:sz w:val="15"/>
                <w:szCs w:val="15"/>
              </w:rPr>
              <w:t xml:space="preserve">The small number of patients remaining after propensity score matching may limit the generalisability of the results</w:t>
            </w:r>
          </w:p>
          <w:p>
            <w:pPr>
              <w:pStyle w:val="ListParagraph"/>
              <w:numPr>
                <w:ilvl w:val="0"/>
                <w:numId w:val="2"/>
              </w:numPr>
              <w:spacing w:after="45"/>
            </w:pPr>
            <w:r>
              <w:rPr>
                <w:sz w:val="15"/>
                <w:szCs w:val="15"/>
              </w:rPr>
              <w:t xml:space="preserve">Further prospective multicentric studies and more robust data are required to validate the conservative policy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signature finding - surgery improves overall survival while cancer-specific survival is identical - is the classic pattern of confounding by comorbidity and selection, not a treatment effect, and the authors nevertheless report the OS difference as a survival advantage of surgery in the abstract</w:t>
            </w:r>
          </w:p>
          <w:p>
            <w:pPr>
              <w:pStyle w:val="ListParagraph"/>
              <w:numPr>
                <w:ilvl w:val="0"/>
                <w:numId w:val="2"/>
              </w:numPr>
              <w:spacing w:after="45"/>
            </w:pPr>
            <w:r>
              <w:rPr>
                <w:sz w:val="15"/>
                <w:szCs w:val="15"/>
              </w:rPr>
              <w:t xml:space="preserve">SEER cannot distinguish a patient enrolled in planned surveillance from one never offered an operation because of frailty, dementia or advanced age, so the 'observation' arm is a residual category of the unoperated; the pre-matching table shows it was older and had seven times the rate of liver involvement</w:t>
            </w:r>
          </w:p>
          <w:p>
            <w:pPr>
              <w:pStyle w:val="ListParagraph"/>
              <w:numPr>
                <w:ilvl w:val="0"/>
                <w:numId w:val="2"/>
              </w:numPr>
              <w:spacing w:after="45"/>
            </w:pPr>
            <w:r>
              <w:rPr>
                <w:sz w:val="15"/>
                <w:szCs w:val="15"/>
              </w:rPr>
              <w:t xml:space="preserve">Functional status, symptoms and incidental detection are not recorded in SEER, so 'nonfunctional' and 'asymptomatic' are assumed rather than established, and some functional tumours are certainly included</w:t>
            </w:r>
          </w:p>
          <w:p>
            <w:pPr>
              <w:pStyle w:val="ListParagraph"/>
              <w:numPr>
                <w:ilvl w:val="0"/>
                <w:numId w:val="2"/>
              </w:numPr>
              <w:spacing w:after="45"/>
            </w:pPr>
            <w:r>
              <w:rPr>
                <w:sz w:val="15"/>
                <w:szCs w:val="15"/>
              </w:rPr>
              <w:t xml:space="preserve">The 2.50 cm ROC cutoff is derived and reported in the same dataset with no validation, and 'aggressiveness' is a composite of poor differentiation, nodal involvement, liver involvement and advanced stage - variables mathematically entangled with size and with each other, so that size is guaranteed to predict the composite; specificity of 63% would be unusable clinically</w:t>
            </w:r>
          </w:p>
          <w:p>
            <w:pPr>
              <w:pStyle w:val="ListParagraph"/>
              <w:numPr>
                <w:ilvl w:val="0"/>
                <w:numId w:val="2"/>
              </w:numPr>
              <w:spacing w:after="45"/>
            </w:pPr>
            <w:r>
              <w:rPr>
                <w:sz w:val="15"/>
                <w:szCs w:val="15"/>
              </w:rPr>
              <w:t xml:space="preserve">The exploratory 407-patient subgroup was selected using the Cox model fitted to the same data, so its null result is circular rather than independent corroboration</w:t>
            </w:r>
          </w:p>
          <w:p>
            <w:pPr>
              <w:pStyle w:val="ListParagraph"/>
              <w:numPr>
                <w:ilvl w:val="0"/>
                <w:numId w:val="2"/>
              </w:numPr>
              <w:spacing w:after="45"/>
            </w:pPr>
            <w:r>
              <w:rPr>
                <w:sz w:val="15"/>
                <w:szCs w:val="15"/>
              </w:rPr>
              <w:t xml:space="preserve">Propensity matching left 259 per arm and could only balance the variables SEER records; what it cannot balance - performance status, comorbidity, Ki-67, reason for not operating - is exactly what drives the OS gap</w:t>
            </w:r>
          </w:p>
          <w:p>
            <w:pPr>
              <w:pStyle w:val="ListParagraph"/>
              <w:numPr>
                <w:ilvl w:val="0"/>
                <w:numId w:val="2"/>
              </w:numPr>
              <w:spacing w:after="45"/>
            </w:pPr>
            <w:r>
              <w:rPr>
                <w:sz w:val="15"/>
                <w:szCs w:val="15"/>
              </w:rPr>
              <w:t xml:space="preserve">There is no imaging follow-up, no growth rate, no crossover and no information on surveillance intensity, so the paper has no purchase at all on surveillance as a management strategy despite its title</w:t>
            </w:r>
          </w:p>
          <w:p>
            <w:pPr>
              <w:pStyle w:val="ListParagraph"/>
              <w:numPr>
                <w:ilvl w:val="0"/>
                <w:numId w:val="2"/>
              </w:numPr>
              <w:spacing w:after="45"/>
            </w:pPr>
            <w:r>
              <w:rPr>
                <w:sz w:val="15"/>
                <w:szCs w:val="15"/>
              </w:rPr>
              <w:t xml:space="preserve">The paper misspells the central reference it reinterprets ('Ssdot et al.') and attributes Cherenfant's findings to Gratian, which is a sign of how closely the source literature was read</w:t>
            </w:r>
          </w:p>
        </w:tc>
      </w:tr>
    </w:tbl>
    <w:p>
      <w:pPr>
        <w:keepNext/>
        <w:spacing w:after="50" w:before="260"/>
      </w:pPr>
      <w:r>
        <w:rPr>
          <w:rFonts w:ascii="Cambria" w:cs="Cambria" w:eastAsia="Cambria" w:hAnsi="Cambria"/>
          <w:b/>
          <w:bCs/>
          <w:color w:val="17365D"/>
          <w:sz w:val="20"/>
          <w:szCs w:val="20"/>
        </w:rPr>
        <w:t xml:space="preserve">Zheng-Pywell 2022</w:t>
      </w:r>
      <w:r>
        <w:rPr>
          <w:b/>
          <w:bCs/>
          <w:color w:val="176A87"/>
          <w:sz w:val="15"/>
          <w:szCs w:val="15"/>
        </w:rPr>
        <w:t xml:space="preserve">   Retrospective cohort</w:t>
      </w:r>
      <w:r>
        <w:rPr>
          <w:color w:val="5A6069"/>
          <w:sz w:val="15"/>
          <w:szCs w:val="15"/>
        </w:rPr>
        <w:t xml:space="preserve">   PMID 35380181</w:t>
      </w:r>
    </w:p>
    <w:p>
      <w:pPr>
        <w:spacing w:after="50" w:line="276"/>
      </w:pPr>
      <w:r>
        <w:rPr>
          <w:color w:val="5A6069"/>
          <w:sz w:val="17"/>
          <w:szCs w:val="17"/>
        </w:rPr>
        <w:t xml:space="preserve">Are we undertreating Black patients with nonfunctional pancreatic neuroendocrine tumors? Critical analysis of current surveillance guidelines by race.</w:t>
      </w:r>
    </w:p>
    <w:p>
      <w:pPr>
        <w:spacing w:after="50"/>
      </w:pPr>
      <w:r>
        <w:rPr>
          <w:b/>
          <w:bCs/>
          <w:color w:val="176A87"/>
          <w:sz w:val="16"/>
          <w:szCs w:val="16"/>
        </w:rPr>
        <w:t xml:space="preserve">Population. </w:t>
      </w:r>
      <w:r>
        <w:rPr>
          <w:sz w:val="16"/>
          <w:szCs w:val="16"/>
        </w:rPr>
        <w:t xml:space="preserve">453 patients (388 or 389 White, 65 Black) in the initial dataset and 5532 (4772 White, 760 Black) in the NCDB validation dataset</w:t>
      </w:r>
    </w:p>
    <w:p>
      <w:pPr>
        <w:spacing w:after="70"/>
      </w:pPr>
      <w:r>
        <w:rPr>
          <w:b/>
          <w:bCs/>
          <w:color w:val="17365D"/>
          <w:sz w:val="16"/>
          <w:szCs w:val="16"/>
        </w:rPr>
        <w:t xml:space="preserve">Bottom line. </w:t>
      </w:r>
      <w:r>
        <w:rPr>
          <w:sz w:val="16"/>
          <w:szCs w:val="16"/>
        </w:rPr>
        <w:t xml:space="preserve">Among resected nonfunctional PNET, Black patients had roughly double the rate of nodal metastasis in tumours under 2 cm and tumour size did not predict nodal spread in them at all - a signal worth taking seriously, but it rests on 7 of 30 patients, does not replicate below 1 cm, comes entirely from an operated population, and offers no measure of access or delay to explain it.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retrospective nature makes unintentional contributions of bias likely</w:t>
            </w:r>
          </w:p>
          <w:p>
            <w:pPr>
              <w:pStyle w:val="ListParagraph"/>
              <w:numPr>
                <w:ilvl w:val="0"/>
                <w:numId w:val="2"/>
              </w:numPr>
              <w:spacing w:after="45"/>
            </w:pPr>
            <w:r>
              <w:rPr>
                <w:sz w:val="15"/>
                <w:szCs w:val="15"/>
              </w:rPr>
              <w:t xml:space="preserve">Individual patients may be represented in both datasets because institutions in the USNETSG also submit reports to the NCDB</w:t>
            </w:r>
          </w:p>
          <w:p>
            <w:pPr>
              <w:pStyle w:val="ListParagraph"/>
              <w:numPr>
                <w:ilvl w:val="0"/>
                <w:numId w:val="2"/>
              </w:numPr>
              <w:spacing w:after="45"/>
            </w:pPr>
            <w:r>
              <w:rPr>
                <w:sz w:val="15"/>
                <w:szCs w:val="15"/>
              </w:rPr>
              <w:t xml:space="preserve">The NCDB does not report WHO grade, so exclusion of grade 3 relies on differentiation; the authors argue most grade 3 tumours are poorly differentiated so the analysis should still be weighted to lower grade</w:t>
            </w:r>
          </w:p>
          <w:p>
            <w:pPr>
              <w:pStyle w:val="ListParagraph"/>
              <w:numPr>
                <w:ilvl w:val="0"/>
                <w:numId w:val="2"/>
              </w:numPr>
              <w:spacing w:after="45"/>
            </w:pPr>
            <w:r>
              <w:rPr>
                <w:sz w:val="15"/>
                <w:szCs w:val="15"/>
              </w:rPr>
              <w:t xml:space="preserve">The indolent nature of PNET makes survival analysis difficult even with a median three-year follow-up</w:t>
            </w:r>
          </w:p>
          <w:p>
            <w:pPr>
              <w:pStyle w:val="ListParagraph"/>
              <w:numPr>
                <w:ilvl w:val="0"/>
                <w:numId w:val="2"/>
              </w:numPr>
              <w:spacing w:after="45"/>
            </w:pPr>
            <w:r>
              <w:rPr>
                <w:sz w:val="15"/>
                <w:szCs w:val="15"/>
              </w:rPr>
              <w:t xml:space="preserve">The low rate of recurrence in Black patients (3 events) limits meaningful comparison of disease-free survival between racial groups</w:t>
            </w:r>
          </w:p>
          <w:p>
            <w:pPr>
              <w:pStyle w:val="ListParagraph"/>
              <w:numPr>
                <w:ilvl w:val="0"/>
                <w:numId w:val="2"/>
              </w:numPr>
              <w:spacing w:after="45"/>
            </w:pPr>
            <w:r>
              <w:rPr>
                <w:sz w:val="15"/>
                <w:szCs w:val="15"/>
              </w:rPr>
              <w:t xml:space="preserve">Disease-free survival is not synonymous with overall survival, so no conclusions about patient mortality can be derived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policy-relevant cell is 7 of 30 Black patients with sub-2 cm tumours and the sub-1 cm claim is 2 of 8 - counts from which a recommendation to resect more aggressively by race cannot responsibly be drawn, and the validation cohort fails to reproduce the sub-1 cm finding at all (10% vs 9%, p = 0.66), which the paper notes but does not let alter the conclusion</w:t>
            </w:r>
          </w:p>
          <w:p>
            <w:pPr>
              <w:pStyle w:val="ListParagraph"/>
              <w:numPr>
                <w:ilvl w:val="0"/>
                <w:numId w:val="2"/>
              </w:numPr>
              <w:spacing w:after="45"/>
            </w:pPr>
            <w:r>
              <w:rPr>
                <w:sz w:val="15"/>
                <w:szCs w:val="15"/>
              </w:rPr>
              <w:t xml:space="preserve">Every patient in both cohorts was resected and had nodes removed, so this measures the prevalence of nodal metastasis among people already selected for an oncological operation, not among the surveillance candidates the guideline addresses - the very selection the paper criticises in the guideline is reproduced in its own design</w:t>
            </w:r>
          </w:p>
          <w:p>
            <w:pPr>
              <w:pStyle w:val="ListParagraph"/>
              <w:numPr>
                <w:ilvl w:val="0"/>
                <w:numId w:val="2"/>
              </w:numPr>
              <w:spacing w:after="45"/>
            </w:pPr>
            <w:r>
              <w:rPr>
                <w:sz w:val="15"/>
                <w:szCs w:val="15"/>
              </w:rPr>
              <w:t xml:space="preserve">Race is treated as a biological variable with no measure of insurance, income, referral delay, time from symptom to diagnosis or access to imaging, any of which would produce the same size-independent association between Black race and nodal disease at resection</w:t>
            </w:r>
          </w:p>
          <w:p>
            <w:pPr>
              <w:pStyle w:val="ListParagraph"/>
              <w:numPr>
                <w:ilvl w:val="0"/>
                <w:numId w:val="2"/>
              </w:numPr>
              <w:spacing w:after="45"/>
            </w:pPr>
            <w:r>
              <w:rPr>
                <w:sz w:val="15"/>
                <w:szCs w:val="15"/>
              </w:rPr>
              <w:t xml:space="preserve">The authors acknowledge the two datasets overlap institutionally, which means the NCDB 'validation' partly re-analyses the same patients and is not independent</w:t>
            </w:r>
          </w:p>
          <w:p>
            <w:pPr>
              <w:pStyle w:val="ListParagraph"/>
              <w:numPr>
                <w:ilvl w:val="0"/>
                <w:numId w:val="2"/>
              </w:numPr>
              <w:spacing w:after="45"/>
            </w:pPr>
            <w:r>
              <w:rPr>
                <w:sz w:val="15"/>
                <w:szCs w:val="15"/>
              </w:rPr>
              <w:t xml:space="preserve">Grade is excluded from one dataset and unavailable in the other, so the observed nodal difference may track grade, which is a stronger determinant of nodal spread than size</w:t>
            </w:r>
          </w:p>
          <w:p>
            <w:pPr>
              <w:pStyle w:val="ListParagraph"/>
              <w:numPr>
                <w:ilvl w:val="0"/>
                <w:numId w:val="2"/>
              </w:numPr>
              <w:spacing w:after="45"/>
            </w:pPr>
            <w:r>
              <w:rPr>
                <w:sz w:val="15"/>
                <w:szCs w:val="15"/>
              </w:rPr>
              <w:t xml:space="preserve">The recommendation runs opposite to this group's own prior USNETSG finding that node-negative Black patients had better five-year recurrence-free survival than White patients - a contradiction that is quoted in the discussion and then left unreconciled</w:t>
            </w:r>
          </w:p>
          <w:p>
            <w:pPr>
              <w:pStyle w:val="ListParagraph"/>
              <w:numPr>
                <w:ilvl w:val="0"/>
                <w:numId w:val="2"/>
              </w:numPr>
              <w:spacing w:after="45"/>
            </w:pPr>
            <w:r>
              <w:rPr>
                <w:sz w:val="15"/>
                <w:szCs w:val="15"/>
              </w:rPr>
              <w:t xml:space="preserve">Six size strata are compared across two datasets with additional regressions and subanalyses, with no correction for multiple comparisons; several of the significant p values would not survive one</w:t>
            </w:r>
          </w:p>
          <w:p>
            <w:pPr>
              <w:pStyle w:val="ListParagraph"/>
              <w:numPr>
                <w:ilvl w:val="0"/>
                <w:numId w:val="2"/>
              </w:numPr>
              <w:spacing w:after="45"/>
            </w:pPr>
            <w:r>
              <w:rPr>
                <w:sz w:val="15"/>
                <w:szCs w:val="15"/>
              </w:rPr>
              <w:t xml:space="preserve">The title's framing question ('are we undertreating Black patients?') presupposes that more resection is the remedy, when the same data are equally consistent with Black patients reaching resection later in the disease course</w:t>
            </w:r>
          </w:p>
        </w:tc>
      </w:tr>
    </w:tbl>
    <w:p>
      <w:pPr>
        <w:spacing w:after="0" w:line="276"/>
      </w:pPr>
      <w:r>
        <w:rPr>
          <w:color w:val="5A6069"/>
          <w:sz w:val="14"/>
          <w:szCs w:val="14"/>
        </w:rPr>
        <w:t xml:space="preserve">Funding: National Cancer Institute of the NIH awards T32CA229102 and K08CA234209. Disclosures: C. Yates receives consulting fees from Amgen, QED Therapeutics and Riptide Biosciences and owns stock in Riptide; F. Rocha is a paid consultant to Medtronic.</w:t>
      </w:r>
    </w:p>
    <w:p>
      <w:pPr>
        <w:pStyle w:val="Heading2"/>
        <w:keepNext/>
        <w:spacing w:after="110" w:before="320"/>
      </w:pPr>
      <w:r>
        <w:rPr>
          <w:rFonts w:ascii="Cambria" w:cs="Cambria" w:eastAsia="Cambria" w:hAnsi="Cambria"/>
          <w:b/>
          <w:bCs/>
          <w:color w:val="17365D"/>
          <w:sz w:val="26"/>
          <w:szCs w:val="26"/>
        </w:rPr>
        <w:t xml:space="preserve">Sources not abstracted in full</w:t>
      </w:r>
    </w:p>
    <w:p>
      <w:pPr>
        <w:spacing w:after="120" w:line="276"/>
      </w:pPr>
      <w:r>
        <w:rPr>
          <w:i/>
          <w:iCs/>
          <w:color w:val="5A6069"/>
          <w:sz w:val="20"/>
          <w:szCs w:val="20"/>
        </w:rPr>
        <w:t xml:space="preserve">These carry no entry above. A guideline or policy document is cited for what it states rather than for a result, and a paper listed here without a PMID could not be retrieved — in either case the roadmap's claim rests on the source as quoted, not on a full-text read of it.</w:t>
      </w:r>
    </w:p>
    <w:p>
      <w:pPr>
        <w:pStyle w:val="ListParagraph"/>
        <w:numPr>
          <w:ilvl w:val="0"/>
          <w:numId w:val="2"/>
        </w:numPr>
        <w:spacing w:after="60" w:line="268"/>
      </w:pPr>
      <w:r>
        <w:rPr>
          <w:color w:val="15181F"/>
          <w:sz w:val="16"/>
          <w:szCs w:val="16"/>
        </w:rPr>
        <w:t xml:space="preserve">AACE MEN1 2025 — Del Rivero J, Gangi A, Annes JP, et al. American Association of Clinical Endocrinology consensus statement on management of multiple endocrine neoplasia type 1. Endocr Pract. 2025 (published online 26 March 2025). doi:10</w:t>
      </w:r>
    </w:p>
    <w:p>
      <w:pPr>
        <w:pStyle w:val="ListParagraph"/>
        <w:numPr>
          <w:ilvl w:val="0"/>
          <w:numId w:val="2"/>
        </w:numPr>
        <w:spacing w:after="60" w:line="268"/>
      </w:pPr>
      <w:r>
        <w:rPr>
          <w:color w:val="15181F"/>
          <w:sz w:val="16"/>
          <w:szCs w:val="16"/>
        </w:rPr>
        <w:t xml:space="preserve">ENETS 2023 functioning — Hofland J, Falconi M, Christ E, et al. European Neuroendocrine Tumor Society 2023 guidance paper for functioning pancreatic neuroendocrine tumour syndromes. J Neuroendocrinol. 2023;35(8):e13318. doi:10.1111/jne.13318. PM</w:t>
      </w:r>
    </w:p>
    <w:p>
      <w:pPr>
        <w:pStyle w:val="ListParagraph"/>
        <w:numPr>
          <w:ilvl w:val="0"/>
          <w:numId w:val="2"/>
        </w:numPr>
        <w:spacing w:after="60" w:line="268"/>
      </w:pPr>
      <w:r>
        <w:rPr>
          <w:color w:val="15181F"/>
          <w:sz w:val="16"/>
          <w:szCs w:val="16"/>
        </w:rPr>
        <w:t xml:space="preserve">ENETS 2023 NEC — Sorbye H, Grande E, Pavel M, et al. European Neuroendocrine Tumor Society (ENETS) 2023 guidance paper for digestive neuroendocrine carcinoma. J Neuroendocrinol. 2023;35(3):e13249. doi:10.1111/jne.13249. PMID:36924180.</w:t>
      </w:r>
    </w:p>
    <w:p>
      <w:pPr>
        <w:pStyle w:val="ListParagraph"/>
        <w:numPr>
          <w:ilvl w:val="0"/>
          <w:numId w:val="2"/>
        </w:numPr>
        <w:spacing w:after="60" w:line="268"/>
      </w:pPr>
      <w:r>
        <w:rPr>
          <w:color w:val="15181F"/>
          <w:sz w:val="16"/>
          <w:szCs w:val="16"/>
        </w:rPr>
        <w:t xml:space="preserve">Full-text depot, read 7 October 2026 — Twenty-eight of the 33 indexed papers on this page were obtained in full text, abstracted to a fixed schema capturing setting, inclusion, exclusion, results, the authors' own stated limitations, an independent critique a</w:t>
      </w:r>
    </w:p>
    <w:p>
      <w:pPr>
        <w:pStyle w:val="ListParagraph"/>
        <w:numPr>
          <w:ilvl w:val="0"/>
          <w:numId w:val="2"/>
        </w:numPr>
        <w:spacing w:after="60" w:line="268"/>
      </w:pPr>
      <w:r>
        <w:rPr>
          <w:color w:val="15181F"/>
          <w:sz w:val="16"/>
          <w:szCs w:val="16"/>
        </w:rPr>
        <w:t xml:space="preserve">MEN1 pancreas consensus — Niederle B, Selberherr A, Bartsch DK, et al. Multiple endocrine neoplasia type 1 (MEN1) and the pancreas: diagnosis and treatment of functioning and non-functioning pancreatic and duodenal neuroendocrine neoplasia within</w:t>
      </w:r>
    </w:p>
    <w:p>
      <w:pPr>
        <w:pStyle w:val="ListParagraph"/>
        <w:numPr>
          <w:ilvl w:val="0"/>
          <w:numId w:val="2"/>
        </w:numPr>
        <w:spacing w:after="60" w:line="268"/>
      </w:pPr>
      <w:r>
        <w:rPr>
          <w:color w:val="15181F"/>
          <w:sz w:val="16"/>
          <w:szCs w:val="16"/>
        </w:rPr>
        <w:t xml:space="preserve">NANETS 2020 surgical — Howe JR, Merchant NB, Conrad C, et al. The North American Neuroendocrine Tumor Society consensus paper on the surgical management of pancreatic neuroendocrine tumors. Pancreas. 2020;49(1):1-33. doi:10.1097/MPA.0000000000</w:t>
      </w:r>
    </w:p>
    <w:p>
      <w:pPr>
        <w:pStyle w:val="ListParagraph"/>
        <w:numPr>
          <w:ilvl w:val="0"/>
          <w:numId w:val="2"/>
        </w:numPr>
        <w:spacing w:after="60" w:line="268"/>
      </w:pPr>
      <w:r>
        <w:rPr>
          <w:color w:val="15181F"/>
          <w:sz w:val="16"/>
          <w:szCs w:val="16"/>
        </w:rPr>
        <w:t xml:space="preserve">NCCN Neuroendocrine and Adrenal Tumors — National Comprehensive Cancer Network. Neuroendocrine and Adrenal Tumors. NCCN Clinical Practice Guidelines in Oncology. Version not stated in the programme-supplied extraction: its most recent references, including the </w:t>
      </w:r>
    </w:p>
    <w:p>
      <w:pPr>
        <w:pStyle w:val="ListParagraph"/>
        <w:numPr>
          <w:ilvl w:val="0"/>
          <w:numId w:val="2"/>
        </w:numPr>
        <w:spacing w:after="60" w:line="268"/>
      </w:pPr>
      <w:r>
        <w:rPr>
          <w:color w:val="15181F"/>
          <w:sz w:val="16"/>
          <w:szCs w:val="16"/>
        </w:rPr>
        <w:t xml:space="preserve">NCT05040360 — Randomised trial of chemotherapy after resection of pancreatic neuroendocrine tumour, cited by NCCN as the ongoing study exploring the utility of adjuvant treatment. Named here because it is the correct destination for a</w:t>
      </w:r>
    </w:p>
    <w:p>
      <w:pPr>
        <w:pStyle w:val="ListParagraph"/>
        <w:numPr>
          <w:ilvl w:val="0"/>
          <w:numId w:val="2"/>
        </w:numPr>
        <w:spacing w:after="60" w:line="268"/>
      </w:pPr>
      <w:r>
        <w:rPr>
          <w:color w:val="15181F"/>
          <w:sz w:val="16"/>
          <w:szCs w:val="16"/>
        </w:rPr>
        <w:t xml:space="preserve">NELM pathway — Memorial Hermann Neuroendocrine Liver Metastases System Roadmap, as rendered on the NELM pathway page, Draft v0.6. The destination for every patient on this page who develops or presents with hepatic metastases. It carri</w:t>
      </w:r>
    </w:p>
    <w:p>
      <w:pPr>
        <w:pStyle w:val="ListParagraph"/>
        <w:numPr>
          <w:ilvl w:val="0"/>
          <w:numId w:val="2"/>
        </w:numPr>
        <w:spacing w:after="60" w:line="268"/>
      </w:pPr>
      <w:r>
        <w:rPr>
          <w:color w:val="15181F"/>
          <w:sz w:val="16"/>
          <w:szCs w:val="16"/>
        </w:rPr>
        <w:t xml:space="preserve">This page is a first draft — There is no Memorial Hermann system roadmap for primary pancreatic neuroendocrine tumour and no guideline alignment worksheet for it. Every position on this page was assembled from published guidelines and primary litera</w:t>
      </w:r>
    </w:p>
    <w:p>
      <w:pPr>
        <w:pStyle w:val="ListParagraph"/>
        <w:numPr>
          <w:ilvl w:val="0"/>
          <w:numId w:val="2"/>
        </w:numPr>
        <w:spacing w:after="60" w:line="268"/>
      </w:pPr>
      <w:r>
        <w:rPr>
          <w:color w:val="15181F"/>
          <w:sz w:val="16"/>
          <w:szCs w:val="16"/>
        </w:rPr>
        <w:t xml:space="preserve">WHO 2019 digestive — Klimstra DS, Klöppel G, La Rosa S, et al. Classification of neuroendocrine neoplasms of the digestive system. In: WHO Classification of Tumours Editorial Board. Digestive system tumours. 5th ed, vol 1. Lyon: Internationa</w:t>
      </w:r>
    </w:p>
    <w:p>
      <w:pPr>
        <w:pStyle w:val="Heading1"/>
        <w:widowControl/>
        <w:keepNext/>
      </w:pPr>
      <w:r>
        <w:t xml:space="preserve">References: previously treated extrahepatic disease</w:t>
      </w:r>
    </w:p>
    <w:p>
      <w:pPr>
        <w:pStyle w:val="Normal"/>
        <w:widowControl/>
        <w:spacing w:after="120"/>
      </w:pPr>
      <w:r>
        <w:t xml:space="preserve"/>
      </w:r>
      <w:r>
        <w:fldChar w:fldCharType="begin"/>
      </w:r>
      <w:r>
        <w:instrText xml:space="preserve"> ADDIN EN.REFLIST </w:instrText>
      </w:r>
      <w:r>
        <w:fldChar w:fldCharType="separate"/>
      </w:r>
      <w:r>
        <w:t xml:space="preserve">[V16-1] Howe, James R; Merchant, Nipun B; Conrad, Claudius; et al. The North American Neuroendocrine Tumor Society Consensus Paper on the Surgical Management of Pancreatic Neuroendocrine Tumors. Pancreas. 2020; 49(1):1-33. </w:t>
      </w:r>
      <w:hyperlink r:id="rId13">
        <w:r>
          <w:rPr>
            <w:color w:val="0563C1"/>
            <w:u w:val="single"/>
          </w:rPr>
          <w:t>Source</w:t>
        </w:r>
      </w:hyperlink>
      <w:r>
        <w:t xml:space="preserve"> | </w:t>
      </w:r>
      <w:hyperlink r:id="rId14">
        <w:r>
          <w:rPr>
            <w:color w:val="0563C1"/>
            <w:u w:val="single"/>
          </w:rPr>
          <w:t>Full-text access</w:t>
        </w:r>
      </w:hyperlink>
    </w:p>
    <w:p>
      <w:pPr>
        <w:pStyle w:val="Normal"/>
        <w:widowControl/>
        <w:spacing w:after="120"/>
      </w:pPr>
      <w:r>
        <w:t xml:space="preserve"/>
      </w:r>
      <w:r>
        <w:t xml:space="preserve">[V16-2] Partelli, Stefano; Cirocchi, Roberto; Rancoita, Paola M V; et al. A Systematic review and meta-analysis on the role of palliative primary resection for pancreatic neuroendocrine neoplasm with liver metastases. HPB : the official journal of the International Hepato Pancreato Biliary Association. 2017; 20(3):197-203. </w:t>
      </w:r>
      <w:hyperlink r:id="rId15">
        <w:r>
          <w:rPr>
            <w:color w:val="0563C1"/>
            <w:u w:val="single"/>
          </w:rPr>
          <w:t>Source</w:t>
        </w:r>
      </w:hyperlink>
      <w:r>
        <w:t xml:space="preserve"> | Local PDF not available in this update</w:t>
      </w:r>
    </w:p>
    <w:p>
      <w:pPr>
        <w:pStyle w:val="Normal"/>
        <w:widowControl/>
        <w:spacing w:after="120"/>
      </w:pPr>
      <w:r>
        <w:t xml:space="preserve"/>
      </w:r>
      <w:r>
        <w:t xml:space="preserve">[V16-3] Podrascanin, Vanja; Ammann, Markus; Gudmundsdottir, Hallbera; et al. The Role of Primary Tumor Resection in Surgical Management of Asymptomatic Metastatic PNETs: A Retrospective Single-Center Study. Annals of surgical oncology. 2025; 33(4):3526-3534. </w:t>
      </w:r>
      <w:hyperlink r:id="rId16">
        <w:r>
          <w:rPr>
            <w:color w:val="0563C1"/>
            <w:u w:val="single"/>
          </w:rPr>
          <w:t>Source</w:t>
        </w:r>
      </w:hyperlink>
      <w:r>
        <w:t xml:space="preserve"> | Local PDF not available in this update</w:t>
      </w:r>
      <w:r>
        <w:fldChar w:fldCharType="end"/>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pNET-R1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1 cited study lines rest on full-text reading (complete main text; relevant complete sections of long guidelines) and 2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Memorial Hermann PNET system roadmap V16 · Extrahepatic-disease update, 29 October 2026 · draft, not ratified</w:t>
    </w:r>
    <w:r>
      <w:rPr>
        <w:sz w:val="15"/>
        <w:szCs w:val="15"/>
      </w:rPr>
      <w:t xml:space="preserve">	</w:t>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doi.org/10.1097/MPA.0000000000001454" TargetMode="External"/><Relationship Id="rId10" Type="http://schemas.openxmlformats.org/officeDocument/2006/relationships/hyperlink" Target="https://drliuhao.github.io/mh-liver-pathways/evidence-libraries/" TargetMode="External"/><Relationship Id="rId11" Type="http://schemas.openxmlformats.org/officeDocument/2006/relationships/hyperlink" Target="https://doi.org/10.1016/j.hpb.2017.10.014" TargetMode="External"/><Relationship Id="rId12" Type="http://schemas.openxmlformats.org/officeDocument/2006/relationships/hyperlink" Target="https://doi.org/10.1245/s10434-025-18835-z" TargetMode="External"/><Relationship Id="rId13" Type="http://schemas.openxmlformats.org/officeDocument/2006/relationships/hyperlink" Target="https://doi.org/10.1097/MPA.0000000000001454" TargetMode="External"/><Relationship Id="rId14" Type="http://schemas.openxmlformats.org/officeDocument/2006/relationships/hyperlink" Target="https://drliuhao.github.io/mh-liver-pathways/evidence-libraries/" TargetMode="External"/><Relationship Id="rId15" Type="http://schemas.openxmlformats.org/officeDocument/2006/relationships/hyperlink" Target="https://doi.org/10.1016/j.hpb.2017.10.014" TargetMode="External"/><Relationship Id="rId16" Type="http://schemas.openxmlformats.org/officeDocument/2006/relationships/hyperlink" Target="https://doi.org/10.1245/s10434-025-18835-z"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PNET system roadmap v0.2</dc:title>
  <dc:subject>Pancreatic neuroendocrine tumour, primary</dc:subject>
  <dc:creator>Memorial Hermann / UTHealth Houston tumour roadmap programme</dc:creator>
  <dc:description>Draft under development. Not ratified clinical policy.</dc:description>
  <cp:lastModifiedBy>Un-named</cp:lastModifiedBy>
  <cp:revision>1</cp:revision>
  <dcterms:created xsi:type="dcterms:W3CDTF">2026-10-10T04:29:19.408Z</dcterms:created>
  <dcterms:modified xsi:type="dcterms:W3CDTF">2026-10-29T14:21:31Z</dcterms:modified>
</cp:coreProperties>
</file>

<file path=docProps/custom.xml><?xml version="1.0" encoding="utf-8"?>
<Properties xmlns="http://schemas.openxmlformats.org/officeDocument/2006/custom-properties" xmlns:vt="http://schemas.openxmlformats.org/officeDocument/2006/docPropsVTypes"/>
</file>