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HCC — Evidence, Alignment and Meeting Decisions</w:t>
      </w:r>
    </w:p>
    <w:p>
      <w:pPr>
        <w:pStyle w:val="Normal"/>
        <w:widowControl/>
      </w:pPr>
      <w:r>
        <w:t xml:space="preserve">Evidence-before-recommendation record for the HCC B questions. This is a high-risk/boundary meeting record, not the complete standard-protocol decision log. All institutional decision fields remain blank.</w:t>
      </w:r>
    </w:p>
    <w:p>
      <w:pPr>
        <w:pStyle w:val="Normal"/>
        <w:widowControl/>
      </w:pPr>
      <w:r>
        <w:t xml:space="preserve">Version 12  |  Revised 2026-10-25 04:54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hM2FhZmRmYy02YzE4LTUyMmMtOGE2OC1mYTBhZDI4ZjUxZDIiIHRpbWVzdGFtcD0iMTc5MjkyMTA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bookmarkStart w:id="1" w:name="HCC_B1"/>
      <w:r>
        <w:t xml:space="preserve">HCC-B1 — How far beyond UNOS-DS should the program attempt downstaging?</w:t>
      </w:r>
      <w:bookmarkEnd w:id="1"/>
    </w:p>
    <w:p>
      <w:pPr>
        <w:pStyle w:val="Normal"/>
        <w:widowControl/>
        <w:spacing w:before="60" w:after="20"/>
      </w:pPr>
      <w:r>
        <w:t xml:space="preserve">OPEN — evidence review first; institutional decision remains blank.</w:t>
      </w:r>
    </w:p>
    <w:p>
      <w:pPr>
        <w:pStyle w:val="Normal"/>
        <w:widowControl/>
        <w:spacing w:before="60" w:after="20"/>
      </w:pPr>
      <w:hyperlink r:id="rId30">
        <w:r>
          <w:rPr>
            <w:color w:val="77230C"/>
            <w:sz w:val="20"/>
            <w:u w:val="single"/>
          </w:rPr>
          <w:t>Corresponding protocol / boundary addendum</w:t>
        </w:r>
      </w:hyperlink>
    </w:p>
    <w:p>
      <w:pPr>
        <w:pStyle w:val="Heading3"/>
        <w:keepNext/>
        <w:widowControl/>
      </w:pPr>
      <w:r>
        <w:t xml:space="preserve">Question and comparison</w:t>
      </w:r>
    </w:p>
    <w:p>
      <w:pPr>
        <w:pStyle w:val="Normal"/>
        <w:widowControl/>
        <w:spacing w:before="60" w:after="20"/>
      </w:pPr>
      <w:r>
        <w:t xml:space="preserve">Adults with initially unresectable HCC outside UNOS downstaging entry limits, without extrahepatic disease or viable macrovascular invasion; compare a bounded downstaging-to-transplant strategy with standard UNOS-DS and nontransplant management. Evaluate treatment-entry survival, dropout, probability of transplant, recipient survival and recurrence separately.</w:t>
      </w:r>
    </w:p>
    <w:p>
      <w:pPr>
        <w:pStyle w:val="Heading3"/>
        <w:keepNext/>
        <w:widowControl/>
      </w:pPr>
      <w:r>
        <w:t xml:space="preserve">Search scope and evidence access</w:t>
      </w:r>
    </w:p>
    <w:p>
      <w:pPr>
        <w:pStyle w:val="Normal"/>
        <w:widowControl/>
        <w:spacing w:before="60" w:after="20"/>
      </w:pPr>
      <w:r>
        <w:t xml:space="preserve">Targeted primary searches and backward reference checks covered UCSF downstaging, MERITS-LT/all-comers, national waitlist/recipient cohorts, randomized XXL and long-term outcomes through 24 October 2026. Eight pivotal studies are extracted below; overlapping MERITS cohorts are not independent replications. Newer prospective reports do not constitute prospective validation of the exact composite pilot rule.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t xml:space="preserve"> </w:t>
            </w:r>
            <w:r>
              <w:fldChar w:fldCharType="begin"/>
            </w:r>
            <w:r>
              <w:instrText xml:space="preserve"> ADDIN EN.CITE </w:instrText>
            </w:r>
            <w:r>
              <w:fldChar w:fldCharType="begin">
                <w:fldData>PEVuZE5vdGU+PENpdGU+PEF1dGhvcj5ZYW88L0F1dGhvcj48WWVhcj4yMDE1PC9ZZWFyPjxSZWNOdW0+MzwvUmVjTnVtPjxEaXNwbGF5VGV4dD5bVjEyLTNdPC9EaXNwbGF5VGV4dD48cmVjb3JkPjxyZWMtbnVtYmVyPjM8L3JlYy1udW1iZXI+PGZvcmVpZ24ta2V5cz48a2V5IGFwcD0iRU4iIGRiLWlkPSJhM2FhZmRmYy02YzE4LTUyMmMtOGE2OC1mYTBhZDI4ZjUxZDIiIHRpbWVzdGFtcD0iMTc5MjkyMTA4NyI+M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UCSF downstaging cohort: 122 entered; three LDLT cases and one with &lt;3-month follow-up excluded, leaving 118, compared with 488 patients listed within T2. Entry burden was bounded; major vascular invasion and extrahepatic spread excluded.</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 2–3/j 1969–1970: imaging, DS criteria, observation. | PDF p 4/j 1971: 122 → 118 flow, time origins, 77 success/64 LT. | PDF pp 5–6/j 1972–1973: survival/recurrence. | PDF pp 7–9/j 1974–1976: dropout models, harms, limitations.</w:t>
            </w:r>
          </w:p>
          <w:p>
            <w:pPr>
              <w:pStyle w:val="Normal"/>
              <w:widowControl/>
              <w:spacing w:before="60" w:after="20"/>
            </w:pPr>
            <w:r>
              <w:t xml:space="preserve">Review depth: Complete 10-page publisher paper identity verified; all main methods/results/tables/discussion read; supporting figures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ITT survival 56.1% for downstaging versus 63.3% for T2; two-year dropout 34.2% versus 25.6%. Five-year recipient OS 77.8% versus 81.0%; recurrence-free probability 90.8% versus 88.0%. Five recurrences among 64 downstaged recipients (7.8% calculated; article prints 7.5%). Safety: Three deaths from liver decompensation were reported during downstaging. Good recipient outcomes coexist with appreciable entry-cohort attrition.</w:t>
            </w:r>
          </w:p>
          <w:p>
            <w:pPr>
              <w:pStyle w:val="Normal"/>
              <w:widowControl/>
              <w:spacing w:before="60" w:after="20"/>
            </w:pPr>
            <w:r>
              <w:rPr>
                <w:b/>
              </w:rPr>
              <w:t xml:space="preserve">Do not infer: </w:t>
            </w:r>
            <w:r>
              <w:t xml:space="preserve">Nonrandom single-center comparison with different ITT origins and early exclusions; overlap with later UCSF series. Recurrence-free probability should not be treated as death-inclusive RFS. Three months was a protocol selection rule, not a randomized optimal duration.</w:t>
            </w:r>
          </w:p>
        </w:tc>
      </w:tr>
      <w:tr>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t xml:space="preserve"> </w:t>
            </w:r>
            <w:r>
              <w:fldChar w:fldCharType="begin"/>
            </w:r>
            <w:r>
              <w:instrText xml:space="preserve"> ADDIN EN.CITE </w:instrText>
            </w:r>
            <w:r>
              <w:fldChar w:fldCharType="begin">
                <w:fldData>PEVuZE5vdGU+PENpdGU+PEF1dGhvcj5NZWh0YTwvQXV0aG9yPjxZZWFyPjIwMjE8L1llYXI+PFJlY051bT40PC9SZWNOdW0+PERpc3BsYXlUZXh0PltWMTItNF08L0Rpc3BsYXlUZXh0PjxyZWNvcmQ+PHJlYy1udW1iZXI+NDwvcmVjLW51bWJlcj48Zm9yZWlnbi1rZXlzPjxrZXkgYXBwPSJFTiIgZGItaWQ9ImEzYWFmZGZjLTZjMTgtNTIyYy04YTY4LWZhMGFkMjhmNTFkMiIgdGltZXN0YW1wPSIxNzkyOTIxMDg3Ij40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Prospective seven-center MERITS-LT UNOS-DS cohort: 324 screened, 115 excluded and 209 enrolled. Initial treatment was TACE in 132 and Y90 in 62; modalities were not randomized.</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PDF p 3/j 1504: protocol, viable measurement, observation. | PDF p 4/j 1505: 324 screened, 115 excluded, time zero. | PDF pp 5–7/j 1506–1508: Tables 3, flow, DS/dropout/transplant/explant/outcomes. | PDF pp 8–9/j 1509–1510: selection, biomarker limits, modality/extra LRT interpretation.</w:t>
            </w:r>
          </w:p>
          <w:p>
            <w:pPr>
              <w:pStyle w:val="Normal"/>
              <w:widowControl/>
              <w:spacing w:before="60" w:after="20"/>
            </w:pPr>
            <w:r>
              <w:t xml:space="preserve">Review depth: Complete 11-page publisher paper identity verified; all main methods/results/tables/discussion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Successful downstaging 174/209 (83.3%); estimated two-year success 87.7%. Dropouts: 51 progression, nine liver-related deaths and 15 other reasons; primary two-year dropout estimate 37.3%. Estimated three-year LT probability 46.6% and ITT survival 73%. Recipient two-year OS 95%, three-year OS 83.1%, with five recurrences. Explants were beyond Milan in 42.8%, with microvascular invasion in 17.5%. Safety: Nine liver-related deaths among dropouts; substantial explant understaging despite imaging downstaging.</w:t>
            </w:r>
          </w:p>
          <w:p>
            <w:pPr>
              <w:pStyle w:val="Normal"/>
              <w:widowControl/>
              <w:spacing w:before="60" w:after="20"/>
            </w:pPr>
            <w:r>
              <w:rPr>
                <w:b/>
              </w:rPr>
              <w:t xml:space="preserve">Do not infer: </w:t>
            </w:r>
            <w:r>
              <w:t xml:space="preserve">Nonrandom modality choice; nonsignificant TACE/Y90 differences do not establish equivalence. Recipient follow-up is immature. AFP-L3 was available in only 83 patients; it is not a validated mandatory gate. This cohort overlaps later MERITS publications.</w:t>
            </w:r>
          </w:p>
        </w:tc>
      </w:tr>
      <w:tr>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t xml:space="preserve"> </w:t>
            </w:r>
            <w:r>
              <w:fldChar w:fldCharType="begin"/>
            </w:r>
            <w:r>
              <w:instrText xml:space="preserve"> ADDIN EN.CITE </w:instrText>
            </w:r>
            <w:r>
              <w:fldChar w:fldCharType="begin">
                <w:fldData>PEVuZE5vdGU+PENpdGU+PEF1dGhvcj5TaW5oYTwvQXV0aG9yPjxZZWFyPjIwMTk8L1llYXI+PFJlY051bT41PC9SZWNOdW0+PERpc3BsYXlUZXh0PltWMTItNV08L0Rpc3BsYXlUZXh0PjxyZWNvcmQ+PHJlYy1udW1iZXI+NTwvcmVjLW51bWJlcj48Zm9yZWlnbi1rZXlzPjxrZXkgYXBwPSJFTiIgZGItaWQ9ImEzYWFmZGZjLTZjMTgtNTIyYy04YTY4LWZhMGFkMjhmNTFkMiIgdGltZXN0YW1wPSIxNzkyOTIxMDg3Ij41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UCSF all-comers cohort of 74 patients beyond bounded UCSF downstaging entry criteria, compared with 133 bounded-entry patients. All-comers required six months and three scans without a new lesion after response; the bounded protocol used three months and allowed certain new lesions.</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PDF pp 2–4/j 1186–1188: entry and different protocols, time origins. | PDF pp 5–7/j 1189–1191: flow, ITT, burden model, complications. | PDF p 8/j 1192: all 10 recipient outcomes. | PDF pp 9–11/j 1193–1195: limits and &lt;12 conclusion.</w:t>
            </w:r>
          </w:p>
          <w:p>
            <w:pPr>
              <w:pStyle w:val="Normal"/>
              <w:widowControl/>
              <w:spacing w:before="60" w:after="20"/>
            </w:pPr>
            <w:r>
              <w:t xml:space="preserve">Review depth: Complete 12-page paper identity verified; all main methods/results/tables/discussion read; Supplement S1/S2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dropout 80% in all-comers versus 36.1% in bounded-entry patients; five-year ITT OS 21.1% versus 56.0%. Among ten all-comer recipients, five-year OS 50% and recurrence-free probability 40%; three recurrences and eight explants beyond Milan. Largest diameter plus lesion count of 12 corresponded to an estimated 47% one-year downstaging probability; the authors' concluding proposed boundary was &lt;12. Safety: Eight of 74 had treatment-associated decompensation: one of 40 Child-Pugh A, five of 27 B and two of six C patients. Favorable response did not prevent later dropout.</w:t>
            </w:r>
          </w:p>
          <w:p>
            <w:pPr>
              <w:pStyle w:val="Normal"/>
              <w:widowControl/>
              <w:spacing w:before="60" w:after="20"/>
            </w:pPr>
            <w:r>
              <w:rPr>
                <w:b/>
              </w:rPr>
              <w:t xml:space="preserve">Do not infer: </w:t>
            </w:r>
            <w:r>
              <w:t xml:space="preserve">Small single-center series with era/selection differences and overlap with Yao/UCSF cohorts. The burden threshold was exploratory; a local ≤12 boundary is not the same as the paper's &lt;12 proposal. Recurrence-free probability is not death-inclusive RFS. Dropout-reason narrative sums do not perfectly reconcile with 62.</w:t>
            </w:r>
          </w:p>
        </w:tc>
      </w:tr>
      <w:tr>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t xml:space="preserve"> </w:t>
            </w:r>
            <w:r>
              <w:fldChar w:fldCharType="begin"/>
            </w:r>
            <w:r>
              <w:instrText xml:space="preserve"> ADDIN EN.CITE </w:instrText>
            </w:r>
            <w:r>
              <w:fldChar w:fldCharType="begin">
                <w:fldData>PEVuZE5vdGU+PENpdGU+PEF1dGhvcj5OYXRhcmFqYW48L0F1dGhvcj48WWVhcj4yMDIzPC9ZZWFyPjxSZWNOdW0+NjwvUmVjTnVtPjxEaXNwbGF5VGV4dD5bVjEyLTZdPC9EaXNwbGF5VGV4dD48cmVjb3JkPjxyZWMtbnVtYmVyPjY8L3JlYy1udW1iZXI+PGZvcmVpZ24ta2V5cz48a2V5IGFwcD0iRU4iIGRiLWlkPSJhM2FhZmRmYy02YzE4LTUyMmMtOGE2OC1mYTBhZDI4ZjUxZDIiIHRpbWVzdGFtcD0iMTc5MjkyMTA4NyI+Njwva2V5PjwvZm9yZWlnbi1rZXlzPjxyZWYtdHlwZSBuYW1lPSJKb3VybmFsIEFydGljbGUiPjE3PC9yZWYtdHlwZT48Y29udHJpYnV0b3JzPjxhdXRob3JzPjxhdXRob3I+TmF0YXJhamFuLCBCcmFobWE8L2F1dGhvcj48YXV0aG9yPlRhYnJpemlhbiwgUGFyaXNzYTwvYXV0aG9yPjxhdXRob3I+SG90ZWl0LCBNYWFyb3VmPC9hdXRob3I+PGF1dGhvcj5GcmVuZXR0ZSwgQ2F0aGVyaW5lPC9hdXRob3I+PGF1dGhvcj5QYXJpa2gsIE5lZWhhcjwvYXV0aG9yPjxhdXRob3I+R2hhemlhbmksIFRhcmE8L2F1dGhvcj48YXV0aG9yPkRoYW5hc2VrYXJhbiwgUmVudTwvYXV0aG9yPjxhdXRob3I+R3V5LCBKZW5uaWZlcjwvYXV0aG9yPjxhdXRob3I+U2h1aSwgQW15PC9hdXRob3I+PGF1dGhvcj5GbG9ybWFuLCBTYW5kZXI8L2F1dGhvcj48YXV0aG9yPllhbywgRnJhbmNpcyBZLjwvYXV0aG9yPjxhdXRob3I+TWVodGEsIE5laWw8L2F1dGhvcj48L2F1dGhvcnM+PC9jb250cmlidXRvcnM+PHRpdGxlcz48dGl0bGU+RG93bnN0YWdpbmcgaGVwYXRvY2VsbHVsYXIgY2FyY2lub21hIGJlZm9yZSBsaXZlciB0cmFuc3BsYW50YXRpb246IEEgbXVsdGljZW50ZXIgYW5hbHlzaXMgb2YgdGhlICYjODIyMDthbGwtY29tZXJzJiM4MjIxOyBwcm90b2NvbCBpbiB0aGUgTXVsdGljZW50ZXIgRXZhbHVhdGlvbiBvZiBSZWR1Y3Rpb24gaW4gVHVtb3IgU2l6ZSBiZWZvcmUgTGl2ZXIgVHJhbnNwbGFudGF0aW9uIChNRVJJVFMtTFQpIGNvbnNvcnRpdW08L3RpdGxlPjxzZWNvbmRhcnktdGl0bGU+QW1lcmljYW4gSm91cm5hbCBvZiBUcmFuc3BsYW50YXRpb248L3NlY29uZGFyeS10aXRsZT48L3RpdGxlcz48cGVyaW9kaWNhbD48ZnVsbC10aXRsZT5BbWVyaWNhbiBKb3VybmFsIG9mIFRyYW5zcGxhbnRhdGlvbjwvZnVsbC10aXRsZT48L3BlcmlvZGljYWw+PGRhdGVzPjx5ZWFyPjIwMjM8L3llYXI+PC9kYXRlcz48dm9sdW1lPjIzPC92b2x1bWU+PG51bWJlcj4xMTwvbnVtYmVyPjxwYWdlcz4xNzcxLTE3ODA8L3BhZ2VzPjxlbGVjdHJvbmljLXJlc291cmNlLW51bT4xMC4xMDE2L2ouYWp0LjIwMjMuMDcuMDIxPC9lbGVjdHJvbmljLXJlc291cmNlLW51bT48bm90ZXM+Q2xpbmljYWwgc3R1ZHkgLyBndWlkYW5jZSBDb21wbGV0ZSB0ZW4tcGFnZSBtYWluIHBhcGVyIHJlYWQsIGluY2x1ZGluZyBtZXRob2RzLCByZXN1bHRzLCBhbGwgdGFibGVzLCBkaXNjdXNzaW9uIGFuZCByZWZlcmVuY2UgbGlzdC4gVjggZXh0cmFjdGlvbiBhbmQgbGltaXRhdGlvbnM6IHNvdXJjZS9oY2NfZnVsbHRleHRfcmV2aWV3Lmpzb248L25vdGVzPjx1cmxzPjxyZWxhdGVkLXVybHM+PHVybD5odHRwczovL2RvaS5vcmcvMTAuMTAxNi9qLmFqdC4yMDIzLjA3Lj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Prospective MERITS-LT expansion: 82 all-comers beyond UNOS-DS versus 229 UNOS-DS patients, 2015–2020. Overlaps the earlier MERITS cohort.</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PDF pp 2–3/j 1772–1773: population, protocol and time origins. | PDF pp 4–6/j 1774–1776: Tables 2–4, flow, outcomes and follow-up. | PDF pp 7–9/j 1777–1779: survival figure, Table 5, limitations.</w:t>
            </w:r>
          </w:p>
          <w:p>
            <w:pPr>
              <w:pStyle w:val="Normal"/>
              <w:widowControl/>
              <w:spacing w:before="60" w:after="20"/>
            </w:pPr>
            <w:r>
              <w:t xml:space="preserve">Review depth: Complete ten-page main paper read, including methods, results, all tables, discussion and reference list.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One-year downstaging probability 67.3% in all-comers versus 82.6% in UNOS-DS. Three-year ITT OS 58.1% versus 69.4%. All-comers with Child-Pugh B/C or AFP ≥500 had three-year ITT OS 29.9% versus 67.7% without those features; Child-Pugh B/C alone had 23.2%. Recipient three-year OS 90.9% versus 80.6%; recurrence 1/20 versus 7/85. Eight of 20 all-comer explants remained beyond Milan and four had microvascular invasion. Safety: Poor liver reserve/high AFP identified a high-attrition group; favorable recipient survival is heavily conditioned on reaching transplantation.</w:t>
            </w:r>
          </w:p>
          <w:p>
            <w:pPr>
              <w:pStyle w:val="Normal"/>
              <w:widowControl/>
              <w:spacing w:before="60" w:after="20"/>
            </w:pPr>
            <w:r>
              <w:rPr>
                <w:b/>
              </w:rPr>
              <w:t xml:space="preserve">Do not infer: </w:t>
            </w:r>
            <w:r>
              <w:t xml:space="preserve">Nonrandom selected enrollment; few all-comer recipients, immature long-term follow-up and overlap with prior MERITS reports. Does not validate a combined ≤12/AFP &lt;100/Child-Pugh A rule. Kaplan–Meier dropout or LT probabilities should not be described as competing-risk cumulative incidence.</w:t>
            </w:r>
          </w:p>
        </w:tc>
      </w:tr>
      <w:tr>
        <w:trPr/>
        <w:tc>
          <w:tcPr>
            <w:tcW w:w="34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fldChar w:fldCharType="begin"/>
            </w:r>
            <w:r>
              <w:instrText xml:space="preserve"> ADDIN EN.CITE </w:instrText>
            </w:r>
            <w:r>
              <w:fldChar w:fldCharType="begin">
                <w:fldData>PEVuZE5vdGU+PENpdGU+PEF1dGhvcj5YdTwvQXV0aG9yPjxZZWFyPjIwMjU8L1llYXI+PFJlY051bT43PC9SZWNOdW0+PERpc3BsYXlUZXh0PltWMTItN108L0Rpc3BsYXlUZXh0PjxyZWNvcmQ+PHJlYy1udW1iZXI+NzwvcmVjLW51bWJlcj48Zm9yZWlnbi1rZXlzPjxrZXkgYXBwPSJFTiIgZGItaWQ9ImEzYWFmZGZjLTZjMTgtNTIyYy04YTY4LWZhMGFkMjhmNTFkMiIgdGltZXN0YW1wPSIxNzkyOTIxMDg3Ij43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National prospective cohort, nine centers, 2015–2023: 190 all-comers and 326 UNOS-DS patients; intention-to-treat clock starts at first locoregional treatment.</w:t>
            </w:r>
          </w:p>
          <w:p>
            <w:pPr>
              <w:pStyle w:val="Normal"/>
              <w:widowControl/>
              <w:spacing w:before="60" w:after="20"/>
            </w:pPr>
            <w:r>
              <w:t xml:space="preserve">Selection: No extrahepatic disease or macrovascular invasion; all-comers exceeded UNOS-DS. Proposed burden and biologic refinements were derived from this cohort, not prospectively locked eligibility criteria.</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Complete local PDF, Results pp6–9, Tables 3–4; proposed refinements in Discussion pp9–11.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pStyle w:val="Normal"/>
              <w:widowControl/>
              <w:spacing w:before="60" w:after="20"/>
            </w:pPr>
            <w:r>
              <w:rPr>
                <w:b/>
              </w:rPr>
              <w:t xml:space="preserve">Do not infer: </w:t>
            </w:r>
            <w:r>
              <w:t xml:space="preserve">Selected-recipient success cannot replace entry survival; five-year tails are immature. Y90/TACE comparisons were observational. The proposed number-plus-diameter ≤12, AFP &lt;100 and Child-Pugh A combination remains unvalidated.</w:t>
            </w:r>
          </w:p>
        </w:tc>
      </w:tr>
      <w:tr>
        <w:trPr/>
        <w:tc>
          <w:tcPr>
            <w:tcW w:w="3400" w:type="dxa"/>
            <w:tcMar>
              <w:top w:w="90" w:type="dxa"/>
              <w:left w:w="90" w:type="dxa"/>
              <w:bottom w:w="90" w:type="dxa"/>
              <w:right w:w="90" w:type="dxa"/>
            </w:tcMar>
          </w:tcPr>
          <w:p>
            <w:pPr>
              <w:pStyle w:val="Normal"/>
              <w:widowControl/>
              <w:spacing w:before="60" w:after="20"/>
            </w:pPr>
            <w:r>
              <w:rPr>
                <w:b/>
              </w:rPr>
              <w:t xml:space="preserve">XXL 2020</w:t>
            </w:r>
            <w:r>
              <w:t xml:space="preserve"> </w:t>
            </w:r>
            <w:r>
              <w:t xml:space="preserve"> </w:t>
            </w:r>
            <w:r>
              <w:fldChar w:fldCharType="begin"/>
            </w:r>
            <w:r>
              <w:instrText xml:space="preserve"> ADDIN EN.CITE </w:instrText>
            </w:r>
            <w:r>
              <w:fldChar w:fldCharType="begin">
                <w:fldData>PEVuZE5vdGU+PENpdGU+PEF1dGhvcj5NYXp6YWZlcnJvPC9BdXRob3I+PFllYXI+MjAyMDwvWWVhcj48UmVjTnVtPjg8L1JlY051bT48RGlzcGxheVRleHQ+W1YxMi04XTwvRGlzcGxheVRleHQ+PHJlY29yZD48cmVjLW51bWJlcj44PC9yZWMtbnVtYmVyPjxmb3JlaWduLWtleXM+PGtleSBhcHA9IkVOIiBkYi1pZD0iYTNhYWZkZmMtNmMxOC01MjJjLThhNjgtZmEwYWQyOGY1MWQyIiB0aW1lc3RhbXA9IjE3OTI5MjEwODciPjg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Multicenter randomized phase 2b/3 trial: 74 entered downstaging; 29 dropped out before randomization; 45 responders were randomized, 23 to LT and 22 to nontransplant treatment.</w:t>
            </w:r>
          </w:p>
          <w:p>
            <w:pPr>
              <w:pStyle w:val="Normal"/>
              <w:widowControl/>
              <w:spacing w:before="60" w:after="20"/>
            </w:pPr>
            <w:r>
              <w:t xml:space="preserve">Selection: Child-Pugh A–B7, ECOG 0–1, predicted five-year post-LT survival ≥50%, and ≥3 months sustained response. AFP rules depended on baseline value and response, not an unconditional AFP &lt;400 entry rule.</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Complete accepted manuscript and protocol appendix; final published abstract for survival estimates. Avoid mixing accepted-manuscript and final-publication hazard ratios.</w:t>
            </w:r>
          </w:p>
          <w:p>
            <w:pPr>
              <w:pStyle w:val="Normal"/>
              <w:widowControl/>
              <w:spacing w:before="60" w:after="20"/>
            </w:pPr>
            <w:r>
              <w:t xml:space="preserve">Review depth: Complete accepted manuscript including protocol appendix plus final published abstract; version-dependent hazard ratios not merged.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five-year overall survival was 77.5% with LT versus 31.2% without LT; tumor-event-free survival 76.8% versus 18.3%; median follow-up 71 months.</w:t>
            </w:r>
          </w:p>
          <w:p>
            <w:pPr>
              <w:pStyle w:val="Normal"/>
              <w:widowControl/>
              <w:spacing w:before="60" w:after="20"/>
            </w:pPr>
            <w:r>
              <w:rPr>
                <w:b/>
              </w:rPr>
              <w:t xml:space="preserve">Do not infer: </w:t>
            </w:r>
            <w:r>
              <w:t xml:space="preserve">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tc>
      </w:tr>
      <w:tr>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t xml:space="preserve"> </w:t>
            </w:r>
            <w:r>
              <w:fldChar w:fldCharType="begin"/>
            </w:r>
            <w:r>
              <w:instrText xml:space="preserve"> ADDIN EN.CITE </w:instrText>
            </w:r>
            <w:r>
              <w:fldChar w:fldCharType="begin">
                <w:fldData>PEVuZE5vdGU+PENpdGU+PEF1dGhvcj5IdWFuZzwvQXV0aG9yPjxZZWFyPjIwMjM8L1llYXI+PFJlY051bT45PC9SZWNOdW0+PERpc3BsYXlUZXh0PltWMTItOV08L0Rpc3BsYXlUZXh0PjxyZWNvcmQ+PHJlYy1udW1iZXI+OTwvcmVjLW51bWJlcj48Zm9yZWlnbi1rZXlzPjxrZXkgYXBwPSJFTiIgZGItaWQ9ImEzYWFmZGZjLTZjMTgtNTIyYy04YTY4LWZhMGFkMjhmNTFkMiIgdGltZXN0YW1wPSIxNzkyOTIxMDg3Ij45PC9rZXk+PC9mb3JlaWduLWtleXM+PHJlZi10eXBlIG5hbWU9IkpvdXJuYWwgQXJ0aWNsZSI+MTc8L3JlZi10eXBlPjxjb250cmlidXRvcnM+PGF1dGhvcnM+PGF1dGhvcj5IdWFuZywgQW5uc2EgQy48L2F1dGhvcj48YXV0aG9yPkRvZGdlLCBKZW5uaWZlciBMLjwvYXV0aG9yPjxhdXRob3I+WWFvLCBGcmFuY2lzIFkuPC9hdXRob3I+PGF1dGhvcj5NZWh0YSwgTmVpbDwvYXV0aG9yPjwvYXV0aG9ycz48L2NvbnRyaWJ1dG9ycz48dGl0bGVzPjx0aXRsZT5OYXRpb25hbCBFeHBlcmllbmNlIG9uIFdhaXRsaXN0IE91dGNvbWVzIGZvciBEb3duLVN0YWdpbmcgb2YgSGVwYXRvY2VsbHVsYXIgQ2FyY2lub21hOiBIaWdoIERyb3BvdXQgUmF0ZSBpbiBBbGwtQ29tZXJzPC90aXRsZT48c2Vjb25kYXJ5LXRpdGxlPkNsaW5pY2FsIEdhc3Ryb2VudGVyb2xvZ3kgYW5kIEhlcGF0b2xvZ3k8L3NlY29uZGFyeS10aXRsZT48L3RpdGxlcz48cGVyaW9kaWNhbD48ZnVsbC10aXRsZT5DbGluaWNhbCBHYXN0cm9lbnRlcm9sb2d5IGFuZCBIZXBhdG9sb2d5PC9mdWxsLXRpdGxlPjwvcGVyaW9kaWNhbD48ZGF0ZXM+PHllYXI+MjAyMzwveWVhcj48L2RhdGVzPjx2b2x1bWU+MjE8L3ZvbHVtZT48bnVtYmVyPjY8L251bWJlcj48cGFnZXM+MTU4MS0xNTg5PC9wYWdlcz48ZWxlY3Ryb25pYy1yZXNvdXJjZS1udW0+MTAuMTAxNi9qLmNnaC4yMDIyLjA4LjAyMzwvZWxlY3Ryb25pYy1yZXNvdXJjZS1udW0+PG5vdGVzPkNsaW5pY2FsIHN0dWR5IC8gZ3VpZGFuY2UgQ29tcGxldGUgbmluZS1wYWdlIG1haW4gcGFwZXIgcmVhZCwgYWxsIG1ldGhvZHMvcmVzdWx0cy90YWJsZXMvZGlzY3Vzc2lvbi4gVjggZXh0cmFjdGlvbiBhbmQgbGltaXRhdGlvbnM6IHNvdXJjZS9oY2NfZnVsbHRleHRfcmV2aWV3Lmpzb248L25vdGVzPjx1cmxzPjxyZWxhdGVkLXVybHM+PHVybD5odHRwczovL2RvaS5vcmcvMTAuMTAxNi9qLmNnaC4yMDIyLjA4LjAyMz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UNOS registry study of 23,398 HCC exception applicants: 20,579 always within Milan, 2,151 UNOS-DS and 668 all-comers. Initial AFP refers to the time of entry into the highest tumor-burden category, not necessarily current post-treatment AFP.</w:t>
            </w:r>
          </w:p>
          <w:p>
            <w:pPr>
              <w:pStyle w:val="Normal"/>
              <w:widowControl/>
              <w:spacing w:before="60" w:after="20"/>
            </w:pPr>
            <w:hyperlink r:id="rId43">
              <w:r>
                <w:rPr>
                  <w:color w:val="77230C"/>
                  <w:sz w:val="20"/>
                  <w:u w:val="single"/>
                </w:rPr>
                <w:t>Primary source</w:t>
              </w:r>
            </w:hyperlink>
            <w:r>
              <w:t xml:space="preserve"> | </w:t>
            </w:r>
            <w:hyperlink r:id="rId44">
              <w:r>
                <w:rPr>
                  <w:color w:val="77230C"/>
                  <w:sz w:val="20"/>
                  <w:u w:val="single"/>
                </w:rPr>
                <w:t>Full-text PDF</w:t>
              </w:r>
            </w:hyperlink>
          </w:p>
          <w:p>
            <w:pPr>
              <w:pStyle w:val="Normal"/>
              <w:widowControl/>
              <w:spacing w:before="60" w:after="20"/>
            </w:pPr>
            <w:r>
              <w:t xml:space="preserve">Locator: PDF pp 2–3/j 1582–1583: cohort definition, time zero, AFP measurement. | PDF p 4/j 1584: Table 1 including initial-application beyond Milan. | PDF pp 5–6/j 1585–1586: comparators, dropout, ITT and recipient OS. | PDF pp 7–8/j 1587–1588: clinical interpretation and limits.</w:t>
            </w:r>
          </w:p>
          <w:p>
            <w:pPr>
              <w:pStyle w:val="Normal"/>
              <w:widowControl/>
              <w:spacing w:before="60" w:after="20"/>
            </w:pPr>
            <w:r>
              <w:t xml:space="preserve">Review depth: Complete nine-page main paper read, all methods/results/tables/discussion.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Milan 19.3%, UNOS-DS 25.3%, all-comers 29.7%; all-comers versus UNOS-DS P = .07. Five-year ITT OS: 64.9%, 56.6%, 51.8%; recipient OS: 78.7%, 73.2%, 68.6%. All-comers with initial AFP &gt;100 (n = 82 derived from Table 1) had two-year dropout 52.3% versus 25.6% among all other beyond-Milan patients. Safety: Highest entry burden/high AFP are associated with substantial attrition even after selection for exception application.</w:t>
            </w:r>
          </w:p>
          <w:p>
            <w:pPr>
              <w:pStyle w:val="Normal"/>
              <w:widowControl/>
              <w:spacing w:before="60" w:after="20"/>
            </w:pPr>
            <w:r>
              <w:rPr>
                <w:b/>
              </w:rPr>
              <w:t xml:space="preserve">Do not infer: </w:t>
            </w:r>
            <w:r>
              <w:t xml:space="preserve">Registry selection excludes preapplication treatment failures and cannot represent all-comer treatment-entry survival. AFP &gt;100 comparison is against all other beyond-Milan applicants, not simply all-comers with AFP ≤100. Observational associations do not validate an AFP &lt;100 eligibility cutoff or a composite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A8L1JlY051bT48RGlzcGxheVRleHQ+W1YxMi0xMF08L0Rpc3BsYXlUZXh0PjxyZWNvcmQ+PHJlYy1udW1iZXI+MTA8L3JlYy1udW1iZXI+PGZvcmVpZ24ta2V5cz48a2V5IGFwcD0iRU4iIGRiLWlkPSJhM2FhZmRmYy02YzE4LTUyMmMtOGE2OC1mYTBhZDI4ZjUxZDIiIHRpbWVzdGFtcD0iMTc5MjkyMTA4NyI+MTA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Retrospective five-US-center cohort of 2,645 HCC recipients transplanted during 2001–2015: 2,122 always within Milan, 341 downstaged to Milan, and 182 beyond Milan at LT. Only 168 of 341 downstaged recipients met UNOS-DS entry criteria.</w:t>
            </w:r>
          </w:p>
          <w:p>
            <w:pPr>
              <w:pStyle w:val="Normal"/>
              <w:widowControl/>
              <w:spacing w:before="60" w:after="20"/>
            </w:pPr>
            <w:hyperlink r:id="rId45">
              <w:r>
                <w:rPr>
                  <w:color w:val="77230C"/>
                  <w:sz w:val="20"/>
                  <w:u w:val="single"/>
                </w:rPr>
                <w:t>Primary source</w:t>
              </w:r>
            </w:hyperlink>
            <w:r>
              <w:t xml:space="preserve"> | </w:t>
            </w:r>
            <w:hyperlink r:id="rId46">
              <w:r>
                <w:rPr>
                  <w:color w:val="77230C"/>
                  <w:sz w:val="20"/>
                  <w:u w:val="single"/>
                </w:rPr>
                <w:t>Full-text PDF</w:t>
              </w:r>
            </w:hyperlink>
          </w:p>
          <w:p>
            <w:pPr>
              <w:pStyle w:val="Normal"/>
              <w:widowControl/>
              <w:spacing w:before="60" w:after="20"/>
            </w:pPr>
            <w:r>
              <w:t xml:space="preserve">Locator: PDF pp 1–2: cohort, methods and time origins; pp 3–6: Tables 1–2 and Figures 1–2; pp 7–9: recurrence treatment, limitations and conclusions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Five-/ten-year post-LT OS: always Milan 73.6%/61.5%; downstaged 67.9%/52.1%; beyond Milan 52.9%/43.3%. Observed recurrences: 212/2,122, 54/341, and 64/182. Five-/ten-year Kaplan–Meier recurrence estimates: 11.3%/13.3%, 19.1%/20.6%, and 38.9%/approximately 41%. The beyond-Milan 10-year estimate is 41.1% in the abstract versus 41.4% in the main results/figure. Downstaged versus beyond-Milan OS difference was not statistically significant (P = .34). Safety: There were 853 deaths overall, including 116 within 90 days (4.4% of all recipients). Recurrence after LT remained substantial outside Milan.</w:t>
            </w:r>
          </w:p>
          <w:p>
            <w:pPr>
              <w:pStyle w:val="Normal"/>
              <w:widowControl/>
              <w:spacing w:before="60" w:after="20"/>
            </w:pPr>
            <w:r>
              <w:rPr>
                <w:b/>
              </w:rPr>
              <w:t xml:space="preserve">Do not infer: </w:t>
            </w:r>
            <w:r>
              <w:t xml:space="preserve">Recipient-only selection excludes pretreatment failures and waiting-list deaths. Does not estimate intent-to-treat benefit, all-comer downstaging success, or comparative causal treatment effects. Ten-year tails have small risk sets. Recurrence is not interchangeable with death-inclusive RFS or competing-risk cumulative incidence. The paper contains an internal 41.1% versus 41.4% discrepancy and a transposed recurrence sentence. Surgical treatment of recurrence was selected for favorable disease; its survival association is not proof of benefit.</w:t>
            </w:r>
          </w:p>
        </w:tc>
      </w:tr>
    </w:tbl>
    <w:p>
      <w:pPr>
        <w:pStyle w:val="Heading3"/>
        <w:keepNext/>
        <w:widowControl/>
      </w:pPr>
      <w:r>
        <w:t xml:space="preserve">Synthesis and evidence that challenges the proposal</w:t>
      </w:r>
    </w:p>
    <w:p>
      <w:pPr>
        <w:pStyle w:val="Normal"/>
        <w:widowControl/>
        <w:spacing w:before="60" w:after="20"/>
      </w:pPr>
      <w:r>
        <w:t xml:space="preserve">Bounded downstaging has reproducible favorable recipient outcomes but substantial pretreatment attrition. Unrestricted all-comer outcomes vary sharply across cohorts: Sinha reported only 10/74 recipients and five-year ITT OS 21.1%; later MERITS all-comers had 20/82 LT and three-year ITT OS 58.1%, with poor outcomes in Child-Pugh B/C or AFP ≥500. Huang begins at exception application and omits earlier downstaging failures. Tabrizian is recipient-only. ImmunoXXL selected 16 from 61 treated, not an unselected 16-person conversion trial.</w:t>
      </w:r>
      <w:r>
        <w:t xml:space="preserve"> </w:t>
      </w:r>
      <w:r>
        <w:t xml:space="preserve"> </w:t>
      </w:r>
      <w:r>
        <w:fldChar w:fldCharType="begin"/>
      </w:r>
      <w:r>
        <w:instrText xml:space="preserve"> ADDIN EN.CITE </w:instrText>
      </w:r>
      <w:r>
        <w:fldChar w:fldCharType="begin">
          <w:fldData>PEVuZE5vdGU+PENpdGU+PEF1dGhvcj5ZYW88L0F1dGhvcj48WWVhcj4yMDE1PC9ZZWFyPjxSZWNOdW0+MzwvUmVjTnVtPjxEaXNwbGF5VGV4dD5bVjEyLTNdPC9EaXNwbGF5VGV4dD48cmVjb3JkPjxyZWMtbnVtYmVyPjM8L3JlYy1udW1iZXI+PGZvcmVpZ24ta2V5cz48a2V5IGFwcD0iRU4iIGRiLWlkPSJhM2FhZmRmYy02YzE4LTUyMmMtOGE2OC1mYTBhZDI4ZjUxZDIiIHRpbWVzdGFtcD0iMTc5MjkyMTA4NyI+M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NZWh0YTwvQXV0aG9yPjxZZWFyPjIwMjE8L1llYXI+PFJlY051bT40PC9SZWNOdW0+PERpc3BsYXlUZXh0PltWMTItNF08L0Rpc3BsYXlUZXh0PjxyZWNvcmQ+PHJlYy1udW1iZXI+NDwvcmVjLW51bWJlcj48Zm9yZWlnbi1rZXlzPjxrZXkgYXBwPSJFTiIgZGItaWQ9ImEzYWFmZGZjLTZjMTgtNTIyYy04YTY4LWZhMGFkMjhmNTFkMiIgdGltZXN0YW1wPSIxNzkyOTIxMDg3Ij40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TaW5oYTwvQXV0aG9yPjxZZWFyPjIwMTk8L1llYXI+PFJlY051bT41PC9SZWNOdW0+PERpc3BsYXlUZXh0PltWMTItNV08L0Rpc3BsYXlUZXh0PjxyZWNvcmQ+PHJlYy1udW1iZXI+NTwvcmVjLW51bWJlcj48Zm9yZWlnbi1rZXlzPjxrZXkgYXBwPSJFTiIgZGItaWQ9ImEzYWFmZGZjLTZjMTgtNTIyYy04YTY4LWZhMGFkMjhmNTFkMiIgdGltZXN0YW1wPSIxNzkyOTIxMDg3Ij41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OYXRhcmFqYW48L0F1dGhvcj48WWVhcj4yMDIzPC9ZZWFyPjxSZWNOdW0+NjwvUmVjTnVtPjxEaXNwbGF5VGV4dD5bVjEyLTZdPC9EaXNwbGF5VGV4dD48cmVjb3JkPjxyZWMtbnVtYmVyPjY8L3JlYy1udW1iZXI+PGZvcmVpZ24ta2V5cz48a2V5IGFwcD0iRU4iIGRiLWlkPSJhM2FhZmRmYy02YzE4LTUyMmMtOGE2OC1mYTBhZDI4ZjUxZDIiIHRpbWVzdGFtcD0iMTc5MjkyMTA4NyI+Njwva2V5PjwvZm9yZWlnbi1rZXlzPjxyZWYtdHlwZSBuYW1lPSJKb3VybmFsIEFydGljbGUiPjE3PC9yZWYtdHlwZT48Y29udHJpYnV0b3JzPjxhdXRob3JzPjxhdXRob3I+TmF0YXJhamFuLCBCcmFobWE8L2F1dGhvcj48YXV0aG9yPlRhYnJpemlhbiwgUGFyaXNzYTwvYXV0aG9yPjxhdXRob3I+SG90ZWl0LCBNYWFyb3VmPC9hdXRob3I+PGF1dGhvcj5GcmVuZXR0ZSwgQ2F0aGVyaW5lPC9hdXRob3I+PGF1dGhvcj5QYXJpa2gsIE5lZWhhcjwvYXV0aG9yPjxhdXRob3I+R2hhemlhbmksIFRhcmE8L2F1dGhvcj48YXV0aG9yPkRoYW5hc2VrYXJhbiwgUmVudTwvYXV0aG9yPjxhdXRob3I+R3V5LCBKZW5uaWZlcjwvYXV0aG9yPjxhdXRob3I+U2h1aSwgQW15PC9hdXRob3I+PGF1dGhvcj5GbG9ybWFuLCBTYW5kZXI8L2F1dGhvcj48YXV0aG9yPllhbywgRnJhbmNpcyBZLjwvYXV0aG9yPjxhdXRob3I+TWVodGEsIE5laWw8L2F1dGhvcj48L2F1dGhvcnM+PC9jb250cmlidXRvcnM+PHRpdGxlcz48dGl0bGU+RG93bnN0YWdpbmcgaGVwYXRvY2VsbHVsYXIgY2FyY2lub21hIGJlZm9yZSBsaXZlciB0cmFuc3BsYW50YXRpb246IEEgbXVsdGljZW50ZXIgYW5hbHlzaXMgb2YgdGhlICYjODIyMDthbGwtY29tZXJzJiM4MjIxOyBwcm90b2NvbCBpbiB0aGUgTXVsdGljZW50ZXIgRXZhbHVhdGlvbiBvZiBSZWR1Y3Rpb24gaW4gVHVtb3IgU2l6ZSBiZWZvcmUgTGl2ZXIgVHJhbnNwbGFudGF0aW9uIChNRVJJVFMtTFQpIGNvbnNvcnRpdW08L3RpdGxlPjxzZWNvbmRhcnktdGl0bGU+QW1lcmljYW4gSm91cm5hbCBvZiBUcmFuc3BsYW50YXRpb248L3NlY29uZGFyeS10aXRsZT48L3RpdGxlcz48cGVyaW9kaWNhbD48ZnVsbC10aXRsZT5BbWVyaWNhbiBKb3VybmFsIG9mIFRyYW5zcGxhbnRhdGlvbjwvZnVsbC10aXRsZT48L3BlcmlvZGljYWw+PGRhdGVzPjx5ZWFyPjIwMjM8L3llYXI+PC9kYXRlcz48dm9sdW1lPjIzPC92b2x1bWU+PG51bWJlcj4xMTwvbnVtYmVyPjxwYWdlcz4xNzcxLTE3ODA8L3BhZ2VzPjxlbGVjdHJvbmljLXJlc291cmNlLW51bT4xMC4xMDE2L2ouYWp0LjIwMjMuMDcuMDIxPC9lbGVjdHJvbmljLXJlc291cmNlLW51bT48bm90ZXM+Q2xpbmljYWwgc3R1ZHkgLyBndWlkYW5jZSBDb21wbGV0ZSB0ZW4tcGFnZSBtYWluIHBhcGVyIHJlYWQsIGluY2x1ZGluZyBtZXRob2RzLCByZXN1bHRzLCBhbGwgdGFibGVzLCBkaXNjdXNzaW9uIGFuZCByZWZlcmVuY2UgbGlzdC4gVjggZXh0cmFjdGlvbiBhbmQgbGltaXRhdGlvbnM6IHNvdXJjZS9oY2NfZnVsbHRleHRfcmV2aWV3Lmpzb248L25vdGVzPjx1cmxzPjxyZWxhdGVkLXVybHM+PHVybD5odHRwczovL2RvaS5vcmcvMTAuMTAxNi9qLmFqdC4yMDIzLjA3Lj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YdTwvQXV0aG9yPjxZZWFyPjIwMjU8L1llYXI+PFJlY051bT43PC9SZWNOdW0+PERpc3BsYXlUZXh0PltWMTItN108L0Rpc3BsYXlUZXh0PjxyZWNvcmQ+PHJlYy1udW1iZXI+NzwvcmVjLW51bWJlcj48Zm9yZWlnbi1rZXlzPjxrZXkgYXBwPSJFTiIgZGItaWQ9ImEzYWFmZGZjLTZjMTgtNTIyYy04YTY4LWZhMGFkMjhmNTFkMiIgdGltZXN0YW1wPSIxNzkyOTIxMDg3Ij43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g8L1JlY051bT48RGlzcGxheVRleHQ+W1YxMi04XTwvRGlzcGxheVRleHQ+PHJlY29yZD48cmVjLW51bWJlcj44PC9yZWMtbnVtYmVyPjxmb3JlaWduLWtleXM+PGtleSBhcHA9IkVOIiBkYi1pZD0iYTNhYWZkZmMtNmMxOC01MjJjLThhNjgtZmEwYWQyOGY1MWQyIiB0aW1lc3RhbXA9IjE3OTI5MjEwODciPjg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IdWFuZzwvQXV0aG9yPjxZZWFyPjIwMjM8L1llYXI+PFJlY051bT45PC9SZWNOdW0+PERpc3BsYXlUZXh0PltWMTItOV08L0Rpc3BsYXlUZXh0PjxyZWNvcmQ+PHJlYy1udW1iZXI+OTwvcmVjLW51bWJlcj48Zm9yZWlnbi1rZXlzPjxrZXkgYXBwPSJFTiIgZGItaWQ9ImEzYWFmZGZjLTZjMTgtNTIyYy04YTY4LWZhMGFkMjhmNTFkMiIgdGltZXN0YW1wPSIxNzkyOTIxMDg3Ij45PC9rZXk+PC9mb3JlaWduLWtleXM+PHJlZi10eXBlIG5hbWU9IkpvdXJuYWwgQXJ0aWNsZSI+MTc8L3JlZi10eXBlPjxjb250cmlidXRvcnM+PGF1dGhvcnM+PGF1dGhvcj5IdWFuZywgQW5uc2EgQy48L2F1dGhvcj48YXV0aG9yPkRvZGdlLCBKZW5uaWZlciBMLjwvYXV0aG9yPjxhdXRob3I+WWFvLCBGcmFuY2lzIFkuPC9hdXRob3I+PGF1dGhvcj5NZWh0YSwgTmVpbDwvYXV0aG9yPjwvYXV0aG9ycz48L2NvbnRyaWJ1dG9ycz48dGl0bGVzPjx0aXRsZT5OYXRpb25hbCBFeHBlcmllbmNlIG9uIFdhaXRsaXN0IE91dGNvbWVzIGZvciBEb3duLVN0YWdpbmcgb2YgSGVwYXRvY2VsbHVsYXIgQ2FyY2lub21hOiBIaWdoIERyb3BvdXQgUmF0ZSBpbiBBbGwtQ29tZXJzPC90aXRsZT48c2Vjb25kYXJ5LXRpdGxlPkNsaW5pY2FsIEdhc3Ryb2VudGVyb2xvZ3kgYW5kIEhlcGF0b2xvZ3k8L3NlY29uZGFyeS10aXRsZT48L3RpdGxlcz48cGVyaW9kaWNhbD48ZnVsbC10aXRsZT5DbGluaWNhbCBHYXN0cm9lbnRlcm9sb2d5IGFuZCBIZXBhdG9sb2d5PC9mdWxsLXRpdGxlPjwvcGVyaW9kaWNhbD48ZGF0ZXM+PHllYXI+MjAyMzwveWVhcj48L2RhdGVzPjx2b2x1bWU+MjE8L3ZvbHVtZT48bnVtYmVyPjY8L251bWJlcj48cGFnZXM+MTU4MS0xNTg5PC9wYWdlcz48ZWxlY3Ryb25pYy1yZXNvdXJjZS1udW0+MTAuMTAxNi9qLmNnaC4yMDIyLjA4LjAyMzwvZWxlY3Ryb25pYy1yZXNvdXJjZS1udW0+PG5vdGVzPkNsaW5pY2FsIHN0dWR5IC8gZ3VpZGFuY2UgQ29tcGxldGUgbmluZS1wYWdlIG1haW4gcGFwZXIgcmVhZCwgYWxsIG1ldGhvZHMvcmVzdWx0cy90YWJsZXMvZGlzY3Vzc2lvbi4gVjggZXh0cmFjdGlvbiBhbmQgbGltaXRhdGlvbnM6IHNvdXJjZS9oY2NfZnVsbHRleHRfcmV2aWV3Lmpzb248L25vdGVzPjx1cmxzPjxyZWxhdGVkLXVybHM+PHVybD5odHRwczovL2RvaS5vcmcvMTAuMTAxNi9qLmNnaC4yMDIyLjA4LjAyMz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yPC9ZZWFyPjxSZWNOdW0+MTA8L1JlY051bT48RGlzcGxheVRleHQ+W1YxMi0xMF08L0Rpc3BsYXlUZXh0PjxyZWNvcmQ+PHJlYy1udW1iZXI+MTA8L3JlYy1udW1iZXI+PGZvcmVpZ24ta2V5cz48a2V5IGFwcD0iRU4iIGRiLWlkPSJhM2FhZmRmYy02YzE4LTUyMmMtOGE2OC1mYTBhZDI4ZjUxZDIiIHRpbWVzdGFtcD0iMTc5MjkyMTA4NyI+MTA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spacing w:before="60" w:after="20"/>
      </w:pPr>
      <w:r>
        <w:t xml:space="preserve">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pStyle w:val="Normal"/>
        <w:widowControl/>
        <w:spacing w:before="60" w:after="20"/>
      </w:pPr>
      <w:r>
        <w:rPr>
          <w:b/>
        </w:rPr>
        <w:t xml:space="preserve">Certainty / applicability: </w:t>
      </w:r>
      <w:r>
        <w:t xml:space="preserve">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pStyle w:val="Heading3"/>
        <w:keepNext/>
        <w:widowControl/>
      </w:pPr>
      <w:r>
        <w:t xml:space="preserve">Where each proposed threshold comes from</w:t>
      </w:r>
    </w:p>
    <w:p>
      <w:pPr>
        <w:pStyle w:val="Normal"/>
        <w:widowControl/>
        <w:numPr>
          <w:ilvl w:val="0"/>
          <w:numId w:val="3"/>
        </w:numPr>
        <w:spacing w:before="60" w:after="20"/>
      </w:pPr>
      <w:r>
        <w:t xml:space="preserve">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fldChar w:fldCharType="begin"/>
            </w:r>
            <w:r>
              <w:instrText xml:space="preserve"> ADDIN EN.CITE </w:instrText>
            </w:r>
            <w:r>
              <w:fldChar w:fldCharType="begin">
                <w:fldData>PEVuZE5vdGU+PENpdGU+PEF1dGhvcj5YdTwvQXV0aG9yPjxZZWFyPjIwMjU8L1llYXI+PFJlY051bT43PC9SZWNOdW0+PERpc3BsYXlUZXh0PltWMTItN108L0Rpc3BsYXlUZXh0PjxyZWNvcmQ+PHJlYy1udW1iZXI+NzwvcmVjLW51bWJlcj48Zm9yZWlnbi1rZXlzPjxrZXkgYXBwPSJFTiIgZGItaWQ9ImEzYWFmZGZjLTZjMTgtNTIyYy04YTY4LWZhMGFkMjhmNTFkMiIgdGltZXN0YW1wPSIxNzkyOTIxMDg3Ij43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“sum of tumor number and largest tumor diameter ≤12”</w:t>
            </w:r>
          </w:p>
          <w:p>
            <w:pPr>
              <w:pStyle w:val="Normal"/>
              <w:widowControl/>
              <w:spacing w:before="60" w:after="20"/>
            </w:pPr>
            <w:r>
              <w:t xml:space="preserve">Author-manuscript PDF p11, conclusion</w:t>
            </w:r>
          </w:p>
          <w:p>
            <w:pPr>
              <w:pStyle w:val="Normal"/>
              <w:widowControl/>
              <w:spacing w:before="60" w:after="20"/>
            </w:pPr>
            <w:hyperlink r:id="rId47">
              <w:r>
                <w:rPr>
                  <w:color w:val="77230C"/>
                  <w:sz w:val="20"/>
                  <w:u w:val="single"/>
                </w:rPr>
                <w:t>Source</w:t>
              </w:r>
            </w:hyperlink>
            <w:r>
              <w:t xml:space="preserve"> | </w:t>
            </w:r>
            <w:hyperlink r:id="rId4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Observationally proposed upper burden boundary, not an externally validated treatment-benefit rule.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fldChar w:fldCharType="begin"/>
            </w:r>
            <w:r>
              <w:instrText xml:space="preserve"> ADDIN EN.CITE </w:instrText>
            </w:r>
            <w:r>
              <w:fldChar w:fldCharType="begin">
                <w:fldData>PEVuZE5vdGU+PENpdGU+PEF1dGhvcj5YdTwvQXV0aG9yPjxZZWFyPjIwMjU8L1llYXI+PFJlY051bT43PC9SZWNOdW0+PERpc3BsYXlUZXh0PltWMTItN108L0Rpc3BsYXlUZXh0PjxyZWNvcmQ+PHJlYy1udW1iZXI+NzwvcmVjLW51bWJlcj48Zm9yZWlnbi1rZXlzPjxrZXkgYXBwPSJFTiIgZGItaWQ9ImEzYWFmZGZjLTZjMTgtNTIyYy04YTY4LWZhMGFkMjhmNTFkMiIgdGltZXN0YW1wPSIxNzkyOTIxMDg3Ij43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“exclusion criteria of AFP ≥100 and Child Pugh B/C”</w:t>
            </w:r>
          </w:p>
          <w:p>
            <w:pPr>
              <w:pStyle w:val="Normal"/>
              <w:widowControl/>
              <w:spacing w:before="60" w:after="20"/>
            </w:pPr>
            <w:r>
              <w:t xml:space="preserve">Author-manuscript PDF p11, conclusion</w:t>
            </w:r>
          </w:p>
          <w:p>
            <w:pPr>
              <w:pStyle w:val="Normal"/>
              <w:widowControl/>
              <w:spacing w:before="60" w:after="20"/>
            </w:pPr>
            <w:hyperlink r:id="rId49">
              <w:r>
                <w:rPr>
                  <w:color w:val="77230C"/>
                  <w:sz w:val="20"/>
                  <w:u w:val="single"/>
                </w:rPr>
                <w:t>Source</w:t>
              </w:r>
            </w:hyperlink>
            <w:r>
              <w:t xml:space="preserve"> | </w:t>
            </w:r>
            <w:hyperlink r:id="rId5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a narrower initial cohort; does not establish that all excluded patients cannot benefit.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 HCC 2023</w:t>
            </w:r>
            <w:r>
              <w:t xml:space="preserve"> </w:t>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spacing w:before="60" w:after="20"/>
            </w:pPr>
            <w:r>
              <w:t xml:space="preserve">“3-to-6-month period of observation”</w:t>
            </w:r>
          </w:p>
          <w:p>
            <w:pPr>
              <w:pStyle w:val="Normal"/>
              <w:widowControl/>
              <w:spacing w:before="60" w:after="20"/>
            </w:pPr>
            <w:r>
              <w:t xml:space="preserve">Author-manuscript PDF p56, guidance statement 36</w:t>
            </w:r>
          </w:p>
          <w:p>
            <w:pPr>
              <w:pStyle w:val="Normal"/>
              <w:widowControl/>
              <w:spacing w:before="60" w:after="20"/>
            </w:pPr>
            <w:hyperlink r:id="rId51">
              <w:r>
                <w:rPr>
                  <w:color w:val="77230C"/>
                  <w:sz w:val="20"/>
                  <w:u w:val="single"/>
                </w:rPr>
                <w:t>Source</w:t>
              </w:r>
            </w:hyperlink>
            <w:r>
              <w:t xml:space="preserve"> | </w:t>
            </w:r>
            <w:hyperlink r:id="rId52">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selects the conservative end of this guidance range; it is not a guarantee of favorable biology.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Open a bounded prospective beyond-UNOS downstaging cohort, not an unrestricted all-comers pathway.</w:t>
      </w:r>
      <w:r>
        <w:t xml:space="preserve"> </w:t>
      </w:r>
      <w:r>
        <w:t xml:space="preserve"> </w:t>
      </w:r>
      <w:r>
        <w:fldChar w:fldCharType="begin"/>
      </w:r>
      <w:r>
        <w:instrText xml:space="preserve"> ADDIN EN.CITE </w:instrText>
      </w:r>
      <w:r>
        <w:fldChar w:fldCharType="begin">
          <w:fldData>PEVuZE5vdGU+PENpdGU+PEF1dGhvcj5YdTwvQXV0aG9yPjxZZWFyPjIwMjU8L1llYXI+PFJlY051bT43PC9SZWNOdW0+PERpc3BsYXlUZXh0PltWMTItN108L0Rpc3BsYXlUZXh0PjxyZWNvcmQ+PHJlYy1udW1iZXI+NzwvcmVjLW51bWJlcj48Zm9yZWlnbi1rZXlzPjxrZXkgYXBwPSJFTiIgZGItaWQ9ImEzYWFmZGZjLTZjMTgtNTIyYy04YTY4LWZhMGFkMjhmNTFkMiIgdGltZXN0YW1wPSIxNzkyOTIxMDg3Ij43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g8L1JlY051bT48RGlzcGxheVRleHQ+W1YxMi04XTwvRGlzcGxheVRleHQ+PHJlY29yZD48cmVjLW51bWJlcj44PC9yZWMtbnVtYmVyPjxmb3JlaWduLWtleXM+PGtleSBhcHA9IkVOIiBkYi1pZD0iYTNhYWZkZmMtNmMxOC01MjJjLThhNjgtZmEwYWQyOGY1MWQyIiB0aW1lc3RhbXA9IjE3OTI5MjEwODciPjg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TI8L1JlY051bT48RGlzcGxheVRleHQ+W1YxMi0xMl08L0Rpc3BsYXlUZXh0PjxyZWNvcmQ+PHJlYy1udW1iZXI+MTI8L3JlYy1udW1iZXI+PGZvcmVpZ24ta2V5cz48a2V5IGFwcD0iRU4iIGRiLWlkPSJhM2FhZmRmYy02YzE4LTUyMmMtOGE2OC1mYTBhZDI4ZjUxZDIiIHRpbWVzdGFtcD0iMTc5MjkyMTA4NyI+MT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ZYW88L0F1dGhvcj48WWVhcj4yMDE1PC9ZZWFyPjxSZWNOdW0+MzwvUmVjTnVtPjxEaXNwbGF5VGV4dD5bVjEyLTNdPC9EaXNwbGF5VGV4dD48cmVjb3JkPjxyZWMtbnVtYmVyPjM8L3JlYy1udW1iZXI+PGZvcmVpZ24ta2V5cz48a2V5IGFwcD0iRU4iIGRiLWlkPSJhM2FhZmRmYy02YzE4LTUyMmMtOGE2OC1mYTBhZDI4ZjUxZDIiIHRpbWVzdGFtcD0iMTc5MjkyMTA4NyI+M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NZWh0YTwvQXV0aG9yPjxZZWFyPjIwMjE8L1llYXI+PFJlY051bT40PC9SZWNOdW0+PERpc3BsYXlUZXh0PltWMTItNF08L0Rpc3BsYXlUZXh0PjxyZWNvcmQ+PHJlYy1udW1iZXI+NDwvcmVjLW51bWJlcj48Zm9yZWlnbi1rZXlzPjxrZXkgYXBwPSJFTiIgZGItaWQ9ImEzYWFmZGZjLTZjMTgtNTIyYy04YTY4LWZhMGFkMjhmNTFkMiIgdGltZXN0YW1wPSIxNzkyOTIxMDg3Ij40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TaW5oYTwvQXV0aG9yPjxZZWFyPjIwMTk8L1llYXI+PFJlY051bT41PC9SZWNOdW0+PERpc3BsYXlUZXh0PltWMTItNV08L0Rpc3BsYXlUZXh0PjxyZWNvcmQ+PHJlYy1udW1iZXI+NTwvcmVjLW51bWJlcj48Zm9yZWlnbi1rZXlzPjxrZXkgYXBwPSJFTiIgZGItaWQ9ImEzYWFmZGZjLTZjMTgtNTIyYy04YTY4LWZhMGFkMjhmNTFkMiIgdGltZXN0YW1wPSIxNzkyOTIxMDg3Ij41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OYXRhcmFqYW48L0F1dGhvcj48WWVhcj4yMDIzPC9ZZWFyPjxSZWNOdW0+NjwvUmVjTnVtPjxEaXNwbGF5VGV4dD5bVjEyLTZdPC9EaXNwbGF5VGV4dD48cmVjb3JkPjxyZWMtbnVtYmVyPjY8L3JlYy1udW1iZXI+PGZvcmVpZ24ta2V5cz48a2V5IGFwcD0iRU4iIGRiLWlkPSJhM2FhZmRmYy02YzE4LTUyMmMtOGE2OC1mYTBhZDI4ZjUxZDIiIHRpbWVzdGFtcD0iMTc5MjkyMTA4NyI+Njwva2V5PjwvZm9yZWlnbi1rZXlzPjxyZWYtdHlwZSBuYW1lPSJKb3VybmFsIEFydGljbGUiPjE3PC9yZWYtdHlwZT48Y29udHJpYnV0b3JzPjxhdXRob3JzPjxhdXRob3I+TmF0YXJhamFuLCBCcmFobWE8L2F1dGhvcj48YXV0aG9yPlRhYnJpemlhbiwgUGFyaXNzYTwvYXV0aG9yPjxhdXRob3I+SG90ZWl0LCBNYWFyb3VmPC9hdXRob3I+PGF1dGhvcj5GcmVuZXR0ZSwgQ2F0aGVyaW5lPC9hdXRob3I+PGF1dGhvcj5QYXJpa2gsIE5lZWhhcjwvYXV0aG9yPjxhdXRob3I+R2hhemlhbmksIFRhcmE8L2F1dGhvcj48YXV0aG9yPkRoYW5hc2VrYXJhbiwgUmVudTwvYXV0aG9yPjxhdXRob3I+R3V5LCBKZW5uaWZlcjwvYXV0aG9yPjxhdXRob3I+U2h1aSwgQW15PC9hdXRob3I+PGF1dGhvcj5GbG9ybWFuLCBTYW5kZXI8L2F1dGhvcj48YXV0aG9yPllhbywgRnJhbmNpcyBZLjwvYXV0aG9yPjxhdXRob3I+TWVodGEsIE5laWw8L2F1dGhvcj48L2F1dGhvcnM+PC9jb250cmlidXRvcnM+PHRpdGxlcz48dGl0bGU+RG93bnN0YWdpbmcgaGVwYXRvY2VsbHVsYXIgY2FyY2lub21hIGJlZm9yZSBsaXZlciB0cmFuc3BsYW50YXRpb246IEEgbXVsdGljZW50ZXIgYW5hbHlzaXMgb2YgdGhlICYjODIyMDthbGwtY29tZXJzJiM4MjIxOyBwcm90b2NvbCBpbiB0aGUgTXVsdGljZW50ZXIgRXZhbHVhdGlvbiBvZiBSZWR1Y3Rpb24gaW4gVHVtb3IgU2l6ZSBiZWZvcmUgTGl2ZXIgVHJhbnNwbGFudGF0aW9uIChNRVJJVFMtTFQpIGNvbnNvcnRpdW08L3RpdGxlPjxzZWNvbmRhcnktdGl0bGU+QW1lcmljYW4gSm91cm5hbCBvZiBUcmFuc3BsYW50YXRpb248L3NlY29uZGFyeS10aXRsZT48L3RpdGxlcz48cGVyaW9kaWNhbD48ZnVsbC10aXRsZT5BbWVyaWNhbiBKb3VybmFsIG9mIFRyYW5zcGxhbnRhdGlvbjwvZnVsbC10aXRsZT48L3BlcmlvZGljYWw+PGRhdGVzPjx5ZWFyPjIwMjM8L3llYXI+PC9kYXRlcz48dm9sdW1lPjIzPC92b2x1bWU+PG51bWJlcj4xMTwvbnVtYmVyPjxwYWdlcz4xNzcxLTE3ODA8L3BhZ2VzPjxlbGVjdHJvbmljLXJlc291cmNlLW51bT4xMC4xMDE2L2ouYWp0LjIwMjMuMDcuMDIxPC9lbGVjdHJvbmljLXJlc291cmNlLW51bT48bm90ZXM+Q2xpbmljYWwgc3R1ZHkgLyBndWlkYW5jZSBDb21wbGV0ZSB0ZW4tcGFnZSBtYWluIHBhcGVyIHJlYWQsIGluY2x1ZGluZyBtZXRob2RzLCByZXN1bHRzLCBhbGwgdGFibGVzLCBkaXNjdXNzaW9uIGFuZCByZWZlcmVuY2UgbGlzdC4gVjggZXh0cmFjdGlvbiBhbmQgbGltaXRhdGlvbnM6IHNvdXJjZS9oY2NfZnVsbHRleHRfcmV2aWV3Lmpzb248L25vdGVzPjx1cmxzPjxyZWxhdGVkLXVybHM+PHVybD5odHRwczovL2RvaS5vcmcvMTAuMTAxNi9qLmFqdC4yMDIzLjA3Lj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IdWFuZzwvQXV0aG9yPjxZZWFyPjIwMjM8L1llYXI+PFJlY051bT45PC9SZWNOdW0+PERpc3BsYXlUZXh0PltWMTItOV08L0Rpc3BsYXlUZXh0PjxyZWNvcmQ+PHJlYy1udW1iZXI+OTwvcmVjLW51bWJlcj48Zm9yZWlnbi1rZXlzPjxrZXkgYXBwPSJFTiIgZGItaWQ9ImEzYWFmZGZjLTZjMTgtNTIyYy04YTY4LWZhMGFkMjhmNTFkMiIgdGltZXN0YW1wPSIxNzkyOTIxMDg3Ij45PC9rZXk+PC9mb3JlaWduLWtleXM+PHJlZi10eXBlIG5hbWU9IkpvdXJuYWwgQXJ0aWNsZSI+MTc8L3JlZi10eXBlPjxjb250cmlidXRvcnM+PGF1dGhvcnM+PGF1dGhvcj5IdWFuZywgQW5uc2EgQy48L2F1dGhvcj48YXV0aG9yPkRvZGdlLCBKZW5uaWZlciBMLjwvYXV0aG9yPjxhdXRob3I+WWFvLCBGcmFuY2lzIFkuPC9hdXRob3I+PGF1dGhvcj5NZWh0YSwgTmVpbDwvYXV0aG9yPjwvYXV0aG9ycz48L2NvbnRyaWJ1dG9ycz48dGl0bGVzPjx0aXRsZT5OYXRpb25hbCBFeHBlcmllbmNlIG9uIFdhaXRsaXN0IE91dGNvbWVzIGZvciBEb3duLVN0YWdpbmcgb2YgSGVwYXRvY2VsbHVsYXIgQ2FyY2lub21hOiBIaWdoIERyb3BvdXQgUmF0ZSBpbiBBbGwtQ29tZXJzPC90aXRsZT48c2Vjb25kYXJ5LXRpdGxlPkNsaW5pY2FsIEdhc3Ryb2VudGVyb2xvZ3kgYW5kIEhlcGF0b2xvZ3k8L3NlY29uZGFyeS10aXRsZT48L3RpdGxlcz48cGVyaW9kaWNhbD48ZnVsbC10aXRsZT5DbGluaWNhbCBHYXN0cm9lbnRlcm9sb2d5IGFuZCBIZXBhdG9sb2d5PC9mdWxsLXRpdGxlPjwvcGVyaW9kaWNhbD48ZGF0ZXM+PHllYXI+MjAyMzwveWVhcj48L2RhdGVzPjx2b2x1bWU+MjE8L3ZvbHVtZT48bnVtYmVyPjY8L251bWJlcj48cGFnZXM+MTU4MS0xNTg5PC9wYWdlcz48ZWxlY3Ryb25pYy1yZXNvdXJjZS1udW0+MTAuMTAxNi9qLmNnaC4yMDIyLjA4LjAyMzwvZWxlY3Ryb25pYy1yZXNvdXJjZS1udW0+PG5vdGVzPkNsaW5pY2FsIHN0dWR5IC8gZ3VpZGFuY2UgQ29tcGxldGUgbmluZS1wYWdlIG1haW4gcGFwZXIgcmVhZCwgYWxsIG1ldGhvZHMvcmVzdWx0cy90YWJsZXMvZGlzY3Vzc2lvbi4gVjggZXh0cmFjdGlvbiBhbmQgbGltaXRhdGlvbnM6IHNvdXJjZS9oY2NfZnVsbHRleHRfcmV2aWV3Lmpzb248L25vdGVzPjx1cmxzPjxyZWxhdGVkLXVybHM+PHVybD5odHRwczovL2RvaS5vcmcvMTAuMTAxNi9qLmNnaC4yMDIyLjA4LjAyMz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yPC9ZZWFyPjxSZWNOdW0+MTA8L1JlY051bT48RGlzcGxheVRleHQ+W1YxMi0xMF08L0Rpc3BsYXlUZXh0PjxyZWNvcmQ+PHJlYy1udW1iZXI+MTA8L3JlYy1udW1iZXI+PGZvcmVpZ24ta2V5cz48a2V5IGFwcD0iRU4iIGRiLWlkPSJhM2FhZmRmYy02YzE4LTUyMmMtOGE2OC1mYTBhZDI4ZjUxZDIiIHRpbWVzdGFtcD0iMTc5MjkyMTA4NyI+MTA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pPr>
      <w:r>
        <w:t xml:space="preserve">Proposed entry ceiling: original pretreatment tumor count plus largest tumor diameter in cm ≤12; AFP &lt;100 ng/mL; Child-Pugh A; no macrovascular invasion, extrahepatic disease or unmeasurable infiltrative tumor.</w:t>
      </w:r>
    </w:p>
    <w:p>
      <w:pPr>
        <w:pStyle w:val="Normal"/>
        <w:widowControl/>
        <w:numPr>
          <w:ilvl w:val="1"/>
          <w:numId w:val="3"/>
        </w:numPr>
        <w:spacing w:before="60" w:after="20"/>
      </w:pPr>
      <w:r>
        <w:t xml:space="preserve">These restrictions apply to the expanded arm, not to otherwise standard-eligible HCC.</w:t>
      </w:r>
    </w:p>
    <w:p>
      <w:pPr>
        <w:pStyle w:val="Normal"/>
        <w:widowControl/>
        <w:numPr>
          <w:ilvl w:val="0"/>
          <w:numId w:val="3"/>
        </w:numPr>
      </w:pPr>
      <w:r>
        <w:t xml:space="preserve">Before LT: viable tumor burden within Milan, or complete nonviability, with at least six months of documented stability from the first assessment meeting that target.</w:t>
      </w:r>
    </w:p>
    <w:p>
      <w:pPr>
        <w:pStyle w:val="Normal"/>
        <w:widowControl/>
        <w:numPr>
          <w:ilvl w:val="1"/>
          <w:numId w:val="3"/>
        </w:numPr>
        <w:spacing w:before="60" w:after="20"/>
      </w:pPr>
      <w:r>
        <w:t xml:space="preserve">Repeat liver CT/MRI and AFP at least every three months; confirmed progression holds the route and resets the study control clock after new successful downstaging.</w:t>
      </w:r>
    </w:p>
    <w:p>
      <w:pPr>
        <w:pStyle w:val="Normal"/>
        <w:widowControl/>
        <w:numPr>
          <w:ilvl w:val="0"/>
          <w:numId w:val="3"/>
        </w:numPr>
      </w:pPr>
      <w:r>
        <w:t xml:space="preserve">Preserve baseline measurements and AFP.</w:t>
      </w:r>
    </w:p>
    <w:p>
      <w:pPr>
        <w:pStyle w:val="Normal"/>
        <w:widowControl/>
        <w:numPr>
          <w:ilvl w:val="1"/>
          <w:numId w:val="3"/>
        </w:numPr>
        <w:spacing w:before="60" w:after="20"/>
      </w:pPr>
      <w:r>
        <w:t xml:space="preserve">A prior AFP ≥100 or Child-Pugh B/C at expanded-arm entry belongs to a separately approved stratum; do not erase that history after response.</w:t>
      </w:r>
    </w:p>
    <w:p>
      <w:pPr>
        <w:pStyle w:val="Normal"/>
        <w:widowControl/>
        <w:numPr>
          <w:ilvl w:val="1"/>
          <w:numId w:val="3"/>
        </w:numPr>
        <w:spacing w:before="60" w:after="20"/>
      </w:pPr>
      <w:r>
        <w:t xml:space="preserve">No initial stacking with the PVTT arm.</w:t>
      </w:r>
    </w:p>
    <w:p>
      <w:pPr>
        <w:pStyle w:val="Normal"/>
        <w:widowControl/>
        <w:spacing w:before="60" w:after="20"/>
      </w:pPr>
      <w:r>
        <w:rPr>
          <w:b/>
        </w:rPr>
        <w:t xml:space="preserve">Why retain or change it: </w:t>
      </w:r>
      <w:r>
        <w:t xml:space="preserve">Retain a restricted, prospectively governed pilot with largest diameter plus count ≤12, current AFP &lt;100, Child-Pugh A, no active macrovascular/extrahepatic/infiltrative disease, and Milan/nonviable status sustained for six months with interval imaging. Explicitly label the complete package and inclusive ≤12 boundary as local judgment, not a validated composite criterion. Do not stack a prior-PVTT indication into this simple expansion cohort. Audit every referred/treated patient, not only those listed or transplanted.</w:t>
      </w:r>
    </w:p>
    <w:p>
      <w:pPr>
        <w:pStyle w:val="Heading3"/>
        <w:keepNext/>
        <w:widowControl/>
      </w:pPr>
      <w:r>
        <w:t xml:space="preserve">Information required before the decision</w:t>
      </w:r>
    </w:p>
    <w:p>
      <w:pPr>
        <w:pStyle w:val="Normal"/>
        <w:widowControl/>
        <w:spacing w:before="60" w:after="20"/>
      </w:pPr>
      <w:r>
        <w:t xml:space="preserve">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pStyle w:val="Normal"/>
        <w:widowControl/>
        <w:spacing w:before="60" w:after="20"/>
      </w:pPr>
      <w:r>
        <w:rPr>
          <w:b/>
        </w:rPr>
        <w:t xml:space="preserve">Clinical versus allocation: </w:t>
      </w:r>
      <w:r>
        <w:t xml:space="preserve">Reaching Milan/T2 does not retrospectively create standardized downstaging entry eligibility. A nonstandard exception request, calculated-MELD route or LDLT review remains separate; apply the actual allocation clock.</w:t>
      </w:r>
    </w:p>
    <w:p>
      <w:pPr>
        <w:pStyle w:val="Normal"/>
        <w:widowControl/>
        <w:spacing w:before="60" w:after="20"/>
      </w:pPr>
      <w:r>
        <w:rPr>
          <w:b/>
        </w:rPr>
        <w:t xml:space="preserve">Roadmap / protocol reconciliation: </w:t>
      </w:r>
      <w:r>
        <w:t xml:space="preserve">Retain the HCC roadmap’s resection/ablation assessment and treatment selection. This proposal changes transplant entry boundaries, not the standard cancer-treatment algorithm.</w:t>
      </w:r>
    </w:p>
    <w:p>
      <w:pPr>
        <w:pStyle w:val="Heading3"/>
        <w:keepNext/>
        <w:widowControl/>
      </w:pPr>
      <w:r>
        <w:t xml:space="preserve">Meeting decision — complete only after discussion</w:t>
      </w:r>
    </w:p>
    <w:p>
      <w:pPr>
        <w:pStyle w:val="Normal"/>
        <w:widowControl/>
        <w:spacing w:before="60" w:after="20"/>
      </w:pPr>
      <w:r>
        <w:t xml:space="preserve">Group decision (adopt / amend / defer / decline): __________________________________</w:t>
      </w:r>
    </w:p>
    <w:p>
      <w:pPr>
        <w:pStyle w:val="Normal"/>
        <w:widowControl/>
        <w:spacing w:before="60" w:after="20"/>
      </w:pPr>
      <w:r>
        <w:t xml:space="preserve">Final cutoff / population / exact protocol wording: _________________________________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Evidence accepted/rejected; denominator/time origin; residual uncertainty: 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Rationale and dissent: ______________________________________________________</w:t>
      </w:r>
    </w:p>
    <w:p>
      <w:pPr>
        <w:pStyle w:val="Normal"/>
        <w:widowControl/>
        <w:spacing w:before="60" w:after="20"/>
      </w:pPr>
      <w:r>
        <w:t xml:space="preserve">Protocol section(s) to change / required source or PDF: _____________________________</w:t>
      </w:r>
    </w:p>
    <w:p>
      <w:pPr>
        <w:pStyle w:val="Normal"/>
        <w:widowControl/>
        <w:spacing w:before="60" w:after="20"/>
      </w:pPr>
      <w:r>
        <w:t xml:space="preserve">Owner / action / due date: ___________________________________________________</w:t>
      </w:r>
    </w:p>
    <w:p>
      <w:pPr>
        <w:pStyle w:val="Normal"/>
        <w:widowControl/>
        <w:spacing w:before="60" w:after="20"/>
      </w:pPr>
      <w:r>
        <w:t xml:space="preserve">Meeting date / decision-maker signatures: ________________________________________</w:t>
      </w:r>
    </w:p>
    <w:p>
      <w:pPr>
        <w:pStyle w:val="Normal"/>
        <w:widowControl/>
        <w:spacing w:before="60" w:after="20"/>
      </w:pPr>
      <w:r>
        <w:t xml:space="preserve">Clinical / allocation / donor / research approvals and effective date: ____________________</w:t>
      </w:r>
    </w:p>
    <w:p>
      <w:pPr>
        <w:pStyle w:val="Normal"/>
        <w:widowControl/>
        <w:spacing w:before="60" w:after="20"/>
      </w:pPr>
      <w:r>
        <w:t xml:space="preserve">Proposed discussion owners: HCC transplant lead; radiology; hepatology; oncology; allocation; biostatistics.</w:t>
      </w:r>
    </w:p>
    <w:p>
      <w:pPr>
        <w:pStyle w:val="Heading2"/>
        <w:keepNext/>
        <w:widowControl/>
      </w:pPr>
      <w:bookmarkStart w:id="2" w:name="HCC_B2"/>
      <w:r>
        <w:t xml:space="preserve">HCC-B2 — Which PVTT anatomy could enter a transplanting study?</w:t>
      </w:r>
      <w:bookmarkEnd w:id="2"/>
    </w:p>
    <w:p>
      <w:pPr>
        <w:pStyle w:val="Normal"/>
        <w:widowControl/>
        <w:spacing w:before="60" w:after="20"/>
      </w:pPr>
      <w:r>
        <w:t xml:space="preserve">OPEN — evidence review first; institutional decision remains blank.</w:t>
      </w:r>
    </w:p>
    <w:p>
      <w:pPr>
        <w:pStyle w:val="Normal"/>
        <w:widowControl/>
        <w:spacing w:before="60" w:after="20"/>
      </w:pPr>
      <w:hyperlink r:id="rId53">
        <w:r>
          <w:rPr>
            <w:color w:val="77230C"/>
            <w:sz w:val="20"/>
            <w:u w:val="single"/>
          </w:rPr>
          <w:t>Corresponding protocol / boundary addendum</w:t>
        </w:r>
      </w:hyperlink>
    </w:p>
    <w:p>
      <w:pPr>
        <w:pStyle w:val="Heading3"/>
        <w:keepNext/>
        <w:widowControl/>
      </w:pPr>
      <w:r>
        <w:t xml:space="preserve">Question and comparison</w:t>
      </w:r>
    </w:p>
    <w:p>
      <w:pPr>
        <w:pStyle w:val="Normal"/>
        <w:widowControl/>
        <w:spacing w:before="60" w:after="20"/>
      </w:pPr>
      <w:r>
        <w:t xml:space="preserve">HCC with previously documented portal-vein tumor thrombus, after antitumor treatment; compare original segmental/second-order versus first-order/main-trunk extent and response strata. Outcomes are treatment-entry access and survival, recipient survival, recurrence and graft-related harm—not anatomy alone.</w:t>
      </w:r>
    </w:p>
    <w:p>
      <w:pPr>
        <w:pStyle w:val="Heading3"/>
        <w:keepNext/>
        <w:widowControl/>
      </w:pPr>
      <w:r>
        <w:t xml:space="preserve">Search scope and evidence access</w:t>
      </w:r>
    </w:p>
    <w:p>
      <w:pPr>
        <w:pStyle w:val="Normal"/>
        <w:widowControl/>
        <w:spacing w:before="60" w:after="20"/>
      </w:pPr>
      <w:r>
        <w:t xml:space="preserve">Reviewed seven principal recipient/downstaging series across LDLT and DDLT, including the 2026 Asan cohort and new Italian Y90 downstaging cohort. Preserved the verified V6 grade table without curve-digitizing unreported estimates. Retrieved complete Assalino 2020 PDF. Study anatomy labels and DFS/RFS definitions are not harmonized. The complete Sposito 2026 main PDF supplied as 94457 was reviewed on 24 October 2026, including methods, Figures 1–3 and Tables 1–3; external supplements remain unavailable. This replaces the earlier abstract-only extraction.</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Retrospective Asan LDLT cohort, 1997–2022, 137 selected PVTT recipients; median follow-up 38.3 months.</w:t>
            </w:r>
          </w:p>
          <w:p>
            <w:pPr>
              <w:pStyle w:val="Normal"/>
              <w:widowControl/>
              <w:spacing w:before="60" w:after="20"/>
            </w:pPr>
            <w:r>
              <w:t xml:space="preserve">Selection: Original Vp1/Vp2/Vp3/Vp4 counts were 51/36/36/14. Overall mRECIST CR/PR defined responders, not necessarily complete vascular response.</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Table 1; Results p7261; Table 2 p7264; Figure 1 p7265; Discussion p7268. Preserve source/pvtt_outcomes.py values.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pStyle w:val="Normal"/>
              <w:widowControl/>
              <w:spacing w:before="60" w:after="20"/>
            </w:pPr>
            <w:r>
              <w:rPr>
                <w:b/>
              </w:rPr>
              <w:t xml:space="preserve">Do not infer: </w:t>
            </w:r>
            <w:r>
              <w:t xml:space="preserve">Recipient-only, heterogeneous treatment eras and small grade subgroups. Nonsignificant grade comparisons do not prove equivalence. Discussion/conclusion transpose responder OS and DFS; retain Results/Figure 1 values.</w:t>
            </w:r>
          </w:p>
        </w:tc>
      </w:tr>
      <w:tr>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t xml:space="preserve"> </w:t>
            </w:r>
            <w:r>
              <w:fldChar w:fldCharType="begin"/>
            </w:r>
            <w:r>
              <w:instrText xml:space="preserve"> ADDIN EN.CITE </w:instrText>
            </w:r>
            <w:r>
              <w:fldChar w:fldCharType="begin">
                <w:fldData>PEVuZE5vdGU+PENpdGU+PEF1dGhvcj5DaG9pPC9BdXRob3I+PFllYXI+MjAxNzwvWWVhcj48UmVjTnVtPjE0PC9SZWNOdW0+PERpc3BsYXlUZXh0PltWMTItMTRdPC9EaXNwbGF5VGV4dD48cmVjb3JkPjxyZWMtbnVtYmVyPjE0PC9yZWMtbnVtYmVyPjxmb3JlaWduLWtleXM+PGtleSBhcHA9IkVOIiBkYi1pZD0iYTNhYWZkZmMtNmMxOC01MjJjLThhNjgtZmEwYWQyOGY1MWQyIiB0aW1lc3RhbXA9IjE3OTI5MjEwODciPjE0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Single-center Korean LDLT cohort, 2005–2015. Of 253 adult HCC LDLTs, four deaths within one month, five lost to follow-up and two mixed HCC/CCA cases were excluded, leaving 242. PVTT: 27 segmental (at/below second-order branches) and seven first-order/lobar; main-portal disease, nodes and distant spread excluded. Eleven of 27 segmental thrombi were unsuspected before LT and discovered on explant. Prior treatment in 22/34 was not a standardized downstaging protocol.</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2/j 1024: exclusions, pretreatment, anatomy definition. | PDF p 3/j 1025: 16/27 preoperative segmental diagnoses. | PDF pp 5–6/j 1027–1028: Tables 2–3 and explicit lobar DFS 14.3%. | PDF p 7/j 1029 Table 4: AFP subgroup counts. | PDF p 8/j 1030: subgroup survival and limitations.</w:t>
            </w:r>
          </w:p>
          <w:p>
            <w:pPr>
              <w:pStyle w:val="Normal"/>
              <w:widowControl/>
              <w:spacing w:before="60" w:after="20"/>
            </w:pPr>
            <w:r>
              <w:t xml:space="preserve">Review depth: Complete main text/tables/figures/discussion of nine-page article read; last-page bibliography only not material to extraction.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n = 27: recurrence 9/27 (33.3%), five-year OS 50.3%, author-labelled DFS 63.9%. Lobar n = 7: recurrence 6/7 (85.7%), three-/five-year OS 14.3%/14.3%, DFS 14.3%/14.3%. Segmental AFP &lt;100 subgroup: five-year OS 71.3%, DFS 90.9%. Overall PVTT recurrence 15/34 (44.1%); mean time to recurrence 6.8±4.33 months. Safety: Four early postoperative deaths were excluded across the parent HCC cohort; their PVTT status is not reported. Lobar recurrence was 6/7. Donor harms are not quantified.</w:t>
            </w:r>
          </w:p>
          <w:p>
            <w:pPr>
              <w:pStyle w:val="Normal"/>
              <w:widowControl/>
              <w:spacing w:before="60" w:after="20"/>
            </w:pPr>
            <w:r>
              <w:rPr>
                <w:b/>
              </w:rPr>
              <w:t xml:space="preserve">Do not infer: </w:t>
            </w:r>
            <w:r>
              <w:t xml:space="preserve">Tiny retrospective recipient subgroups; early-death exclusion and occult segmental thrombi favor outcomes. No entry-cohort ITT estimate, standardized response duration or validated AFP cutoff. Do not call author-labelled DFS death-inclusive RFS.</w:t>
            </w:r>
          </w:p>
        </w:tc>
      </w:tr>
      <w:tr>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t xml:space="preserve"> </w:t>
            </w:r>
            <w:r>
              <w:fldChar w:fldCharType="begin"/>
            </w:r>
            <w:r>
              <w:instrText xml:space="preserve"> ADDIN EN.CITE </w:instrText>
            </w:r>
            <w:r>
              <w:fldChar w:fldCharType="begin">
                <w:fldData>PEVuZE5vdGU+PENpdGU+PEF1dGhvcj5ZYW5nPC9BdXRob3I+PFllYXI+MjAyMDwvWWVhcj48UmVjTnVtPjE1PC9SZWNOdW0+PERpc3BsYXlUZXh0PltWMTItMTVdPC9EaXNwbGF5VGV4dD48cmVjb3JkPjxyZWMtbnVtYmVyPjE1PC9yZWMtbnVtYmVyPjxmb3JlaWduLWtleXM+PGtleSBhcHA9IkVOIiBkYi1pZD0iYTNhYWZkZmMtNmMxOC01MjJjLThhNjgtZmEwYWQyOGY1MWQyIiB0aW1lc3RhbXA9IjE3OTI5MjEwODciPjE1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Retrospective Chinese recipient cohort of 75 HCC/PVTT transplants: 47 with Vp2–3 combined and 28 with Vp4. The Vp2–3 group was entirely HBV-associated; Child-Pugh A/B/C counts were 1/22/24 and median MELD 30. Not a standardized downstaging-response cohort.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2/j 230: Methods, endpoint definitions, 47/28 groups, Table 1. | PDF p 3/j 231: grade outcomes and 22/17/8 risk groups. | PDF p 4/j 232: Tables 2–3. | PDF p 5/j 233: limitations.</w:t>
            </w:r>
          </w:p>
          <w:p>
            <w:pPr>
              <w:pStyle w:val="Normal"/>
              <w:widowControl/>
              <w:spacing w:before="60" w:after="20"/>
            </w:pPr>
            <w:r>
              <w:t xml:space="preserve">Review depth: Complete six-page article read, all main methods/results/tables/figures/discussion/references.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Vp2–3 n = 47: three-year OS 65.4%, recurrence-only RFS 40.0%. Vp4 n = 28: three-year OS 30.6%, recurrence-only RFS 21.4%. A derived low-risk subgroup of 22/47 had three-year OS 95.2% and recurrence-only RFS 67.6%; its rule was total tumor diameter ≤8 cm, OR if &gt;8 cm, AFP &lt;1,000 ng/mL AND SUVmax &lt;5. Safety: Three-year recurrence-only RFS was low in both anatomical groups. Short median follow-up limits three-year precision; no donor-harm estimate.</w:t>
            </w:r>
          </w:p>
          <w:p>
            <w:pPr>
              <w:pStyle w:val="Normal"/>
              <w:widowControl/>
              <w:spacing w:before="60" w:after="20"/>
            </w:pPr>
            <w:r>
              <w:rPr>
                <w:b/>
              </w:rPr>
              <w:t xml:space="preserve">Do not infer: </w:t>
            </w:r>
            <w:r>
              <w:t xml:space="preserve">The low-risk rule was derived in the same 47 recipients and lacks external validation. It is not a Vp3-specific outcome or proof of safe active PVTT transplantation. No entry-denominator survival or validated observation interval.</w:t>
            </w:r>
          </w:p>
        </w:tc>
      </w:tr>
      <w:tr>
        <w:trPr/>
        <w:tc>
          <w:tcPr>
            <w:tcW w:w="34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fldChar w:fldCharType="begin"/>
            </w:r>
            <w:r>
              <w:instrText xml:space="preserve"> ADDIN EN.CITE </w:instrText>
            </w:r>
            <w:r>
              <w:fldChar w:fldCharType="begin">
                <w:fldData>PEVuZE5vdGU+PENpdGU+PEF1dGhvcj5ZZTwvQXV0aG9yPjxZZWFyPjIwMjQ8L1llYXI+PFJlY051bT4xNjwvUmVjTnVtPjxEaXNwbGF5VGV4dD5bVjEyLTE2XTwvRGlzcGxheVRleHQ+PHJlY29yZD48cmVjLW51bWJlcj4xNjwvcmVjLW51bWJlcj48Zm9yZWlnbi1rZXlzPjxrZXkgYXBwPSJFTiIgZGItaWQ9ImEzYWFmZGZjLTZjMTgtNTIyYy04YTY4LWZhMGFkMjhmNTFkMiIgdGltZXN0YW1wPSIxNzkyOTIxMDg3Ij4xN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Retrospective DDLT cohort of 141 vascular-invasion recipients: 13 segmental PVTT, 68 lobar PVTT, 60 microvascular invasion.</w:t>
            </w:r>
          </w:p>
          <w:p>
            <w:pPr>
              <w:pStyle w:val="Normal"/>
              <w:widowControl/>
              <w:spacing w:before="60" w:after="20"/>
            </w:pPr>
            <w:r>
              <w:t xml:space="preserve">Selection: All had HBV. Lobar PVTT included first-order branches or main portal vein; perioperative deaths and early follow-up losses were excluded.</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Complete 12-page PDF: Methods p3, Tables 1–2 p6, Figure 4 p7.</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three-year OS 75.0%, RFS 58.3%, crude recurrence 4/13. Lobar three-year OS 45.9%, RFS 9.1%, crude recurrence 60/68.</w:t>
            </w:r>
          </w:p>
          <w:p>
            <w:pPr>
              <w:pStyle w:val="Normal"/>
              <w:widowControl/>
              <w:spacing w:before="60" w:after="20"/>
            </w:pPr>
            <w:r>
              <w:rPr>
                <w:b/>
              </w:rPr>
              <w:t xml:space="preserve">Do not infer: </w:t>
            </w:r>
            <w:r>
              <w:t xml:space="preserve">Exclusion of early deaths biases recipient survival upward. Lobar is not an isolated Vp3 group. Crude recurrence and RFS are distinct measures; the cohort is not directly transportable to Western mixed-etiology candidates.</w:t>
            </w:r>
          </w:p>
        </w:tc>
      </w:tr>
      <w:tr>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t xml:space="preserve"> </w:t>
            </w:r>
            <w:r>
              <w:fldChar w:fldCharType="begin"/>
            </w:r>
            <w:r>
              <w:instrText xml:space="preserve"> ADDIN EN.CITE </w:instrText>
            </w:r>
            <w:r>
              <w:fldChar w:fldCharType="begin">
                <w:fldData>PEVuZE5vdGU+PENpdGU+PEF1dGhvcj5Tb2luPC9BdXRob3I+PFllYXI+MjAyMDwvWWVhcj48UmVjTnVtPjE3PC9SZWNOdW0+PERpc3BsYXlUZXh0PltWMTItMTddPC9EaXNwbGF5VGV4dD48cmVjb3JkPjxyZWMtbnVtYmVyPjE3PC9yZWMtbnVtYmVyPjxmb3JlaWduLWtleXM+PGtleSBhcHA9IkVOIiBkYi1pZD0iYTNhYWZkZmMtNmMxOC01MjJjLThhNjgtZmEwYWQyOGY1MWQyIiB0aW1lc3RhbXA9IjE3OTI5MjEwODciPjE3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p>
          <w:p>
            <w:pPr>
              <w:pStyle w:val="Normal"/>
              <w:widowControl/>
              <w:spacing w:before="60" w:after="20"/>
            </w:pPr>
            <w:r>
              <w:t xml:space="preserve">Single-center prospective downstaging pathway: 43 patients with macrovascular invasion, comprising 38 PVTT and five hepatic-vein/IVC cases; 27 responded and 25 underwent LDLT. Recipient original Vp1/Vp2/Vp3/Vp4 counts: 1/12/11/1.</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2–4/j 2335–2337: protocol, 43 entry flow, endpoint definitions, 18 vs 7 response. | PDF p 5/j 2338: all 25 survival 53/52 and timing Table 1. | PDF p 6/j 2339: Table 2, 17/25 viable PVTT, early death-excluded 57/51. | PDF p 7/j 2340: Fig 3. | PDF pp 9–11/j 2342–2344: models, variable wait protocol, limitations.</w:t>
            </w:r>
          </w:p>
          <w:p>
            <w:pPr>
              <w:pStyle w:val="Normal"/>
              <w:widowControl/>
              <w:spacing w:before="60" w:after="20"/>
            </w:pPr>
            <w:r>
              <w:t xml:space="preserve">Review depth: Complete 12-page main paper read; supplemental Tables S1–S2/Figures S1–S5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25 recipients: five-year OS 53% and author-labelled RFS 52%. After excluding two early postoperative deaths (n = 23): five-year OS 57%, RFS 51%. Recurrence 6/25 (24%), median five months. Eighteen had complete vascular enhancement loss; seven retained minimal/absent enhancement in Vp1–2 disease. Explants still showed viable PVTT in 17/25 and microvascular invasion in 21/25. Safety: Nine recipient deaths: two early sepsis deaths, four later non-cancer deaths and three cancer deaths. Six recurrences occurred despite downstaging selection. Radiographic response did not reliably imply pathological vascular sterilization.</w:t>
            </w:r>
          </w:p>
          <w:p>
            <w:pPr>
              <w:pStyle w:val="Normal"/>
              <w:widowControl/>
              <w:spacing w:before="60" w:after="20"/>
            </w:pPr>
            <w:r>
              <w:rPr>
                <w:b/>
              </w:rPr>
              <w:t xml:space="preserve">Do not infer: </w:t>
            </w:r>
            <w:r>
              <w:t xml:space="preserve">No randomized comparator, limited recipient number and no grade-specific survival estimates. The 43-entry denominator includes nonportal macrovascular invasion. Five-year 57% OS excludes early deaths; it is neither all-recipient nor ITT survival. Small poor-grade/AFP-change subgroups do not validate new cutoffs or a 12-month control rule.</w:t>
            </w:r>
          </w:p>
        </w:tc>
      </w:tr>
      <w:tr>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t xml:space="preserve"> </w:t>
            </w:r>
            <w:r>
              <w:fldChar w:fldCharType="begin"/>
            </w:r>
            <w:r>
              <w:instrText xml:space="preserve"> ADDIN EN.CITE </w:instrText>
            </w:r>
            <w:r>
              <w:fldChar w:fldCharType="begin">
                <w:fldData>PEVuZE5vdGU+PENpdGU+PEF1dGhvcj5Bc3NhbGlubzwvQXV0aG9yPjxZZWFyPjIwMjA8L1llYXI+PFJlY051bT4xODwvUmVjTnVtPjxEaXNwbGF5VGV4dD5bVjEyLTE4XTwvRGlzcGxheVRleHQ+PHJlY29yZD48cmVjLW51bWJlcj4xODwvcmVjLW51bWJlcj48Zm9yZWlnbi1rZXlzPjxrZXkgYXBwPSJFTiIgZGItaWQ9ImEzYWFmZGZjLTZjMTgtNTIyYy04YTY4LWZhMGFkMjhmNTFkMiIgdGltZXN0YW1wPSIxNzkyOTIxMDg3Ij4xO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Multicenter recipient-only series: 45 records identified, 29 with centrally confirmed pretreatment vascular invasion plus one pathologically confirmed case accepted (n = 30). Excluded records are not downstaging failures. There were 24 portal cases (seven Vp1, 12 Vp2, five study-defined Vp3) and six hepatic/caval cases; the paper's Vp3 category includes main-trunk disease.</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pp 2–3/j 568–569: cohort, definitions, endpoint death handling. | PDF p 4/j 570: flow, outcomes, AFP ROC. | PDF p 5/j 571: Table 1 and subgroup outcomes. | PDF pp 6–8/j 572–574: explant, limitations, Table 2.</w:t>
            </w:r>
          </w:p>
          <w:p>
            <w:pPr>
              <w:pStyle w:val="Normal"/>
              <w:widowControl/>
              <w:spacing w:before="60" w:after="20"/>
            </w:pPr>
            <w:r>
              <w:t xml:space="preserve">Review depth: Complete nine-page primary paper (same study reviewed in V7) verified against newly downloaded copy; all main methods/results/tables/discussion read; supplementary Table S1 not available.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59.6% and death-inclusive DFS 56.3%; recurrence 8/30, median 6.5 months. Three explants retained major vascular invasion and 11 had complete necrosis. Exploratory AFP &lt;10 ng/mL subgroup: recurrence 11.1% versus 50%, five-year OS 83.3% versus 27.8%, DFS 71.8% versus 33.3%; cutoff AUC 0.78. Safety: Eight recurrences among 30 highly selected recipients; residual vascular invasion despite radiographic control.</w:t>
            </w:r>
          </w:p>
          <w:p>
            <w:pPr>
              <w:pStyle w:val="Normal"/>
              <w:widowControl/>
              <w:spacing w:before="60" w:after="20"/>
            </w:pPr>
            <w:r>
              <w:rPr>
                <w:b/>
              </w:rPr>
              <w:t xml:space="preserve">Do not infer: </w:t>
            </w:r>
            <w:r>
              <w:t xml:space="preserve">Small selected mixed-anatomy cohort; AFP cutoff derived post hoc, with subgroup denominators not clearly stated in the main text. Local Vp labels do not map cleanly onto usual Vp1–4. A median 11.4-month interval is not a validated minimum observation period.</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Retrospective analysis of prospectively collected databases at five Italian centers, 2010–2023: 240 consecutive Y90-TARE-treated HCC/PVTT patients; 61 achieved sustained downstaging and 37 underwent deceased-donor LT.</w:t>
            </w:r>
          </w:p>
          <w:p>
            <w:pPr>
              <w:pStyle w:val="Normal"/>
              <w:widowControl/>
              <w:spacing w:before="60" w:after="20"/>
            </w:pPr>
            <w:r>
              <w:t xml:space="preserve">Selection: Age &lt;70 years, ECOG 0–1, measurable HCC, no extrahepatic disease, hepatic-vein involvement or main-portal-trunk involvement. Study anatomy: PV1 segmentary (84), PV2 secondary-order branch (76), PV3 first-order branch (80); these are all-240 baseline groups, not transplanted-grade denominators. No unified prespecified downstaging protocol. All centers required at least six months of radiological response after TARE; Center 3 required complete PVTT response, four centers accepted partial response. Tumor criteria varied between up-to-seven, Metroticket predicted five-year survival &gt;60%, and Milan; AFP ceilings varied &lt;100, &lt;400 and &lt;1,000 ng/mL. Median TARE-to-LT interval 17 months (IQR 10–19), not a required minimum; median listed wait 90 days (32–210). All grafts DBD/DCD, not LDLT.</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Complete 12-page PDF including visual abstract. Methods/selection p4; endpoint definitions and all-240 outcomes p5; flow, central review and recipient results p6/Figure 1; baseline anatomy p7/Table 1; harms/explant p8/Table 2; survival and at-risk counts p9/Figure 3; exploratory subgroups p10/Table 3; response uncertainty and limitations p11.</w:t>
            </w:r>
          </w:p>
          <w:p>
            <w:pPr>
              <w:pStyle w:val="Normal"/>
              <w:widowControl/>
              <w:spacing w:before="60" w:after="20"/>
            </w:pPr>
            <w:r>
              <w:t xml:space="preserve">Review depth: Complete 12-page main PDF read and figures/tables visually checked; title and DOI matched. External supplementary tables S1/S2 and STROBE checklist not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Pathway: 118/240 had CR/PR within six months; 61/240 (25.4%) had sustained downstaging, 37/240 (15.4%) reached LT. Of 61 downstaged, 24 were not listed: nine age/comorbidity, six conversion to resection, nine refusal/noncompliance. No dropout among the 37 actually listed does not mean no pathway attrition. All-240 survival from TARE: median OS 14.1 months (reported interval 11.1–17.1); one/three/five-year OS 53.7%/27.2%/18.9%, with 184 deaths and median follow-up 65.2 months. Among all 37 recipients, including four perioperative deaths: three/five-year OS 67.2%/61.6%; six recurrences (16.2% crude count); author RFS 79.3% at three and five years, censoring death without recurrence. Median recipient follow-up 56.7 months; only eight patients at risk at five years in Figure 3A. Complete pathological necrosis 21/37 (56.7%); persistent pathological macrovascular invasion 11/37, including viable vascular thrombus in 8/37 (21.6%). Among the 61 downstaged, cancer-related death at 60 months from successful downstaging was 15.8% with LT versus 45.2% without LT (sHR 0.221, 95% CI 0.071–0.683; p=0.0087); this is an observational association. No grade-specific recipient survival/recurrence estimates are reported in the main paper. Harms: Post-TARE liver decompensation occurred in 56/240 (23.3%); symptomatic radiation-induced lung toxicity in 3/240 (1.2%), not classified as treatment-related mortality. LT major Dindo–Clavien grade ≥3 complications occurred in 13/37 (35.1%); four perioperative deaths among 37 recipients (10.8%, calculated). The paper does not specify a 30- or 90-day definition for those four deaths.</w:t>
            </w:r>
          </w:p>
          <w:p>
            <w:pPr>
              <w:pStyle w:val="Normal"/>
              <w:widowControl/>
              <w:spacing w:before="60" w:after="20"/>
            </w:pPr>
            <w:r>
              <w:rPr>
                <w:b/>
              </w:rPr>
              <w:t xml:space="preserve">Do not infer: </w:t>
            </w:r>
            <w:r>
              <w:t xml:space="preserve">Selected-recipient outcomes cannot be applied to all 240 entrants. No randomized comparator against contemporary systemic therapy; heterogeneous treatment/selection, calendar-era effects, comorbidity and response differences, and timing/selection bias remain. Non-LT downstaged patients had fewer complete responses (29.2% vs 62.2%); a time-dependent LT/immortal-time correction is not explicitly described. Radiological extent changed on central review in 16/31 available cases (four upgrades, twelve downgrades). Post-radiation enhancement may complicate vascular-response interpretation, and response did not exclude viable PVTT. Table 3 univariable age &gt;65 (n=4), AFP &gt;100 (n=3), size &gt;50 mm (n=6), and partial best response (n=14) associations do not validate hard eligibility cutoffs; no variable significantly predicted RFS. Figure 1's ineffective-downstaging subcounts 18+27+14 sum to 59, not the stated 57; the 14-death label is printed as 6.3%. Use the coherent main cohort totals without inventing a correction. Possible overlap with earlier Italian reports must not be pooled as independent evidence. External tables S1/S2 and STROBE supplement were not available for this review. Endpoint/time origin: Three distinct origins: TARE for all-240 OS; date of successful downstaging for the 61-patient cancer-death comparison; LT for recipient OS/RFS. RFS treats recurrence as the event and censors death without recurrence: 79.3% is neither alive-and-recurrence-free survival nor a competing-risk estimate. Six recurrences/37 is a crude follow-up count, not five-year recurrence risk. Do not calculate recurrence incidence as 1 minus RFS. The recipient-only competing-risk cancer-death estimate at five years is 17%, not the 15.8% comparison starting at downstaging.</w:t>
            </w:r>
          </w:p>
        </w:tc>
      </w:tr>
    </w:tbl>
    <w:p>
      <w:pPr>
        <w:pStyle w:val="Heading3"/>
        <w:keepNext/>
        <w:widowControl/>
      </w:pPr>
      <w:r>
        <w:t xml:space="preserve">PVTT outcomes underlying the open anatomy boundary</w:t>
      </w:r>
    </w:p>
    <w:p>
      <w:pPr>
        <w:pStyle w:val="Normal"/>
        <w:widowControl/>
      </w:pPr>
      <w:r>
        <w:t xml:space="preserve">The evidence supports studying carefully selected patients, but does not validate a universal Vp2/Vp3 cutoff. The following are outcomes after transplantation in selected recipients, not the chance of benefit from the start of downstaging. OS means overall survival; DFS/RFS retain each paper’s terminology. Observed recurrence is a crude count over available follow-up, not a fixed-time cumulative incidence.</w:t>
      </w:r>
    </w:p>
    <w:p>
      <w:pPr>
        <w:pStyle w:val="Heading3"/>
        <w:keepNext/>
        <w:widowControl/>
      </w:pPr>
      <w:r>
        <w:t xml:space="preserve">Individual Vp grades in the largest LDLT cohort reviewed</w:t>
      </w:r>
    </w:p>
    <w:p>
      <w:pPr>
        <w:pStyle w:val="Normal"/>
        <w:keepNext/>
        <w:widowControl/>
      </w:pPr>
      <w:r>
        <w:t xml:space="preserve">Yoon 2026: 137 recipients, Asan, 1997–2022; median follow-up 38.3 months. Record original highest Vp extent and current viable extent separately; do not re-label historical Vp4 as Vp1 after response.</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500"/>
        <w:gridCol w:w="1150"/>
        <w:gridCol w:w="1150"/>
        <w:gridCol w:w="3550"/>
      </w:tblGrid>
      <w:tr>
        <w:trPr>
          <w:cantSplit/>
          <w:tblHeader/>
        </w:trPr>
        <w:tc>
          <w:tcPr>
            <w:tcW w:w="2650" w:type="dxa"/>
            <w:vAlign w:val="center"/>
            <w:tcMar>
              <w:top w:w="90" w:type="dxa"/>
              <w:left w:w="90" w:type="dxa"/>
              <w:bottom w:w="90" w:type="dxa"/>
              <w:right w:w="90" w:type="dxa"/>
            </w:tcMar>
            <w:shd w:fill="DCE6F1"/>
          </w:tcPr>
          <w:p>
            <w:pPr>
              <w:pStyle w:val="Normal"/>
              <w:widowControl/>
              <w:spacing w:before="60" w:after="20"/>
            </w:pPr>
            <w:r>
              <w:rPr>
                <w:b/>
              </w:rPr>
              <w:t xml:space="preserve">Vp grade and vessel</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5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Vp1</w:t>
            </w:r>
            <w:r>
              <w:br/>
            </w:r>
            <w:r>
              <w:t xml:space="preserve">Peripheral to second-order branches</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51</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69.5%</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56.2%</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Vp2</w:t>
            </w:r>
            <w:r>
              <w:br/>
            </w:r>
            <w:r>
              <w:t xml:space="preserve">Second-order branches</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Vp3</w:t>
            </w:r>
            <w:r>
              <w:br/>
            </w:r>
            <w:r>
              <w:t xml:space="preserve">First-order right or left branch</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Vp4</w:t>
            </w:r>
            <w:r>
              <w:br/>
            </w:r>
            <w:r>
              <w:t xml:space="preserve">Main trunk and/or contralateral branch</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14</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50.0%</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34.3%</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9/14 (64.3%), counted from Table 2; not a five-year risk</w:t>
            </w:r>
          </w:p>
        </w:tc>
      </w:tr>
    </w:tbl>
    <w:p>
      <w:pPr>
        <w:pStyle w:val="Normal"/>
        <w:widowControl/>
        <w:spacing w:before="60" w:after="20"/>
      </w:pPr>
      <w:r>
        <w:t xml:space="preserve">Source locators: Table 1, Results p7261, Table 2 p7264 and Figure 1 p7265. The Vp2/Vp3 survival curves are shown, but exact five-year estimates are not supplied numerically; no values have been guessed from the graph.</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hyperlink r:id="rId68">
        <w:r>
          <w:rPr>
            <w:color w:val="77230C"/>
            <w:sz w:val="20"/>
            <w:u w:val="single"/>
          </w:rPr>
          <w:t>Yoon 2026</w:t>
        </w:r>
      </w:hyperlink>
      <w:r>
        <w:t xml:space="preserve"> — </w:t>
      </w:r>
      <w:hyperlink r:id="rId69">
        <w:r>
          <w:rPr>
            <w:color w:val="77230C"/>
            <w:sz w:val="20"/>
            <w:u w:val="single"/>
          </w:rPr>
          <w:t>Full-text PDF</w:t>
        </w:r>
      </w:hyperlink>
    </w:p>
    <w:p>
      <w:pPr>
        <w:pStyle w:val="Normal"/>
        <w:widowControl/>
        <w:spacing w:before="60" w:after="20"/>
      </w:pPr>
      <w:r>
        <w:t xml:space="preserve">Vp4 recurrence was independently counted from the 14 Table 2 rows. Grade-specific recurrence counts for Vp1–3 were not separately reported. Neither 100 minus DFS nor 100 minus RFS is relabeled as recurrence. Different event definitions, death handling and follow-up preclude that substitution.</w:t>
      </w:r>
    </w:p>
    <w:p>
      <w:pPr>
        <w:pStyle w:val="Heading3"/>
        <w:keepNext/>
        <w:widowControl/>
      </w:pPr>
      <w:r>
        <w:t xml:space="preserve">Anatomy comparisons in other transplant cohorts</w:t>
      </w:r>
    </w:p>
    <w:tbl>
      <w:tblPr>
        <w:tblW w:w="9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350"/>
        <w:gridCol w:w="1350"/>
        <w:gridCol w:w="1550"/>
        <w:gridCol w:w="2850"/>
      </w:tblGrid>
      <w:tr>
        <w:trPr>
          <w:cantSplit/>
          <w:tblHeader/>
        </w:trPr>
        <w:tc>
          <w:tcPr>
            <w:tcW w:w="3350" w:type="dxa"/>
            <w:vAlign w:val="center"/>
            <w:tcMar>
              <w:top w:w="90" w:type="dxa"/>
              <w:left w:w="90" w:type="dxa"/>
              <w:bottom w:w="90" w:type="dxa"/>
              <w:right w:w="90" w:type="dxa"/>
            </w:tcMar>
            <w:shd w:fill="DCE6F1"/>
          </w:tcPr>
          <w:p>
            <w:pPr>
              <w:pStyle w:val="Normal"/>
              <w:widowControl/>
              <w:spacing w:before="60" w:after="20"/>
            </w:pPr>
            <w:r>
              <w:rPr>
                <w:b/>
              </w:rPr>
              <w:t xml:space="preserve">Study and reported group</w:t>
            </w:r>
          </w:p>
        </w:tc>
        <w:tc>
          <w:tcPr>
            <w:tcW w:w="1350" w:type="dxa"/>
            <w:vAlign w:val="center"/>
            <w:tcMar>
              <w:top w:w="90" w:type="dxa"/>
              <w:left w:w="90" w:type="dxa"/>
              <w:bottom w:w="90" w:type="dxa"/>
              <w:right w:w="90" w:type="dxa"/>
            </w:tcMar>
            <w:shd w:fill="DCE6F1"/>
          </w:tcPr>
          <w:p>
            <w:pPr>
              <w:pStyle w:val="Normal"/>
              <w:widowControl/>
              <w:spacing w:before="60" w:after="20"/>
              <w:jc w:val="center"/>
            </w:pPr>
            <w:r>
              <w:rPr>
                <w:b/>
              </w:rPr>
              <w:t xml:space="preserve">OS</w:t>
            </w:r>
          </w:p>
        </w:tc>
        <w:tc>
          <w:tcPr>
            <w:tcW w:w="1550" w:type="dxa"/>
            <w:vAlign w:val="center"/>
            <w:tcMar>
              <w:top w:w="90" w:type="dxa"/>
              <w:left w:w="90" w:type="dxa"/>
              <w:bottom w:w="90" w:type="dxa"/>
              <w:right w:w="90" w:type="dxa"/>
            </w:tcMar>
            <w:shd w:fill="DCE6F1"/>
          </w:tcPr>
          <w:p>
            <w:pPr>
              <w:pStyle w:val="Normal"/>
              <w:widowControl/>
              <w:spacing w:before="60" w:after="20"/>
              <w:jc w:val="center"/>
            </w:pPr>
            <w:r>
              <w:rPr>
                <w:b/>
              </w:rPr>
              <w:t xml:space="preserve">DFS or RFS</w:t>
            </w:r>
          </w:p>
        </w:tc>
        <w:tc>
          <w:tcPr>
            <w:tcW w:w="28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Choi 2017</w:t>
            </w:r>
            <w:r>
              <w:br/>
            </w:r>
            <w:r>
              <w:t xml:space="preserve">Segmental n=27; Vp1–2-type anatomy</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50.3% at 5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DFS 63.9% at 5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9/27; 11/27 occult PVTT until explant</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Choi 2017</w:t>
            </w:r>
            <w:r>
              <w:br/>
            </w:r>
            <w:r>
              <w:t xml:space="preserve">First-order/lobar n=7; Vp3-type anatomy</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14.3%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DFS 14.3% at 3 and 5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6/7; four early deaths excluded from study</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Yang 2020</w:t>
            </w:r>
            <w:r>
              <w:br/>
            </w:r>
            <w:r>
              <w:t xml:space="preserve">Vp2–3 combined, n=47</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65.4%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40.0%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RFS recurrence-only; not a death composite</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Yang 2020</w:t>
            </w:r>
            <w:r>
              <w:br/>
            </w:r>
            <w:r>
              <w:t xml:space="preserve">Vp4, n=28</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30.6%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21.4%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Separate crude count not used here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Ye 2024</w:t>
            </w:r>
            <w:r>
              <w:br/>
            </w:r>
            <w:r>
              <w:t xml:space="preserve">Segmental, n=13</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75.0%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58.3%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4/13 (30.8%)</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Ye 2024</w:t>
            </w:r>
            <w:r>
              <w:br/>
            </w:r>
            <w:r>
              <w:t xml:space="preserve">Lobar including main portal vein, n=68; NOT isolated Vp3</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45.9%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9.1%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60/68 (88.2%)</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Soin 2020</w:t>
            </w:r>
            <w:r>
              <w:br/>
            </w:r>
            <w:r>
              <w:t xml:space="preserve">All 25 LDLT; 43 initial entries included portal and hepatic/IVC invasion</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53% at 5 y; 57% excluding 2 early deaths</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52% at 5 y; 51% excluding 2 early deaths</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6/25 (24%); viable PVTT 17/25 on Table 2</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Sposito 2026</w:t>
            </w:r>
            <w:r>
              <w:br/>
            </w:r>
            <w:r>
              <w:t xml:space="preserve">37 DBD/DCD LT after Y90; branch PVTT, no grade-specific LT estimates</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67.2% at 3 y; 61.6%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79.3% at 3 and 5 y; nonrecurrence deaths censored</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6/37 (16.2%) crude; 4 perioperative deaths included in OS</w:t>
            </w:r>
          </w:p>
        </w:tc>
      </w:tr>
    </w:tbl>
    <w:p>
      <w:pPr>
        <w:pStyle w:val="Normal"/>
        <w:widowControl/>
        <w:spacing w:before="60" w:after="20"/>
      </w:pPr>
      <w:r>
        <w:t xml:space="preserve">Choi and Yang full PDFs reviewed. Choi excluded four deaths within one month and included occult explant PVTT; Yang groups Vp2–3 (n=47) against Vp4 (n=28). Their results do not provide independent estimates for each grade or a validated anatomy cutoff.</w:t>
      </w:r>
      <w:r>
        <w:t xml:space="preserve"> </w:t>
      </w:r>
      <w:r>
        <w:t xml:space="preserve"> </w:t>
      </w:r>
      <w:r>
        <w:fldChar w:fldCharType="begin"/>
      </w:r>
      <w:r>
        <w:instrText xml:space="preserve"> ADDIN EN.CITE </w:instrText>
      </w:r>
      <w:r>
        <w:fldChar w:fldCharType="begin">
          <w:fldData>PEVuZE5vdGU+PENpdGU+PEF1dGhvcj5DaG9pPC9BdXRob3I+PFllYXI+MjAxNzwvWWVhcj48UmVjTnVtPjE0PC9SZWNOdW0+PERpc3BsYXlUZXh0PltWMTItMTRdPC9EaXNwbGF5VGV4dD48cmVjb3JkPjxyZWMtbnVtYmVyPjE0PC9yZWMtbnVtYmVyPjxmb3JlaWduLWtleXM+PGtleSBhcHA9IkVOIiBkYi1pZD0iYTNhYWZkZmMtNmMxOC01MjJjLThhNjgtZmEwYWQyOGY1MWQyIiB0aW1lc3RhbXA9IjE3OTI5MjEwODciPjE0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ZYW5nPC9BdXRob3I+PFllYXI+MjAyMDwvWWVhcj48UmVjTnVtPjE1PC9SZWNOdW0+PERpc3BsYXlUZXh0PltWMTItMTVdPC9EaXNwbGF5VGV4dD48cmVjb3JkPjxyZWMtbnVtYmVyPjE1PC9yZWMtbnVtYmVyPjxmb3JlaWduLWtleXM+PGtleSBhcHA9IkVOIiBkYi1pZD0iYTNhYWZkZmMtNmMxOC01MjJjLThhNjgtZmEwYWQyOGY1MWQyIiB0aW1lc3RhbXA9IjE3OTI5MjEwODciPjE1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hyperlink r:id="rId70">
        <w:r>
          <w:rPr>
            <w:color w:val="77230C"/>
            <w:sz w:val="20"/>
            <w:u w:val="single"/>
          </w:rPr>
          <w:t>Choi 2017</w:t>
        </w:r>
      </w:hyperlink>
      <w:r>
        <w:t xml:space="preserve"> — </w:t>
      </w:r>
      <w:hyperlink r:id="rId71">
        <w:r>
          <w:rPr>
            <w:color w:val="77230C"/>
            <w:sz w:val="20"/>
            <w:u w:val="single"/>
          </w:rPr>
          <w:t>Full-text PDF</w:t>
        </w:r>
      </w:hyperlink>
      <w:r>
        <w:t xml:space="preserve">  |  </w:t>
      </w:r>
      <w:hyperlink r:id="rId72">
        <w:r>
          <w:rPr>
            <w:color w:val="77230C"/>
            <w:sz w:val="20"/>
            <w:u w:val="single"/>
          </w:rPr>
          <w:t>Yang 2020</w:t>
        </w:r>
      </w:hyperlink>
      <w:r>
        <w:t xml:space="preserve"> — </w:t>
      </w:r>
      <w:hyperlink r:id="rId73">
        <w:r>
          <w:rPr>
            <w:color w:val="77230C"/>
            <w:sz w:val="20"/>
            <w:u w:val="single"/>
          </w:rPr>
          <w:t>Full-text PDF</w:t>
        </w:r>
      </w:hyperlink>
    </w:p>
    <w:p>
      <w:pPr>
        <w:pStyle w:val="Normal"/>
        <w:widowControl/>
        <w:spacing w:before="60" w:after="20"/>
      </w:pPr>
      <w:r>
        <w:t xml:space="preserve">Ye: Table 2, PDF p6; Results and Figure 4, p7. Its “lobar” definition includes the main trunk (Methods p3), so these results cannot be assigned to Vp3 alone. Perioperative deaths and follow-up losses within one year were excluded; all patients had HBV.</w:t>
      </w:r>
      <w:r>
        <w:t xml:space="preserve"> </w:t>
      </w:r>
      <w:r>
        <w:t xml:space="preserve"> </w:t>
      </w:r>
      <w:r>
        <w:fldChar w:fldCharType="begin"/>
      </w:r>
      <w:r>
        <w:instrText xml:space="preserve"> ADDIN EN.CITE </w:instrText>
      </w:r>
      <w:r>
        <w:fldChar w:fldCharType="begin">
          <w:fldData>PEVuZE5vdGU+PENpdGU+PEF1dGhvcj5ZZTwvQXV0aG9yPjxZZWFyPjIwMjQ8L1llYXI+PFJlY051bT4xNjwvUmVjTnVtPjxEaXNwbGF5VGV4dD5bVjEyLTE2XTwvRGlzcGxheVRleHQ+PHJlY29yZD48cmVjLW51bWJlcj4xNjwvcmVjLW51bWJlcj48Zm9yZWlnbi1rZXlzPjxrZXkgYXBwPSJFTiIgZGItaWQ9ImEzYWFmZGZjLTZjMTgtNTIyYy04YTY4LWZhMGFkMjhmNTFkMiIgdGltZXN0YW1wPSIxNzkyOTIxMDg3Ij4xN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hyperlink r:id="rId74">
        <w:r>
          <w:rPr>
            <w:color w:val="77230C"/>
            <w:sz w:val="20"/>
            <w:u w:val="single"/>
          </w:rPr>
          <w:t>Ye 2024</w:t>
        </w:r>
      </w:hyperlink>
      <w:r>
        <w:t xml:space="preserve"> — </w:t>
      </w:r>
      <w:hyperlink r:id="rId75">
        <w:r>
          <w:rPr>
            <w:color w:val="77230C"/>
            <w:sz w:val="20"/>
            <w:u w:val="single"/>
          </w:rPr>
          <w:t>Full-text PDF</w:t>
        </w:r>
      </w:hyperlink>
    </w:p>
    <w:p>
      <w:pPr>
        <w:pStyle w:val="Normal"/>
        <w:widowControl/>
        <w:spacing w:before="60" w:after="20"/>
      </w:pPr>
      <w:r>
        <w:t xml:space="preserve">Soin full PDF: all 25 recipients had five-year OS 53% and author RFS 52%; 57%/51% excludes two early deaths. Only 18/25 had complete loss of PVTT enhancement; seven Vp1/2 cases had minimal enhancement or no repeat imaging. Table 2 reports viable PVTT in 17/25. No complete 43-entry ITT survival comparison.</w:t>
      </w:r>
      <w:r>
        <w:t xml:space="preserve"> </w:t>
      </w:r>
      <w:r>
        <w:t xml:space="preserve"> </w:t>
      </w:r>
      <w:r>
        <w:fldChar w:fldCharType="begin"/>
      </w:r>
      <w:r>
        <w:instrText xml:space="preserve"> ADDIN EN.CITE </w:instrText>
      </w:r>
      <w:r>
        <w:fldChar w:fldCharType="begin">
          <w:fldData>PEVuZE5vdGU+PENpdGU+PEF1dGhvcj5Tb2luPC9BdXRob3I+PFllYXI+MjAyMDwvWWVhcj48UmVjTnVtPjE3PC9SZWNOdW0+PERpc3BsYXlUZXh0PltWMTItMTddPC9EaXNwbGF5VGV4dD48cmVjb3JkPjxyZWMtbnVtYmVyPjE3PC9yZWMtbnVtYmVyPjxmb3JlaWduLWtleXM+PGtleSBhcHA9IkVOIiBkYi1pZD0iYTNhYWZkZmMtNmMxOC01MjJjLThhNjgtZmEwYWQyOGY1MWQyIiB0aW1lc3RhbXA9IjE3OTI5MjEwODciPjE3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p>
    <w:p>
      <w:pPr>
        <w:pStyle w:val="Normal"/>
        <w:widowControl/>
        <w:spacing w:before="60" w:after="20"/>
      </w:pPr>
      <w:hyperlink r:id="rId76">
        <w:r>
          <w:rPr>
            <w:color w:val="77230C"/>
            <w:sz w:val="20"/>
            <w:u w:val="single"/>
          </w:rPr>
          <w:t>Soin 2020</w:t>
        </w:r>
      </w:hyperlink>
      <w:r>
        <w:t xml:space="preserve"> — </w:t>
      </w:r>
      <w:hyperlink r:id="rId77">
        <w:r>
          <w:rPr>
            <w:color w:val="77230C"/>
            <w:sz w:val="20"/>
            <w:u w:val="single"/>
          </w:rPr>
          <w:t>Full-text PDF</w:t>
        </w:r>
      </w:hyperlink>
    </w:p>
    <w:p>
      <w:pPr>
        <w:pStyle w:val="Heading3"/>
        <w:keepNext/>
        <w:widowControl/>
      </w:pPr>
      <w:r>
        <w:t xml:space="preserve">Response matters and does not erase the anatomical uncertainty</w:t>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50"/>
        <w:gridCol w:w="500"/>
        <w:gridCol w:w="1200"/>
        <w:gridCol w:w="1200"/>
        <w:gridCol w:w="3250"/>
      </w:tblGrid>
      <w:tr>
        <w:trPr>
          <w:cantSplit/>
          <w:tblHeader/>
        </w:trPr>
        <w:tc>
          <w:tcPr>
            <w:tcW w:w="2850" w:type="dxa"/>
            <w:vAlign w:val="center"/>
            <w:tcMar>
              <w:top w:w="90" w:type="dxa"/>
              <w:left w:w="90" w:type="dxa"/>
              <w:bottom w:w="90" w:type="dxa"/>
              <w:right w:w="90" w:type="dxa"/>
            </w:tcMar>
            <w:shd w:fill="DCE6F1"/>
          </w:tcPr>
          <w:p>
            <w:pPr>
              <w:pStyle w:val="Normal"/>
              <w:widowControl/>
              <w:spacing w:before="60" w:after="20"/>
            </w:pPr>
            <w:r>
              <w:rPr>
                <w:b/>
              </w:rPr>
              <w:t xml:space="preserve">Yoon response stratum</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2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850" w:type="dxa"/>
            <w:vAlign w:val="center"/>
            <w:tcMar>
              <w:top w:w="90" w:type="dxa"/>
              <w:left w:w="90" w:type="dxa"/>
              <w:bottom w:w="90" w:type="dxa"/>
              <w:right w:w="90" w:type="dxa"/>
            </w:tcMar>
            <w:shd w:fill="FFFFFF"/>
          </w:tcPr>
          <w:p>
            <w:pPr>
              <w:pStyle w:val="Normal"/>
              <w:widowControl/>
              <w:spacing w:before="60" w:after="20"/>
            </w:pPr>
            <w:r>
              <w:t xml:space="preserve">CR or PR by overall mRECIST</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83</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66.6%</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64.7%</w:t>
            </w:r>
          </w:p>
        </w:tc>
        <w:tc>
          <w:tcPr>
            <w:tcW w:w="3250" w:type="dxa"/>
            <w:vAlign w:val="center"/>
            <w:tcMar>
              <w:top w:w="90" w:type="dxa"/>
              <w:left w:w="90" w:type="dxa"/>
              <w:bottom w:w="90" w:type="dxa"/>
              <w:right w:w="90" w:type="dxa"/>
            </w:tcMar>
            <w:shd w:fill="FFFFFF"/>
          </w:tcPr>
          <w:p>
            <w:pPr>
              <w:pStyle w:val="Normal"/>
              <w:widowControl/>
              <w:spacing w:before="60" w:after="20"/>
              <w:jc w:val="center"/>
            </w:pPr>
            <w:r>
              <w:t xml:space="preserve">28/83 (33.7%)</w:t>
            </w:r>
          </w:p>
        </w:tc>
      </w:tr>
      <w:tr>
        <w:trPr>
          <w:cantSplit/>
        </w:trPr>
        <w:tc>
          <w:tcPr>
            <w:tcW w:w="2850" w:type="dxa"/>
            <w:vAlign w:val="center"/>
            <w:tcMar>
              <w:top w:w="90" w:type="dxa"/>
              <w:left w:w="90" w:type="dxa"/>
              <w:bottom w:w="90" w:type="dxa"/>
              <w:right w:w="90" w:type="dxa"/>
            </w:tcMar>
            <w:shd w:fill="F5F7F9"/>
          </w:tcPr>
          <w:p>
            <w:pPr>
              <w:pStyle w:val="Normal"/>
              <w:widowControl/>
              <w:spacing w:before="60" w:after="20"/>
            </w:pPr>
            <w:r>
              <w:t xml:space="preserve">Stable or progressive disease</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54</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35.1%</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19.7%</w:t>
            </w:r>
          </w:p>
        </w:tc>
        <w:tc>
          <w:tcPr>
            <w:tcW w:w="3250" w:type="dxa"/>
            <w:vAlign w:val="center"/>
            <w:tcMar>
              <w:top w:w="90" w:type="dxa"/>
              <w:left w:w="90" w:type="dxa"/>
              <w:bottom w:w="90" w:type="dxa"/>
              <w:right w:w="90" w:type="dxa"/>
            </w:tcMar>
            <w:shd w:fill="F5F7F9"/>
          </w:tcPr>
          <w:p>
            <w:pPr>
              <w:pStyle w:val="Normal"/>
              <w:widowControl/>
              <w:spacing w:before="60" w:after="20"/>
              <w:jc w:val="center"/>
            </w:pPr>
            <w:r>
              <w:t xml:space="preserve">42/54 (77.8%)</w:t>
            </w:r>
          </w:p>
        </w:tc>
      </w:tr>
    </w:tbl>
    <w:p>
      <w:pPr>
        <w:pStyle w:val="Normal"/>
        <w:widowControl/>
        <w:spacing w:before="60" w:after="20"/>
      </w:pPr>
      <w:r>
        <w:t xml:space="preserve">Yoon: Results p7261, Figure 1 and Table 4. CR/PR is overall mRECIST response, not mandatory complete disappearance of viable vascular tumor; 65/83 responders still had viable PVTT on explant.</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hyperlink r:id="rId78">
        <w:r>
          <w:rPr>
            <w:color w:val="77230C"/>
            <w:sz w:val="20"/>
            <w:u w:val="single"/>
          </w:rPr>
          <w:t>Yoon 2026</w:t>
        </w:r>
      </w:hyperlink>
      <w:r>
        <w:t xml:space="preserve"> — </w:t>
      </w:r>
      <w:hyperlink r:id="rId79">
        <w:r>
          <w:rPr>
            <w:color w:val="77230C"/>
            <w:sz w:val="20"/>
            <w:u w:val="single"/>
          </w:rPr>
          <w:t>Full-text PDF</w:t>
        </w:r>
      </w:hyperlink>
    </w:p>
    <w:p>
      <w:pPr>
        <w:pStyle w:val="Heading3"/>
        <w:keepNext/>
        <w:widowControl/>
      </w:pPr>
      <w:r>
        <w:t xml:space="preserve">Interpretation for HCC B2</w:t>
      </w:r>
    </w:p>
    <w:p>
      <w:pPr>
        <w:pStyle w:val="Normal"/>
        <w:widowControl/>
        <w:numPr>
          <w:ilvl w:val="0"/>
          <w:numId w:val="3"/>
        </w:numPr>
      </w:pPr>
      <w:r>
        <w:t xml:space="preserve">The Yoon grade comparisons were not statistically significant (OS P=0.1882; DFS P=0.2988). With only 14 Vp4 recipients, this neither proves equivalence nor establishes futility. The Vp4 five-year OS of 50.0% is a real counterargument to blanket exclusion.</w:t>
      </w:r>
    </w:p>
    <w:p>
      <w:pPr>
        <w:pStyle w:val="Normal"/>
        <w:widowControl/>
        <w:numPr>
          <w:ilvl w:val="0"/>
          <w:numId w:val="3"/>
        </w:numPr>
      </w:pPr>
      <w:r>
        <w:t xml:space="preserve">Older anatomy-based cohorts report substantially poorer proximal-vessel outcomes; the populations, treatments, classification systems and endpoint definitions differ. Possible center/time overlap among Chinese cohorts prevents treating every series as independent confirmation. No pooled survival percentage is calculated.</w:t>
      </w:r>
    </w:p>
    <w:p>
      <w:pPr>
        <w:pStyle w:val="Normal"/>
        <w:widowControl/>
        <w:numPr>
          <w:ilvl w:val="0"/>
          <w:numId w:val="3"/>
        </w:numPr>
      </w:pPr>
      <w:r>
        <w:t xml:space="preserve">OPEN local position: retain original Vp1–2 as the initial transplanting-study boundary. Vp3 registry-first means observational follow-up without transplantation authorized by that registry; any transplanting Vp3 arm needs separate prospective approval. Keep Vp4 outside the initial pilot, not labeled universally futile.</w:t>
      </w:r>
    </w:p>
    <w:p>
      <w:pPr>
        <w:pStyle w:val="Normal"/>
        <w:widowControl/>
        <w:numPr>
          <w:ilvl w:val="0"/>
          <w:numId w:val="3"/>
        </w:numPr>
      </w:pPr>
      <w:r>
        <w:t xml:space="preserve">The complete vascular-response requirement and ≥12-month control period are conservative proposed safeguards, not thresholds validated by these cohorts. Favorable LDLT outcomes do not establish deceased-donor allocation priority or resolve living-donor risk.</w:t>
      </w:r>
    </w:p>
    <w:p>
      <w:pPr>
        <w:pStyle w:val="Normal"/>
        <w:widowControl/>
        <w:spacing w:before="60" w:after="20"/>
      </w:pPr>
      <w:r>
        <w:t xml:space="preserve">Read the selection and reporting limits together with the outcome estimates.</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ZZTwvQXV0aG9yPjxZZWFyPjIwMjQ8L1llYXI+PFJlY051bT4xNjwvUmVjTnVtPjxEaXNwbGF5VGV4dD5bVjEyLTE2XTwvRGlzcGxheVRleHQ+PHJlY29yZD48cmVjLW51bWJlcj4xNjwvcmVjLW51bWJlcj48Zm9yZWlnbi1rZXlzPjxrZXkgYXBwPSJFTiIgZGItaWQ9ImEzYWFmZGZjLTZjMTgtNTIyYy04YTY4LWZhMGFkMjhmNTFkMiIgdGltZXN0YW1wPSIxNzkyOTIxMDg3Ij4xN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DaG9pPC9BdXRob3I+PFllYXI+MjAxNzwvWWVhcj48UmVjTnVtPjE0PC9SZWNOdW0+PERpc3BsYXlUZXh0PltWMTItMTRdPC9EaXNwbGF5VGV4dD48cmVjb3JkPjxyZWMtbnVtYmVyPjE0PC9yZWMtbnVtYmVyPjxmb3JlaWduLWtleXM+PGtleSBhcHA9IkVOIiBkYi1pZD0iYTNhYWZkZmMtNmMxOC01MjJjLThhNjgtZmEwYWQyOGY1MWQyIiB0aW1lc3RhbXA9IjE3OTI5MjEwODciPjE0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ZYW5nPC9BdXRob3I+PFllYXI+MjAyMDwvWWVhcj48UmVjTnVtPjE1PC9SZWNOdW0+PERpc3BsYXlUZXh0PltWMTItMTVdPC9EaXNwbGF5VGV4dD48cmVjb3JkPjxyZWMtbnVtYmVyPjE1PC9yZWMtbnVtYmVyPjxmb3JlaWduLWtleXM+PGtleSBhcHA9IkVOIiBkYi1pZD0iYTNhYWZkZmMtNmMxOC01MjJjLThhNjgtZmEwYWQyOGY1MWQyIiB0aW1lc3RhbXA9IjE3OTI5MjEwODciPjE1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Tb2luPC9BdXRob3I+PFllYXI+MjAyMDwvWWVhcj48UmVjTnVtPjE3PC9SZWNOdW0+PERpc3BsYXlUZXh0PltWMTItMTddPC9EaXNwbGF5VGV4dD48cmVjb3JkPjxyZWMtbnVtYmVyPjE3PC9yZWMtbnVtYmVyPjxmb3JlaWduLWtleXM+PGtleSBhcHA9IkVOIiBkYi1pZD0iYTNhYWZkZmMtNmMxOC01MjJjLThhNjgtZmEwYWQyOGY1MWQyIiB0aW1lc3RhbXA9IjE3OTI5MjEwODciPjE3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p>
    <w:p>
      <w:pPr>
        <w:pStyle w:val="Normal"/>
        <w:widowControl/>
        <w:spacing w:before="60" w:after="20"/>
      </w:pPr>
      <w:hyperlink r:id="rId80">
        <w:r>
          <w:rPr>
            <w:color w:val="77230C"/>
            <w:sz w:val="20"/>
            <w:u w:val="single"/>
          </w:rPr>
          <w:t>Yoon 2026</w:t>
        </w:r>
      </w:hyperlink>
      <w:r>
        <w:t xml:space="preserve"> — </w:t>
      </w:r>
      <w:hyperlink r:id="rId81">
        <w:r>
          <w:rPr>
            <w:color w:val="77230C"/>
            <w:sz w:val="20"/>
            <w:u w:val="single"/>
          </w:rPr>
          <w:t>Full-text PDF</w:t>
        </w:r>
      </w:hyperlink>
      <w:r>
        <w:t xml:space="preserve">  |  </w:t>
      </w:r>
      <w:hyperlink r:id="rId82">
        <w:r>
          <w:rPr>
            <w:color w:val="77230C"/>
            <w:sz w:val="20"/>
            <w:u w:val="single"/>
          </w:rPr>
          <w:t>Ye 2024</w:t>
        </w:r>
      </w:hyperlink>
      <w:r>
        <w:t xml:space="preserve"> — </w:t>
      </w:r>
      <w:hyperlink r:id="rId83">
        <w:r>
          <w:rPr>
            <w:color w:val="77230C"/>
            <w:sz w:val="20"/>
            <w:u w:val="single"/>
          </w:rPr>
          <w:t>Full-text PDF</w:t>
        </w:r>
      </w:hyperlink>
      <w:r>
        <w:t xml:space="preserve">  |  </w:t>
      </w:r>
      <w:hyperlink r:id="rId84">
        <w:r>
          <w:rPr>
            <w:color w:val="77230C"/>
            <w:sz w:val="20"/>
            <w:u w:val="single"/>
          </w:rPr>
          <w:t>Choi 2017</w:t>
        </w:r>
      </w:hyperlink>
      <w:r>
        <w:t xml:space="preserve"> — </w:t>
      </w:r>
      <w:hyperlink r:id="rId85">
        <w:r>
          <w:rPr>
            <w:color w:val="77230C"/>
            <w:sz w:val="20"/>
            <w:u w:val="single"/>
          </w:rPr>
          <w:t>Full-text PDF</w:t>
        </w:r>
      </w:hyperlink>
      <w:r>
        <w:t xml:space="preserve">  |  </w:t>
      </w:r>
      <w:hyperlink r:id="rId86">
        <w:r>
          <w:rPr>
            <w:color w:val="77230C"/>
            <w:sz w:val="20"/>
            <w:u w:val="single"/>
          </w:rPr>
          <w:t>Yang 2020</w:t>
        </w:r>
      </w:hyperlink>
      <w:r>
        <w:t xml:space="preserve"> — </w:t>
      </w:r>
      <w:hyperlink r:id="rId87">
        <w:r>
          <w:rPr>
            <w:color w:val="77230C"/>
            <w:sz w:val="20"/>
            <w:u w:val="single"/>
          </w:rPr>
          <w:t>Full-text PDF</w:t>
        </w:r>
      </w:hyperlink>
      <w:r>
        <w:t xml:space="preserve">  |  </w:t>
      </w:r>
      <w:hyperlink r:id="rId88">
        <w:r>
          <w:rPr>
            <w:color w:val="77230C"/>
            <w:sz w:val="20"/>
            <w:u w:val="single"/>
          </w:rPr>
          <w:t>Soin 2020</w:t>
        </w:r>
      </w:hyperlink>
      <w:r>
        <w:t xml:space="preserve"> — </w:t>
      </w:r>
      <w:hyperlink r:id="rId89">
        <w:r>
          <w:rPr>
            <w:color w:val="77230C"/>
            <w:sz w:val="20"/>
            <w:u w:val="single"/>
          </w:rPr>
          <w:t>Full-text PDF</w:t>
        </w:r>
      </w:hyperlink>
    </w:p>
    <w:p>
      <w:pPr>
        <w:pStyle w:val="Normal"/>
        <w:widowControl/>
        <w:spacing w:before="60" w:after="20"/>
      </w:pPr>
      <w:r>
        <w:t xml:space="preserve">Evidence integrity note: Yoon’s discussion/conclusion transpose the responder OS and DFS percentages; this update uses the Results and Figure 1 values. Request numerical Vp2/Vp3 Kaplan–Meier estimates, confidence intervals and grade-specific recurrence counts from the authors or a supplement before using exact grade-specific estimates in consent.</w:t>
      </w:r>
    </w:p>
    <w:p>
      <w:pPr>
        <w:pStyle w:val="Heading3"/>
        <w:keepNext/>
        <w:widowControl/>
      </w:pPr>
      <w:r>
        <w:t xml:space="preserve">Y90 before transplantation</w:t>
      </w:r>
    </w:p>
    <w:p>
      <w:pPr>
        <w:pStyle w:val="Normal"/>
        <w:widowControl/>
        <w:numPr>
          <w:ilvl w:val="0"/>
          <w:numId w:val="3"/>
        </w:numPr>
        <w:spacing w:before="60" w:after="20"/>
      </w:pPr>
      <w:r>
        <w:t xml:space="preserve">The 37/240 transplant proportion (15.4%) describes pathway feasibility; five-year OS 61.6% describes selected recipients from LT. Four perioperative deaths and 13 major complications (grade ≥3) occurred among 37 recipients. The 79.3% RFS estimate censors deaths without recurrence and is not an alive-and-recurrence-free outcome.</w:t>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numPr>
          <w:ilvl w:val="0"/>
          <w:numId w:val="3"/>
        </w:numPr>
        <w:spacing w:before="60" w:after="20"/>
      </w:pPr>
      <w:r>
        <w:t xml:space="preserve">Six months of response was the shared Italian minimum; four centers accepted partial vascular response. The median 17 months from TARE to LT was not a minimum. Neither interval proves that the proposed original-Vp1–2/complete-response/12-month combination is optimal; the stricter local proposal remains OPEN.</w:t>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numPr>
          <w:ilvl w:val="0"/>
          <w:numId w:val="3"/>
        </w:numPr>
        <w:spacing w:before="60" w:after="20"/>
      </w:pPr>
      <w:r>
        <w:t xml:space="preserve">Map original and current vessel anatomy. The study reports no grade-specific recipient outcomes and excluded main-portal-trunk/hepatic-vein disease. Indeterminate postradiation enhancement requires HOLD and expert review; confirmed viable tumor fails the proposed gate. Allograft allocation and study authorization remain separate.</w:t>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Main PDF pp4–6 (selection, endpoints, cohort flow), p8/Table 2 (harms/pathology), p9/Figure 3 (outcomes and risk set), pp10–11 (exploratory limits).</w:t>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hyperlink r:id="rId90">
        <w:r>
          <w:rPr>
            <w:color w:val="77230C"/>
            <w:sz w:val="20"/>
            <w:u w:val="single"/>
          </w:rPr>
          <w:t>Sposito 2026</w:t>
        </w:r>
      </w:hyperlink>
      <w:r>
        <w:t xml:space="preserve"> — </w:t>
      </w:r>
      <w:hyperlink r:id="rId91">
        <w:r>
          <w:rPr>
            <w:color w:val="77230C"/>
            <w:sz w:val="20"/>
            <w:u w:val="single"/>
          </w:rPr>
          <w:t>Full-text PDF</w:t>
        </w:r>
      </w:hyperlink>
    </w:p>
    <w:p>
      <w:pPr>
        <w:pStyle w:val="Heading3"/>
        <w:keepNext/>
        <w:widowControl/>
      </w:pPr>
      <w:r>
        <w:t xml:space="preserve">Synthesis and evidence that challenges the proposal</w:t>
      </w:r>
    </w:p>
    <w:p>
      <w:pPr>
        <w:pStyle w:val="Normal"/>
        <w:widowControl/>
        <w:spacing w:before="60" w:after="20"/>
      </w:pPr>
      <w:r>
        <w:t xml:space="preserve">Selected PVTT transplant cohorts show that some long-term survivors exist, including proximal disease, but do not establish a universal Vp2/Vp3 benefit boundary. Sposito's now-reviewed full text adds a 240-patient Y90 pathway: 61 sustained downstagings, 37 transplants, five-year OS 18.9% from TARE for all entrants versus 61.6% from LT for recipients. Recipient RFS 79.3% censors nonrecurrence deaths; six recurrences/37 and four perioperative deaths must be reported separately. Selection varied across centers and accepted partial vascular response at four of five centers after at least six months. No grade-specific transplant outcomes or validation of the proposed Vp1–2/complete-response/12-month composite is supplied. Its favorable recipient results support prospective study development, while substantial attrition, decompensation, major complications and selection bias temper benefit and allocation claims. The original-Vp1–2 and 12-month post-downstaging proposal is consistent with the weak-evidence, weak-recommendation ILTS–ILCA consensus (Table 1, printed p820/current PDF p6). This is not a validated optimum or universal transplant-benefit threshold; separate NLRB requirements and prospective approvals still apply.</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DaG9pPC9BdXRob3I+PFllYXI+MjAxNzwvWWVhcj48UmVjTnVtPjE0PC9SZWNOdW0+PERpc3BsYXlUZXh0PltWMTItMTRdPC9EaXNwbGF5VGV4dD48cmVjb3JkPjxyZWMtbnVtYmVyPjE0PC9yZWMtbnVtYmVyPjxmb3JlaWduLWtleXM+PGtleSBhcHA9IkVOIiBkYi1pZD0iYTNhYWZkZmMtNmMxOC01MjJjLThhNjgtZmEwYWQyOGY1MWQyIiB0aW1lc3RhbXA9IjE3OTI5MjEwODciPjE0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ZYW5nPC9BdXRob3I+PFllYXI+MjAyMDwvWWVhcj48UmVjTnVtPjE1PC9SZWNOdW0+PERpc3BsYXlUZXh0PltWMTItMTVdPC9EaXNwbGF5VGV4dD48cmVjb3JkPjxyZWMtbnVtYmVyPjE1PC9yZWMtbnVtYmVyPjxmb3JlaWduLWtleXM+PGtleSBhcHA9IkVOIiBkYi1pZD0iYTNhYWZkZmMtNmMxOC01MjJjLThhNjgtZmEwYWQyOGY1MWQyIiB0aW1lc3RhbXA9IjE3OTI5MjEwODciPjE1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ZZTwvQXV0aG9yPjxZZWFyPjIwMjQ8L1llYXI+PFJlY051bT4xNjwvUmVjTnVtPjxEaXNwbGF5VGV4dD5bVjEyLTE2XTwvRGlzcGxheVRleHQ+PHJlY29yZD48cmVjLW51bWJlcj4xNjwvcmVjLW51bWJlcj48Zm9yZWlnbi1rZXlzPjxrZXkgYXBwPSJFTiIgZGItaWQ9ImEzYWFmZGZjLTZjMTgtNTIyYy04YTY4LWZhMGFkMjhmNTFkMiIgdGltZXN0YW1wPSIxNzkyOTIxMDg3Ij4xN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Tb2luPC9BdXRob3I+PFllYXI+MjAyMDwvWWVhcj48UmVjTnVtPjE3PC9SZWNOdW0+PERpc3BsYXlUZXh0PltWMTItMTddPC9EaXNwbGF5VGV4dD48cmVjb3JkPjxyZWMtbnVtYmVyPjE3PC9yZWMtbnVtYmVyPjxmb3JlaWduLWtleXM+PGtleSBhcHA9IkVOIiBkYi1pZD0iYTNhYWZkZmMtNmMxOC01MjJjLThhNjgtZmEwYWQyOGY1MWQyIiB0aW1lc3RhbXA9IjE3OTI5MjEwODciPjE3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Bc3NhbGlubzwvQXV0aG9yPjxZZWFyPjIwMjA8L1llYXI+PFJlY051bT4xODwvUmVjTnVtPjxEaXNwbGF5VGV4dD5bVjEyLTE4XTwvRGlzcGxheVRleHQ+PHJlY29yZD48cmVjLW51bWJlcj4xODwvcmVjLW51bWJlcj48Zm9yZWlnbi1rZXlzPjxrZXkgYXBwPSJFTiIgZGItaWQ9ImEzYWFmZGZjLTZjMTgtNTIyYy04YTY4LWZhMGFkMjhmNTFkMiIgdGltZXN0YW1wPSIxNzkyOTIxMDg3Ij4xO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numPr>
          <w:ilvl w:val="0"/>
          <w:numId w:val="3"/>
        </w:numPr>
        <w:spacing w:before="60" w:after="20"/>
      </w:pPr>
      <w:r>
        <w:t xml:space="preserve">A blanket statement that every PVTT transplant is futile is not supported: Yoon reports selected Vp4 survivors, and Sposito reports five-year recipient OS 61.6% after branch-PVTT downstaging. Conversely, Sposito excluded main-trunk/hepatic-vein involvement and gives no separate recipient survival for its PV1/PV2/PV3 groups. Its six-month requirement and acceptance of partial PVTT response challenge the necessity of the stricter local proposal without proving that relaxation is safe. Post-radiation enhancement requires expert adjudication; radiological uncertainty is a HOLD, not automatic viable disease or permission to transplant. Neither 79.3% author RFS nor the cancer-death association establishes survival benefit for an unselected entrant or a modern-systemic-therapy comparator.</w:t>
      </w:r>
    </w:p>
    <w:p>
      <w:pPr>
        <w:pStyle w:val="Normal"/>
        <w:widowControl/>
        <w:spacing w:before="60" w:after="20"/>
      </w:pPr>
      <w:r>
        <w:rPr>
          <w:b/>
        </w:rPr>
        <w:t xml:space="preserve">Certainty / applicability: </w:t>
      </w:r>
      <w:r>
        <w:t xml:space="preserve">Low certainty for feasibility in highly selected branch-PVTT responders; very low certainty for causal comparative benefit, grade-specific eligibility, optimal observation duration and transferability to US deceased-donor allocation. No validated combined selection rule.</w:t>
      </w:r>
    </w:p>
    <w:p>
      <w:pPr>
        <w:pStyle w:val="Heading3"/>
        <w:keepNext/>
        <w:widowControl/>
      </w:pPr>
      <w:r>
        <w:t xml:space="preserve">Where each proposed threshold comes from</w:t>
      </w:r>
    </w:p>
    <w:p>
      <w:pPr>
        <w:pStyle w:val="Normal"/>
        <w:widowControl/>
        <w:numPr>
          <w:ilvl w:val="0"/>
          <w:numId w:val="3"/>
        </w:numPr>
        <w:spacing w:before="60" w:after="20"/>
      </w:pPr>
      <w:r>
        <w:t xml:space="preserve">Original Vp1–2 and at least 12 months of control: weak-evidence ILTS–ILCA consensus lineage plus conservative local risk control; not a demonstrated survival cliff or an optimal duration. Complete vascular response and bounded Milan parenchymal burden add local safeguards, not a jointly tested model.</w:t>
      </w:r>
    </w:p>
    <w:p>
      <w:pPr>
        <w:pStyle w:val="Normal"/>
        <w:widowControl/>
        <w:numPr>
          <w:ilvl w:val="0"/>
          <w:numId w:val="3"/>
        </w:numPr>
        <w:spacing w:before="60" w:after="20"/>
      </w:pPr>
      <w:r>
        <w:t xml:space="preserve">Sposito: at least six months of response after TARE; complete PVTT response at one center, partial response accepted at four; variable morphology and AFP thresholds. Its median 17 months from TARE to LT is an observed interval, not a minimum requirement.</w:t>
      </w:r>
    </w:p>
    <w:p>
      <w:pPr>
        <w:pStyle w:val="Normal"/>
        <w:widowControl/>
        <w:numPr>
          <w:ilvl w:val="0"/>
          <w:numId w:val="3"/>
        </w:numPr>
        <w:spacing w:before="60" w:after="20"/>
      </w:pPr>
      <w:r>
        <w:t xml:space="preserve">Anatomy: Sposito PV1 segmentary, PV2 secondary-order and PV3 first-order describe baseline all-240 groups. Main-trunk/hepatic-vein disease was excluded; grade-specific recipient outcomes are absent. Document vessel anatomy before crosswalking classification systems; do not infer a Vp3 estimate or any Vp4 evidence from this cohort.</w:t>
      </w:r>
    </w:p>
    <w:p>
      <w:pPr>
        <w:pStyle w:val="Normal"/>
        <w:widowControl/>
        <w:numPr>
          <w:ilvl w:val="0"/>
          <w:numId w:val="3"/>
        </w:numPr>
        <w:spacing w:before="60" w:after="20"/>
      </w:pPr>
      <w:r>
        <w:t xml:space="preserve">Do not turn exploratory recipient associations for age 65, AFP 100 ng/mL or tumor size 50 mm into new mandatory cutoffs. Relevant adverse subgroups contained only four, three and six patients, respectively.</w:t>
      </w:r>
    </w:p>
    <w:p>
      <w:pPr>
        <w:pStyle w:val="Normal"/>
        <w:widowControl/>
        <w:numPr>
          <w:ilvl w:val="0"/>
          <w:numId w:val="3"/>
        </w:numPr>
        <w:spacing w:before="60" w:after="20"/>
      </w:pPr>
      <w:r>
        <w:t xml:space="preserve">Vp3 observational registry first and Vp4/main/contralateral/hepatic-vein exclusion from the initial pilot remain OPEN design boundaries, not universal declarations of futility. A registry, donor offer or favorable response does not confer clinical/research/allocation approval.</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“Those with CR or PR were defined as DS responders”</w:t>
            </w:r>
          </w:p>
          <w:p>
            <w:pPr>
              <w:pStyle w:val="Normal"/>
              <w:widowControl/>
              <w:spacing w:before="60" w:after="20"/>
            </w:pPr>
            <w:r>
              <w:t xml:space="preserve">Published PDF p2 / journal p7260, response assessment</w:t>
            </w:r>
          </w:p>
          <w:p>
            <w:pPr>
              <w:pStyle w:val="Normal"/>
              <w:widowControl/>
              <w:spacing w:before="60" w:after="20"/>
            </w:pPr>
            <w:hyperlink r:id="rId92">
              <w:r>
                <w:rPr>
                  <w:color w:val="77230C"/>
                  <w:sz w:val="20"/>
                  <w:u w:val="single"/>
                </w:rPr>
                <w:t>Source</w:t>
              </w:r>
            </w:hyperlink>
            <w:r>
              <w:t xml:space="preserve"> | </w:t>
            </w:r>
            <w:hyperlink r:id="rId9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Yoon did not require the complete vascular clearance proposed here; 65/83 responders still had viable PVTT on explant.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“our study did not identify it as an independent predictor of survival.”</w:t>
            </w:r>
          </w:p>
          <w:p>
            <w:pPr>
              <w:pStyle w:val="Normal"/>
              <w:widowControl/>
              <w:spacing w:before="60" w:after="20"/>
            </w:pPr>
            <w:r>
              <w:t xml:space="preserve">Published PDF p10 / journal p7268, discussion of PVTT grade</w:t>
            </w:r>
          </w:p>
          <w:p>
            <w:pPr>
              <w:pStyle w:val="Normal"/>
              <w:widowControl/>
              <w:spacing w:before="60" w:after="20"/>
            </w:pPr>
            <w:hyperlink r:id="rId94">
              <w:r>
                <w:rPr>
                  <w:color w:val="77230C"/>
                  <w:sz w:val="20"/>
                  <w:u w:val="single"/>
                </w:rPr>
                <w:t>Source</w:t>
              </w:r>
            </w:hyperlink>
            <w:r>
              <w:t xml:space="preserve"> | </w:t>
            </w:r>
            <w:hyperlink r:id="rId9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selected cohort did not establish a sharp anatomical survival cutoff. Vp4 five-year OS was 50.0%; small numbers and non-intention-to-treat selection prevent an equivalence claim.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fldChar w:fldCharType="begin"/>
            </w:r>
            <w:r>
              <w:instrText xml:space="preserve"> ADDIN EN.CITE </w:instrText>
            </w:r>
            <w:r>
              <w:fldChar w:fldCharType="begin">
                <w:fldData>PEVuZE5vdGU+PENpdGU+PEF1dGhvcj5ZZTwvQXV0aG9yPjxZZWFyPjIwMjQ8L1llYXI+PFJlY051bT4xNjwvUmVjTnVtPjxEaXNwbGF5VGV4dD5bVjEyLTE2XTwvRGlzcGxheVRleHQ+PHJlY29yZD48cmVjLW51bWJlcj4xNjwvcmVjLW51bWJlcj48Zm9yZWlnbi1rZXlzPjxrZXkgYXBwPSJFTiIgZGItaWQ9ImEzYWFmZGZjLTZjMTgtNTIyYy04YTY4LWZhMGFkMjhmNTFkMiIgdGltZXN0YW1wPSIxNzkyOTIxMDg3Ij4xN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“lobar PVTT: tumor thrombi involving left and right branches or main portal vein”</w:t>
            </w:r>
          </w:p>
          <w:p>
            <w:pPr>
              <w:pStyle w:val="Normal"/>
              <w:widowControl/>
              <w:spacing w:before="60" w:after="20"/>
            </w:pPr>
            <w:r>
              <w:t xml:space="preserve">Complete early-online PDF p3, Diagnosis of PVTT</w:t>
            </w:r>
          </w:p>
          <w:p>
            <w:pPr>
              <w:pStyle w:val="Normal"/>
              <w:widowControl/>
              <w:spacing w:before="60" w:after="20"/>
            </w:pPr>
            <w:hyperlink r:id="rId96">
              <w:r>
                <w:rPr>
                  <w:color w:val="77230C"/>
                  <w:sz w:val="20"/>
                  <w:u w:val="single"/>
                </w:rPr>
                <w:t>Source</w:t>
              </w:r>
            </w:hyperlink>
            <w:r>
              <w:t xml:space="preserve"> | </w:t>
            </w:r>
            <w:hyperlink r:id="rId9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poor-outcome group combines first-order and main-portal involvement. Its recurrence cannot be attributed to Vp3 alone; perioperative deaths were excluded.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before="60" w:after="20"/>
            </w:pPr>
            <w:r>
              <w:t xml:space="preserve">“minimum of 12 months”</w:t>
            </w:r>
          </w:p>
          <w:p>
            <w:pPr>
              <w:pStyle w:val="Normal"/>
              <w:widowControl/>
              <w:spacing w:before="60" w:after="20"/>
            </w:pPr>
            <w:r>
              <w:t xml:space="preserve">December 2025 guidance p3, treated primary-branch invasion/rupture discussion</w:t>
            </w:r>
          </w:p>
          <w:p>
            <w:pPr>
              <w:pStyle w:val="Normal"/>
              <w:widowControl/>
              <w:spacing w:before="60" w:after="20"/>
            </w:pPr>
            <w:hyperlink r:id="rId98">
              <w:r>
                <w:rPr>
                  <w:color w:val="77230C"/>
                  <w:sz w:val="20"/>
                  <w:u w:val="single"/>
                </w:rPr>
                <w:t>Source</w:t>
              </w:r>
            </w:hyperlink>
            <w:r>
              <w:t xml:space="preserve"> | </w:t>
            </w:r>
            <w:hyperlink r:id="rId9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Applies to specified case-by-case exception considerations; applying this duration to every Vp1–2 study candidate is local conservatism.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“with censoring at last follow-up or death without recurrence.”</w:t>
            </w:r>
          </w:p>
          <w:p>
            <w:pPr>
              <w:pStyle w:val="Normal"/>
              <w:widowControl/>
              <w:spacing w:before="60" w:after="20"/>
            </w:pPr>
            <w:r>
              <w:t xml:space="preserve">Full main PDF p5, Statistical analysis, definition of RFS</w:t>
            </w:r>
          </w:p>
          <w:p>
            <w:pPr>
              <w:pStyle w:val="Normal"/>
              <w:widowControl/>
              <w:spacing w:before="60" w:after="20"/>
            </w:pPr>
            <w:hyperlink r:id="rId100">
              <w:r>
                <w:rPr>
                  <w:color w:val="77230C"/>
                  <w:sz w:val="20"/>
                  <w:u w:val="single"/>
                </w:rPr>
                <w:t>Source</w:t>
              </w:r>
            </w:hyperlink>
            <w:r>
              <w:t xml:space="preserve"> | </w:t>
            </w:r>
            <w:hyperlink r:id="rId10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Author RFS is recurrence-only with nonrecurrence deaths censored; 79.3% is not death-inclusive disease-free survival and is not a competing-risk recurrence estimate.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“criteria for successful downstaging were not defined a priori by a unified protocol”</w:t>
            </w:r>
          </w:p>
          <w:p>
            <w:pPr>
              <w:pStyle w:val="Normal"/>
              <w:widowControl/>
              <w:spacing w:before="60" w:after="20"/>
            </w:pPr>
            <w:r>
              <w:t xml:space="preserve">Full main PDF p4, Criteria for successful downstaging and liver transplant</w:t>
            </w:r>
          </w:p>
          <w:p>
            <w:pPr>
              <w:pStyle w:val="Normal"/>
              <w:widowControl/>
              <w:spacing w:before="60" w:after="20"/>
            </w:pPr>
            <w:hyperlink r:id="rId102">
              <w:r>
                <w:rPr>
                  <w:color w:val="77230C"/>
                  <w:sz w:val="20"/>
                  <w:u w:val="single"/>
                </w:rPr>
                <w:t>Source</w:t>
              </w:r>
            </w:hyperlink>
            <w:r>
              <w:t xml:space="preserve"> | </w:t>
            </w:r>
            <w:hyperlink r:id="rId10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centers shared a minimum response interval but differed in vascular response, tumor burden and AFP selection. Their combined results do not prospectively validate one composite eligibility rule.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Develop an initial Vp1–2-only transplanting study; keep Vp3 registry-first and Vp4/hepatic-vein expansion closed.</w:t>
      </w:r>
      <w:r>
        <w:t xml:space="preserve"> </w:t>
      </w:r>
      <w:r>
        <w:t xml:space="preserve"> </w:t>
      </w:r>
      <w:r>
        <w:fldChar w:fldCharType="begin"/>
      </w:r>
      <w:r>
        <w:instrText xml:space="preserve"> ADDIN EN.CITE </w:instrText>
      </w:r>
      <w:r>
        <w:fldChar w:fldCharType="begin">
          <w:fldData>PEVuZE5vdGU+PENpdGU+PEF1dGhvcj5Zb29uPC9BdXRob3I+PFllYXI+MjAyNjwvWWVhcj48UmVjTnVtPjEzPC9SZWNOdW0+PERpc3BsYXlUZXh0PltWMTItMTNdPC9EaXNwbGF5VGV4dD48cmVjb3JkPjxyZWMtbnVtYmVyPjEzPC9yZWMtbnVtYmVyPjxmb3JlaWduLWtleXM+PGtleSBhcHA9IkVOIiBkYi1pZD0iYTNhYWZkZmMtNmMxOC01MjJjLThhNjgtZmEwYWQyOGY1MWQyIiB0aW1lc3RhbXA9IjE3OTI5MjEwODciPjEz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ZZTwvQXV0aG9yPjxZZWFyPjIwMjQ8L1llYXI+PFJlY051bT4xNjwvUmVjTnVtPjxEaXNwbGF5VGV4dD5bVjEyLTE2XTwvRGlzcGxheVRleHQ+PHJlY29yZD48cmVjLW51bWJlcj4xNjwvcmVjLW51bWJlcj48Zm9yZWlnbi1rZXlzPjxrZXkgYXBwPSJFTiIgZGItaWQ9ImEzYWFmZGZjLTZjMTgtNTIyYy04YTY4LWZhMGFkMjhmNTFkMiIgdGltZXN0YW1wPSIxNzkyOTIxMDg3Ij4xN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NjwvWWVhcj48UmVjTnVtPjE5PC9SZWNOdW0+PERpc3BsYXlUZXh0PltWMTItMTldPC9EaXNwbGF5VGV4dD48cmVjb3JkPjxyZWMtbnVtYmVyPjE5PC9yZWMtbnVtYmVyPjxmb3JlaWduLWtleXM+PGtleSBhcHA9IkVOIiBkYi1pZD0iYTNhYWZkZmMtNmMxOC01MjJjLThhNjgtZmEwYWQyOGY1MWQyIiB0aW1lc3RhbXA9IjE3OTI5MjEwODciPjE5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r>
        <w:t xml:space="preserve"> </w:t>
      </w:r>
      <w:r>
        <w:t xml:space="preserve"> </w:t>
      </w:r>
      <w:r>
        <w:fldChar w:fldCharType="begin"/>
      </w:r>
      <w:r>
        <w:instrText xml:space="preserve"> ADDIN EN.CITE </w:instrText>
      </w:r>
      <w:r>
        <w:fldChar w:fldCharType="begin">
          <w:fldData>PEVuZE5vdGU+PENpdGU+PEF1dGhvcj5DaG9pPC9BdXRob3I+PFllYXI+MjAxNzwvWWVhcj48UmVjTnVtPjE0PC9SZWNOdW0+PERpc3BsYXlUZXh0PltWMTItMTRdPC9EaXNwbGF5VGV4dD48cmVjb3JkPjxyZWMtbnVtYmVyPjE0PC9yZWMtbnVtYmVyPjxmb3JlaWduLWtleXM+PGtleSBhcHA9IkVOIiBkYi1pZD0iYTNhYWZkZmMtNmMxOC01MjJjLThhNjgtZmEwYWQyOGY1MWQyIiB0aW1lc3RhbXA9IjE3OTI5MjEwODciPjE0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ZYW5nPC9BdXRob3I+PFllYXI+MjAyMDwvWWVhcj48UmVjTnVtPjE1PC9SZWNOdW0+PERpc3BsYXlUZXh0PltWMTItMTVdPC9EaXNwbGF5VGV4dD48cmVjb3JkPjxyZWMtbnVtYmVyPjE1PC9yZWMtbnVtYmVyPjxmb3JlaWduLWtleXM+PGtleSBhcHA9IkVOIiBkYi1pZD0iYTNhYWZkZmMtNmMxOC01MjJjLThhNjgtZmEwYWQyOGY1MWQyIiB0aW1lc3RhbXA9IjE3OTI5MjEwODciPjE1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Tb2luPC9BdXRob3I+PFllYXI+MjAyMDwvWWVhcj48UmVjTnVtPjE3PC9SZWNOdW0+PERpc3BsYXlUZXh0PltWMTItMTddPC9EaXNwbGF5VGV4dD48cmVjb3JkPjxyZWMtbnVtYmVyPjE3PC9yZWMtbnVtYmVyPjxmb3JlaWduLWtleXM+PGtleSBhcHA9IkVOIiBkYi1pZD0iYTNhYWZkZmMtNmMxOC01MjJjLThhNjgtZmEwYWQyOGY1MWQyIiB0aW1lc3RhbXA9IjE3OTI5MjEwODciPjE3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Bc3NhbGlubzwvQXV0aG9yPjxZZWFyPjIwMjA8L1llYXI+PFJlY051bT4xODwvUmVjTnVtPjxEaXNwbGF5VGV4dD5bVjEyLTE4XTwvRGlzcGxheVRleHQ+PHJlY29yZD48cmVjLW51bWJlcj4xODwvcmVjLW51bWJlcj48Zm9yZWlnbi1rZXlzPjxrZXkgYXBwPSJFTiIgZGItaWQ9ImEzYWFmZGZjLTZjMTgtNTIyYy04YTY4LWZhMGFkMjhmNTFkMiIgdGltZXN0YW1wPSIxNzkyOTIxMDg3Ij4xO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r>
        <w:t xml:space="preserve"> </w:t>
      </w:r>
      <w:r>
        <w:t xml:space="preserve"> </w:t>
      </w:r>
      <w:r>
        <w:fldChar w:fldCharType="begin"/>
      </w:r>
      <w:r>
        <w:instrText xml:space="preserve"> ADDIN EN.CITE </w:instrText>
      </w:r>
      <w:r>
        <w:fldChar w:fldCharType="begin">
          <w:fldData>PEVuZE5vdGU+PENpdGU+PEF1dGhvcj5Lb2RhbGk8L0F1dGhvcj48WWVhcj4yMDI1PC9ZZWFyPjxSZWNOdW0+MjA8L1JlY051bT48RGlzcGxheVRleHQ+W1YxMi0yMF08L0Rpc3BsYXlUZXh0PjxyZWNvcmQ+PHJlYy1udW1iZXI+MjA8L3JlYy1udW1iZXI+PGZvcmVpZ24ta2V5cz48a2V5IGFwcD0iRU4iIGRiLWlkPSJhM2FhZmRmYy02YzE4LTUyMmMtOGE2OC1mYTBhZDI4ZjUxZDIiIHRpbWVzdGFtcD0iMTc5MjkyMTA4NyI+MjA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UHVibGlzaGVkIHZlcnNpb24gb2YgcmVjb3JkLCBMaXZlciBUcmFuc3BsYW50YXRpb24gMjAyNTszMTo4MTUmIzgyMTE7ODMxLiBDb21wbGV0ZSByZWNvbW1lbmRhdGlvbiB0YWJsZSBhbmQgcmVsZXZhbnQgSENDL2lDQ0EgZGlzY3Vzc2lvbiByZXZpZXdlZCwgY3VycmVudCBQREYgcHAxJiM4MjExOzEzLiBQcmlvciBjb3B5IGFkZHMgb25lIHJlcG9zaXRvcnkgY292ZXI7IGpvdXJuYWwgcGFnZXMgYXJlIHRleHQtaWRlbnRpY2FsLiBFeHRlcm5hbCBzdXBwbGVtZW50IG5vdCByZXJldmlld2Vk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pPr>
      <w:r>
        <w:t xml:space="preserve">Original Vp1 or Vp2 only, confirmed by central review of pretreatment imaging and an explicit vessel-anatomy map.</w:t>
      </w:r>
    </w:p>
    <w:p>
      <w:pPr>
        <w:pStyle w:val="Normal"/>
        <w:widowControl/>
        <w:numPr>
          <w:ilvl w:val="1"/>
          <w:numId w:val="3"/>
        </w:numPr>
        <w:spacing w:before="60" w:after="20"/>
      </w:pPr>
      <w:r>
        <w:t xml:space="preserve">Exclude Vp3, Vp4/main or contralateral portal involvement, hepatic-vein involvement, prior rupture and combined expanded-burden experiments from the initial transplanting pilot.</w:t>
      </w:r>
    </w:p>
    <w:p>
      <w:pPr>
        <w:pStyle w:val="Normal"/>
        <w:widowControl/>
        <w:numPr>
          <w:ilvl w:val="1"/>
          <w:numId w:val="3"/>
        </w:numPr>
        <w:spacing w:before="60" w:after="20"/>
      </w:pPr>
      <w:r>
        <w:t xml:space="preserve">These are OPEN study boundaries, not universal futility claims.</w:t>
      </w:r>
    </w:p>
    <w:p>
      <w:pPr>
        <w:pStyle w:val="Normal"/>
        <w:widowControl/>
        <w:numPr>
          <w:ilvl w:val="0"/>
          <w:numId w:val="3"/>
        </w:numPr>
      </w:pPr>
      <w:r>
        <w:t xml:space="preserve">Require centrally adjudicated complete absence of enhancing viable vascular tumor, parenchymal burden within Milan or nonviable, no extrahepatic disease, and at least 12 continuous months of control with imaging approximately every three months.</w:t>
      </w:r>
    </w:p>
    <w:p>
      <w:pPr>
        <w:pStyle w:val="Normal"/>
        <w:widowControl/>
        <w:numPr>
          <w:ilvl w:val="1"/>
          <w:numId w:val="3"/>
        </w:numPr>
        <w:spacing w:before="60" w:after="20"/>
      </w:pPr>
      <w:r>
        <w:t xml:space="preserve">Start the control clock at the first scan meeting all proposed response criteria; do not count the treatment date or the cohort's median time to LT as that clock.</w:t>
      </w:r>
    </w:p>
    <w:p>
      <w:pPr>
        <w:pStyle w:val="Normal"/>
        <w:widowControl/>
        <w:numPr>
          <w:ilvl w:val="0"/>
          <w:numId w:val="3"/>
        </w:numPr>
      </w:pPr>
      <w:r>
        <w:t xml:space="preserve">Confirmed recurrent or persistent viable vascular tumor or extrahepatic metastasis fails the proposed transplant gate.</w:t>
      </w:r>
    </w:p>
    <w:p>
      <w:pPr>
        <w:pStyle w:val="Normal"/>
        <w:widowControl/>
        <w:numPr>
          <w:ilvl w:val="1"/>
          <w:numId w:val="3"/>
        </w:numPr>
        <w:spacing w:before="60" w:after="20"/>
      </w:pPr>
      <w:r>
        <w:t xml:space="preserve">Indeterminate post-Y90 enhancement, bland-versus-tumor uncertainty or discordant reads requires HOLD, expert review and interval reassessment; enhancement alone is not automatically proof of viable tumor, and unresolved response cannot authorize LT.</w:t>
      </w:r>
    </w:p>
    <w:p>
      <w:pPr>
        <w:pStyle w:val="Normal"/>
        <w:widowControl/>
        <w:numPr>
          <w:ilvl w:val="0"/>
          <w:numId w:val="3"/>
        </w:numPr>
      </w:pPr>
      <w:r>
        <w:t xml:space="preserve">In counseling and the prospective dataset, report all-entry survival and the proportion reaching LT separately from recipient survival, crude recurrence, death-censored RFS and perioperative morbidity/mortality.</w:t>
      </w:r>
    </w:p>
    <w:p>
      <w:pPr>
        <w:pStyle w:val="Normal"/>
        <w:widowControl/>
        <w:numPr>
          <w:ilvl w:val="1"/>
          <w:numId w:val="3"/>
        </w:numPr>
        <w:spacing w:before="60" w:after="20"/>
      </w:pPr>
      <w:r>
        <w:t xml:space="preserve">Do not describe Sposito's 79.3% RFS as alive-and-recurrence-free survival or derive recurrence incidence by subtraction.</w:t>
      </w:r>
    </w:p>
    <w:p>
      <w:pPr>
        <w:pStyle w:val="Normal"/>
        <w:widowControl/>
        <w:spacing w:before="60" w:after="20"/>
      </w:pPr>
      <w:r>
        <w:rPr>
          <w:b/>
        </w:rPr>
        <w:t xml:space="preserve">Why retain or change it: </w:t>
      </w:r>
      <w:r>
        <w:t xml:space="preserve">Retain the OPEN initial original-Vp1–2/complete-vascular-response/at-least-12-month study proposal, with bounded parenchymal burden and expert imaging adjudication. This conservative combination is not validated by Sposito's less restrictive retrospective selection. Explain the 37/240 chance of reaching LT, 61.6% five-year recipient OS, six recurrences, four perioperative deaths and 13 major complications using their separate denominators and endpoints. Do not promote branch PVTT into the standard pathway or create US allocation priority from Italian deceased-donor experience. Vp3 remains registry-first without transplant authority; any expansion needs separate prospective and allocation review.</w:t>
      </w:r>
    </w:p>
    <w:p>
      <w:pPr>
        <w:pStyle w:val="Heading3"/>
        <w:keepNext/>
        <w:widowControl/>
      </w:pPr>
      <w:r>
        <w:t xml:space="preserve">Information required before the decision</w:t>
      </w:r>
    </w:p>
    <w:p>
      <w:pPr>
        <w:pStyle w:val="Normal"/>
        <w:widowControl/>
        <w:spacing w:before="60" w:after="20"/>
      </w:pPr>
      <w:r>
        <w:t xml:space="preserve">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pStyle w:val="Normal"/>
        <w:widowControl/>
        <w:spacing w:before="60" w:after="20"/>
      </w:pPr>
      <w:r>
        <w:rPr>
          <w:b/>
        </w:rPr>
        <w:t xml:space="preserve">Clinical versus allocation: </w:t>
      </w:r>
      <w:r>
        <w:t xml:space="preserve">Clinical study eligibility cannot override the main-portal/hepatic-vein exception contraindications or grant priority. Obtain a separate documented organ route.</w:t>
      </w:r>
    </w:p>
    <w:p>
      <w:pPr>
        <w:pStyle w:val="Normal"/>
        <w:widowControl/>
        <w:spacing w:before="60" w:after="20"/>
      </w:pPr>
      <w:r>
        <w:rPr>
          <w:b/>
        </w:rPr>
        <w:t xml:space="preserve">Roadmap / protocol reconciliation: </w:t>
      </w:r>
      <w:r>
        <w:t xml:space="preserve">Continue standard HCC treatment and restaging while the study is developed; radiographic downstaging alone is not an instruction to list.</w:t>
      </w:r>
    </w:p>
    <w:p>
      <w:pPr>
        <w:pStyle w:val="Heading3"/>
        <w:keepNext/>
        <w:widowControl/>
      </w:pPr>
      <w:r>
        <w:t xml:space="preserve">Meeting decision — complete only after discussion</w:t>
      </w:r>
    </w:p>
    <w:p>
      <w:pPr>
        <w:pStyle w:val="Normal"/>
        <w:widowControl/>
        <w:spacing w:before="60" w:after="20"/>
      </w:pPr>
      <w:r>
        <w:t xml:space="preserve">Group decision (adopt / amend / defer / decline): __________________________________</w:t>
      </w:r>
    </w:p>
    <w:p>
      <w:pPr>
        <w:pStyle w:val="Normal"/>
        <w:widowControl/>
        <w:spacing w:before="60" w:after="20"/>
      </w:pPr>
      <w:r>
        <w:t xml:space="preserve">Final cutoff / population / exact protocol wording: _________________________________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Evidence accepted/rejected; denominator/time origin; residual uncertainty: 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Rationale and dissent: ______________________________________________________</w:t>
      </w:r>
    </w:p>
    <w:p>
      <w:pPr>
        <w:pStyle w:val="Normal"/>
        <w:widowControl/>
        <w:spacing w:before="60" w:after="20"/>
      </w:pPr>
      <w:r>
        <w:t xml:space="preserve">Protocol section(s) to change / required source or PDF: _____________________________</w:t>
      </w:r>
    </w:p>
    <w:p>
      <w:pPr>
        <w:pStyle w:val="Normal"/>
        <w:widowControl/>
        <w:spacing w:before="60" w:after="20"/>
      </w:pPr>
      <w:r>
        <w:t xml:space="preserve">Owner / action / due date: ___________________________________________________</w:t>
      </w:r>
    </w:p>
    <w:p>
      <w:pPr>
        <w:pStyle w:val="Normal"/>
        <w:widowControl/>
        <w:spacing w:before="60" w:after="20"/>
      </w:pPr>
      <w:r>
        <w:t xml:space="preserve">Meeting date / decision-maker signatures: ________________________________________</w:t>
      </w:r>
    </w:p>
    <w:p>
      <w:pPr>
        <w:pStyle w:val="Normal"/>
        <w:widowControl/>
        <w:spacing w:before="60" w:after="20"/>
      </w:pPr>
      <w:r>
        <w:t xml:space="preserve">Clinical / allocation / donor / research approvals and effective date: ____________________</w:t>
      </w:r>
    </w:p>
    <w:p>
      <w:pPr>
        <w:pStyle w:val="Normal"/>
        <w:widowControl/>
        <w:spacing w:before="60" w:after="20"/>
      </w:pPr>
      <w:r>
        <w:t xml:space="preserve">Proposed discussion owners: Transplant surgery; liver radiology; hepatology; allocation; study safety board.</w:t>
      </w:r>
    </w:p>
    <w:p>
      <w:pPr>
        <w:pStyle w:val="Heading2"/>
        <w:keepNext/>
        <w:widowControl/>
      </w:pPr>
      <w:bookmarkStart w:id="3" w:name="HCC_B3"/>
      <w:r>
        <w:t xml:space="preserve">HCC-B3 — How should prior ICI alter activation and consent?</w:t>
      </w:r>
      <w:bookmarkEnd w:id="3"/>
    </w:p>
    <w:p>
      <w:pPr>
        <w:pStyle w:val="Normal"/>
        <w:widowControl/>
        <w:spacing w:before="60" w:after="20"/>
      </w:pPr>
      <w:r>
        <w:t xml:space="preserve">OPEN — evidence review first; institutional decision remains blank.</w:t>
      </w:r>
    </w:p>
    <w:p>
      <w:pPr>
        <w:pStyle w:val="Normal"/>
        <w:widowControl/>
        <w:spacing w:before="60" w:after="20"/>
      </w:pPr>
      <w:hyperlink r:id="rId104">
        <w:r>
          <w:rPr>
            <w:color w:val="77230C"/>
            <w:sz w:val="20"/>
            <w:u w:val="single"/>
          </w:rPr>
          <w:t>Corresponding protocol / boundary addendum</w:t>
        </w:r>
      </w:hyperlink>
    </w:p>
    <w:p>
      <w:pPr>
        <w:pStyle w:val="Heading3"/>
        <w:keepNext/>
        <w:widowControl/>
      </w:pPr>
      <w:r>
        <w:t xml:space="preserve">Question and comparison</w:t>
      </w:r>
    </w:p>
    <w:p>
      <w:pPr>
        <w:pStyle w:val="Normal"/>
        <w:widowControl/>
        <w:spacing w:before="60" w:after="20"/>
      </w:pPr>
      <w:r>
        <w:t xml:space="preserve">Patients with HCC treated with immune checkpoint inhibitors before planned LT; compare shorter versus longer ICI-free intervals, prior irAE versus none, and ICI-exposed versus non-ICI recipients. Assess treatment-entry tumor control/access to LT separately from recipient rejection, graft loss, recurrence and survival.</w:t>
      </w:r>
    </w:p>
    <w:p>
      <w:pPr>
        <w:pStyle w:val="Heading3"/>
        <w:keepNext/>
        <w:widowControl/>
      </w:pPr>
      <w:r>
        <w:t xml:space="preserve">Search scope and evidence access</w:t>
      </w:r>
    </w:p>
    <w:p>
      <w:pPr>
        <w:pStyle w:val="Normal"/>
        <w:widowControl/>
        <w:spacing w:before="60" w:after="20"/>
      </w:pPr>
      <w:r>
        <w:t xml:space="preserve">Reviewed prospective ImmunoXXL, multicenter VITALITY, washout and irAE cohorts, matched comparators, the LITCHI registry and the October 2026 JAMA Oncology study. The individual-patient-data review is retained as secondary synthesis because it influenced the 90-day proposal. Its cases overlap subsequent series; no pooled event rate is calculated across these reports.</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fldChar w:fldCharType="begin"/>
            </w:r>
            <w:r>
              <w:instrText xml:space="preserve"> ADDIN EN.CITE </w:instrText>
            </w:r>
            <w:r>
              <w:fldChar w:fldCharType="begin">
                <w:fldData>PEVuZE5vdGU+PENpdGU+PEF1dGhvcj5UYWJyaXppYW48L0F1dGhvcj48WWVhcj4yMDI1PC9ZZWFyPjxSZWNOdW0+MjE8L1JlY051bT48RGlzcGxheVRleHQ+W1YxMi0yMV08L0Rpc3BsYXlUZXh0PjxyZWNvcmQ+PHJlYy1udW1iZXI+MjE8L3JlYy1udW1iZXI+PGZvcmVpZ24ta2V5cz48a2V5IGFwcD0iRU4iIGRiLWlkPSJhM2FhZmRmYy02YzE4LTUyMmMtOGE2OC1mYTBhZDI4ZjUxZDIiIHRpbWVzdGFtcD0iMTc5MjkyMTA4NyI+Mj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105">
              <w:r>
                <w:rPr>
                  <w:color w:val="77230C"/>
                  <w:sz w:val="20"/>
                  <w:u w:val="single"/>
                </w:rPr>
                <w:t>Primary source</w:t>
              </w:r>
            </w:hyperlink>
            <w:r>
              <w:t xml:space="preserve"> | </w:t>
            </w:r>
            <w:hyperlink r:id="rId106">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r>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t xml:space="preserve"> </w:t>
            </w:r>
            <w:r>
              <w:fldChar w:fldCharType="begin"/>
            </w:r>
            <w:r>
              <w:instrText xml:space="preserve"> ADDIN EN.CITE </w:instrText>
            </w:r>
            <w:r>
              <w:fldChar w:fldCharType="begin">
                <w:fldData>PEVuZE5vdGU+PENpdGU+PEF1dGhvcj5CaG9vcmk8L0F1dGhvcj48WWVhcj4yMDI2PC9ZZWFyPjxSZWNOdW0+MjI8L1JlY051bT48RGlzcGxheVRleHQ+W1YxMi0yMl08L0Rpc3BsYXlUZXh0PjxyZWNvcmQ+PHJlYy1udW1iZXI+MjI8L3JlYy1udW1iZXI+PGZvcmVpZ24ta2V5cz48a2V5IGFwcD0iRU4iIGRiLWlkPSJhM2FhZmRmYy02YzE4LTUyMmMtOGE2OC1mYTBhZDI4ZjUxZDIiIHRpbWVzdGFtcD0iMTc5MjkyMTA4NyI+MjI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[V12-22]</w:t>
            </w:r>
            <w:r>
              <w:fldChar w:fldCharType="end"/>
            </w:r>
          </w:p>
          <w:p>
            <w:pPr>
              <w:pStyle w:val="Normal"/>
              <w:widowControl/>
              <w:spacing w:before="60" w:after="20"/>
            </w:pPr>
            <w:r>
              <w:t xml:space="preserve">Single-center prospective observational phase-II-design study. Sixty-one potentially eligible patients received atezolizumab/bevacizumab from June 2022; 16 selected responders enrolled/listed/transplanted December 2022–January 2025. Initially beyond Up-to-7/UNOS-DS, not amenable to further LRT/surgery, no hepatic-vein/caval invasion or extrahepatic spread. Methods specify Child-Pugh A/ECOG 0–1 at treatment, but Table 1 includes two Child-Pugh B at diagnosis (different time point). At least three months/three cycles and modeled post-LT survival ≥60%; Figure 1 explicitly adds PVTT ≤ Vp2 and AFP ≤100 at downstaging eligibility.</w:t>
            </w:r>
          </w:p>
          <w:p>
            <w:pPr>
              <w:pStyle w:val="Normal"/>
              <w:widowControl/>
              <w:spacing w:before="60" w:after="20"/>
            </w:pPr>
            <w:hyperlink r:id="rId107">
              <w:r>
                <w:rPr>
                  <w:color w:val="77230C"/>
                  <w:sz w:val="20"/>
                  <w:u w:val="single"/>
                </w:rPr>
                <w:t>Primary source</w:t>
              </w:r>
            </w:hyperlink>
            <w:r>
              <w:t xml:space="preserve"> | </w:t>
            </w:r>
            <w:hyperlink r:id="rId108">
              <w:r>
                <w:rPr>
                  <w:color w:val="77230C"/>
                  <w:sz w:val="20"/>
                  <w:u w:val="single"/>
                </w:rPr>
                <w:t>Full-text PDF</w:t>
              </w:r>
            </w:hyperlink>
          </w:p>
          <w:p>
            <w:pPr>
              <w:pStyle w:val="Normal"/>
              <w:widowControl/>
              <w:spacing w:before="60" w:after="20"/>
            </w:pPr>
            <w:r>
              <w:t xml:space="preserve">Locator: PDF p 3/j 118 eligibility/methods | PDF p 4/j 119 Figure 1 | PDF p 5/j 120 statistical time origins and cohort flow | PDF p 6/j 121 Table 1 | PDF p 7/j 122 Figures 2–3 | PDF p 8/j 123 rejection/retransplant outcomes | PDF p 10/j 125 limitations | PDF p 12/j 127 Table 2</w:t>
            </w:r>
          </w:p>
          <w:p>
            <w:pPr>
              <w:pStyle w:val="Normal"/>
              <w:widowControl/>
              <w:spacing w:before="60" w:after="20"/>
            </w:pPr>
            <w:r>
              <w:t xml:space="preserve">Review depth: Complete 14-page main-paper PDF read; Tables S1–S5 and separate supplementary methods/figures are referenced but not attached.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baseline PVTT: Figure 2 six Vp2, one Vp3, one Vp4; after treatment/explant seven complete responses and one Vp4 → Vp2. Median washout 57.5 d (IQR 29–87), follow-up 16 mo. Ten complete and six partial pathological responses. One recurrence and one death; reported two-year recurrence-free estimate 90% (95% CI 62–98) and OS 94% (67–100), with above time-origin/death-censoring caveat. Radiologic counts 12 CR/4 PR equal 75%/25%, whereas text/table incorrectly label 70%/30%. Safety: Four biopsy-proven acute rejections (RAI 5–7); median washout 28 d rejecting vs 60 d nonrejecting, P = .045. Three pre-LT events labeled irAEs, including ascites and severe hypertension. Ninety-day morbidity 10/16 (62.5%), mortality 1/16 (6.3%). Two retransplants: one hepatic-artery thrombosis; one marginal-graft dysfunction mixed with rejection/sepsis, followed by death. Do not describe all graft loss as rejection-caused or the entire course as harmless/manageable rejection.</w:t>
            </w:r>
          </w:p>
          <w:p>
            <w:pPr>
              <w:pStyle w:val="Normal"/>
              <w:widowControl/>
              <w:spacing w:before="60" w:after="20"/>
            </w:pPr>
            <w:r>
              <w:rPr>
                <w:b/>
              </w:rPr>
              <w:t xml:space="preserve">Do not infer: </w:t>
            </w:r>
            <w:r>
              <w:t xml:space="preserve">Tiny selected cohort, short follow-up and wide intervals; historical proxy endpoint, no clinical survival control. Fourteen LRT-only patients served an immunoprofiling comparison, not an unbiased comparative efficacy arm. Transcriptomic/immune associations are exploratory and cannot validate a two-month safe interval or immune-clearance assay. Supplementary eligibility details unavailable.</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fldChar w:fldCharType="begin"/>
            </w:r>
            <w:r>
              <w:instrText xml:space="preserve"> ADDIN EN.CITE </w:instrText>
            </w:r>
            <w:r>
              <w:fldChar w:fldCharType="begin">
                <w:fldData>PEVuZE5vdGU+PENpdGU+PEF1dGhvcj5Nb2Vja2xpPC9BdXRob3I+PFllYXI+MjAyNTwvWWVhcj48UmVjTnVtPjIzPC9SZWNOdW0+PERpc3BsYXlUZXh0PltWMTItMjNdPC9EaXNwbGF5VGV4dD48cmVjb3JkPjxyZWMtbnVtYmVyPjIzPC9yZWMtbnVtYmVyPjxmb3JlaWduLWtleXM+PGtleSBhcHA9IkVOIiBkYi1pZD0iYTNhYWZkZmMtNmMxOC01MjJjLThhNjgtZmEwYWQyOGY1MWQyIiB0aW1lc3RhbXA9IjE3OTI5MjEwODciPjIz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[V12-23]</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109">
              <w:r>
                <w:rPr>
                  <w:color w:val="77230C"/>
                  <w:sz w:val="20"/>
                  <w:u w:val="single"/>
                </w:rPr>
                <w:t>Primary source</w:t>
              </w:r>
            </w:hyperlink>
            <w:r>
              <w:t xml:space="preserve"> | </w:t>
            </w:r>
            <w:hyperlink r:id="rId110">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mEzYWFmZGZjLTZjMTgtNTIyYy04YTY4LWZhMGFkMjhmNTFkMiIgdGltZXN0YW1wPSIxNzkyOTIxMDg3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p>
          <w:p>
            <w:pPr>
              <w:pStyle w:val="Normal"/>
              <w:widowControl/>
              <w:spacing w:before="60" w:after="20"/>
            </w:pPr>
            <w:r>
              <w:t xml:space="preserve">Secondary systematic review and individual-patient-data analysis: 91 recipients from 30 predominantly case reports/series and cohorts.</w:t>
            </w:r>
          </w:p>
          <w:p>
            <w:pPr>
              <w:pStyle w:val="Normal"/>
              <w:widowControl/>
              <w:spacing w:before="60" w:after="20"/>
            </w:pPr>
            <w:r>
              <w:t xml:space="preserve">Selection: Published ICI-exposed transplanted cases; not a randomized or consecutive all-treated population.</w:t>
            </w:r>
          </w:p>
          <w:p>
            <w:pPr>
              <w:pStyle w:val="Normal"/>
              <w:widowControl/>
              <w:spacing w:before="60" w:after="20"/>
            </w:pPr>
            <w:hyperlink r:id="rId111">
              <w:r>
                <w:rPr>
                  <w:color w:val="77230C"/>
                  <w:sz w:val="20"/>
                  <w:u w:val="single"/>
                </w:rPr>
                <w:t>Primary source</w:t>
              </w:r>
            </w:hyperlink>
            <w:r>
              <w:t xml:space="preserve"> | </w:t>
            </w:r>
            <w:hyperlink r:id="rId112">
              <w:r>
                <w:rPr>
                  <w:color w:val="77230C"/>
                  <w:sz w:val="20"/>
                  <w:u w:val="single"/>
                </w:rPr>
                <w:t>Full-text PDF</w:t>
              </w:r>
            </w:hyperlink>
          </w:p>
          <w:p>
            <w:pPr>
              <w:pStyle w:val="Normal"/>
              <w:widowControl/>
              <w:spacing w:before="60" w:after="20"/>
            </w:pPr>
            <w:r>
              <w:t xml:space="preserve">Locator: Complete local author manuscript: Results/washout model; PDF p10 (manuscript p7) conclusion. Existing V6 quotation ledger retained.</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pStyle w:val="Normal"/>
              <w:widowControl/>
              <w:spacing w:before="60" w:after="20"/>
            </w:pPr>
            <w:r>
              <w:rPr>
                <w:b/>
              </w:rPr>
              <w:t xml:space="preserve">Do not infer: </w:t>
            </w:r>
            <w:r>
              <w:t xml:space="preserve">Publication/selection bias, heterogeneous regimens, small events and overlap with later cohorts. A modeled ≤20% probability does not justify telling an individual that three months eliminates rejection risk.</w:t>
            </w:r>
          </w:p>
        </w:tc>
      </w:tr>
      <w:tr>
        <w:trPr/>
        <w:tc>
          <w:tcPr>
            <w:tcW w:w="34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fldChar w:fldCharType="begin"/>
            </w:r>
            <w:r>
              <w:instrText xml:space="preserve"> ADDIN EN.CITE </w:instrText>
            </w:r>
            <w:r>
              <w:fldChar w:fldCharType="begin">
                <w:fldData>PEVuZE5vdGU+PENpdGU+PEF1dGhvcj5GYW5nPC9BdXRob3I+PFllYXI+MjAyNjwvWWVhcj48UmVjTnVtPjI1PC9SZWNOdW0+PERpc3BsYXlUZXh0PltWMTItMjVdPC9EaXNwbGF5VGV4dD48cmVjb3JkPjxyZWMtbnVtYmVyPjI1PC9yZWMtbnVtYmVyPjxmb3JlaWduLWtleXM+PGtleSBhcHA9IkVOIiBkYi1pZD0iYTNhYWZkZmMtNmMxOC01MjJjLThhNjgtZmEwYWQyOGY1MWQyIiB0aW1lc3RhbXA9IjE3OTI5MjEwODciPjI1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p>
          <w:p>
            <w:pPr>
              <w:pStyle w:val="Normal"/>
              <w:widowControl/>
              <w:spacing w:before="60" w:after="20"/>
            </w:pPr>
            <w:r>
              <w:t xml:space="preserve">Multicenter Chinese retrospective cohort, 2018–2024: 209 ICI-exposed LT recipients.</w:t>
            </w:r>
          </w:p>
          <w:p>
            <w:pPr>
              <w:pStyle w:val="Normal"/>
              <w:widowControl/>
              <w:spacing w:before="60" w:after="20"/>
            </w:pPr>
            <w:r>
              <w:t xml:space="preserve">Selection: Prior irAEs of any grade were recorded; six patients had grade 3–4 events.</w:t>
            </w:r>
          </w:p>
          <w:p>
            <w:pPr>
              <w:pStyle w:val="Normal"/>
              <w:widowControl/>
              <w:spacing w:before="60" w:after="20"/>
            </w:pPr>
            <w:hyperlink r:id="rId113">
              <w:r>
                <w:rPr>
                  <w:color w:val="77230C"/>
                  <w:sz w:val="20"/>
                  <w:u w:val="single"/>
                </w:rPr>
                <w:t>Primary source</w:t>
              </w:r>
            </w:hyperlink>
            <w:r>
              <w:t xml:space="preserve"> | </w:t>
            </w:r>
            <w:hyperlink r:id="rId114">
              <w:r>
                <w:rPr>
                  <w:color w:val="77230C"/>
                  <w:sz w:val="20"/>
                  <w:u w:val="single"/>
                </w:rPr>
                <w:t>Full-text PDF</w:t>
              </w:r>
            </w:hyperlink>
          </w:p>
          <w:p>
            <w:pPr>
              <w:pStyle w:val="Normal"/>
              <w:widowControl/>
              <w:spacing w:before="60" w:after="20"/>
            </w:pPr>
            <w:r>
              <w:t xml:space="preserve">Locator: Complete local PDF pp5–6, Tables 3–4; avoid reversed conditional denominators.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pStyle w:val="Normal"/>
              <w:widowControl/>
              <w:spacing w:before="60" w:after="20"/>
            </w:pPr>
            <w:r>
              <w:rPr>
                <w:b/>
              </w:rPr>
              <w:t xml:space="preserve">Do not infer: </w:t>
            </w:r>
            <w:r>
              <w:t xml:space="preserve">The discussion's 58.3%/13.3% are irAE prevalence within rejection/nonrejection groups, not rejection probabilities. Too few severe irAEs to validate a grade-specific exclusion or a recovery interval.</w:t>
            </w:r>
          </w:p>
        </w:tc>
      </w:tr>
      <w:tr>
        <w:trPr/>
        <w:tc>
          <w:tcPr>
            <w:tcW w:w="3400" w:type="dxa"/>
            <w:tcMar>
              <w:top w:w="90" w:type="dxa"/>
              <w:left w:w="90" w:type="dxa"/>
              <w:bottom w:w="90" w:type="dxa"/>
              <w:right w:w="90" w:type="dxa"/>
            </w:tcMar>
          </w:tcPr>
          <w:p>
            <w:pPr>
              <w:pStyle w:val="Normal"/>
              <w:widowControl/>
              <w:spacing w:before="60" w:after="20"/>
            </w:pPr>
            <w:r>
              <w:rPr>
                <w:b/>
              </w:rPr>
              <w:t xml:space="preserve">Aceituno 2026</w:t>
            </w:r>
            <w:r>
              <w:t xml:space="preserve"> </w:t>
            </w:r>
            <w:r>
              <w:t xml:space="preserve"> </w:t>
            </w:r>
            <w:r>
              <w:fldChar w:fldCharType="begin"/>
            </w:r>
            <w:r>
              <w:instrText xml:space="preserve"> ADDIN EN.CITE </w:instrText>
            </w:r>
            <w:r>
              <w:fldChar w:fldCharType="begin">
                <w:fldData>PEVuZE5vdGU+PENpdGU+PEF1dGhvcj5BY2VpdHVubzwvQXV0aG9yPjxZZWFyPjIwMjY8L1llYXI+PFJlY051bT4yNjwvUmVjTnVtPjxEaXNwbGF5VGV4dD5bVjEyLTI2XTwvRGlzcGxheVRleHQ+PHJlY29yZD48cmVjLW51bWJlcj4yNjwvcmVjLW51bWJlcj48Zm9yZWlnbi1rZXlzPjxrZXkgYXBwPSJFTiIgZGItaWQ9ImEzYWFmZGZjLTZjMTgtNTIyYy04YTY4LWZhMGFkMjhmNTFkMiIgdGltZXN0YW1wPSIxNzkyOTIxMDg3Ij4yNj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p>
          <w:p>
            <w:pPr>
              <w:pStyle w:val="Normal"/>
              <w:widowControl/>
              <w:spacing w:before="60" w:after="20"/>
            </w:pPr>
            <w:r>
              <w:t xml:space="preserve">Ten-center ICI series, 48 recipients, propensity matched with 144 Toronto non-ICI controls; 20/48 exposed cases previously published.</w:t>
            </w:r>
          </w:p>
          <w:p>
            <w:pPr>
              <w:pStyle w:val="Normal"/>
              <w:widowControl/>
              <w:spacing w:before="60" w:after="20"/>
            </w:pPr>
            <w:r>
              <w:t xml:space="preserve">Selection: Matching used age, sex, liver disease and LT year, not tumor burden or immunosuppression. Prior ICI adverse events were not captured.</w:t>
            </w:r>
          </w:p>
          <w:p>
            <w:pPr>
              <w:pStyle w:val="Normal"/>
              <w:widowControl/>
              <w:spacing w:before="60" w:after="20"/>
            </w:pPr>
            <w:hyperlink r:id="rId115">
              <w:r>
                <w:rPr>
                  <w:color w:val="77230C"/>
                  <w:sz w:val="20"/>
                  <w:u w:val="single"/>
                </w:rPr>
                <w:t>Primary source</w:t>
              </w:r>
            </w:hyperlink>
            <w:r>
              <w:t xml:space="preserve"> | </w:t>
            </w:r>
            <w:hyperlink r:id="rId116">
              <w:r>
                <w:rPr>
                  <w:color w:val="77230C"/>
                  <w:sz w:val="20"/>
                  <w:u w:val="single"/>
                </w:rPr>
                <w:t>Full-text PDF</w:t>
              </w:r>
            </w:hyperlink>
          </w:p>
          <w:p>
            <w:pPr>
              <w:pStyle w:val="Normal"/>
              <w:widowControl/>
              <w:spacing w:before="60" w:after="20"/>
            </w:pPr>
            <w:r>
              <w:t xml:space="preserve">Locator: Complete local PDF pp2–5, Methods and Tables 1–2.</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pStyle w:val="Normal"/>
              <w:widowControl/>
              <w:spacing w:before="60" w:after="20"/>
            </w:pPr>
            <w:r>
              <w:rPr>
                <w:b/>
              </w:rPr>
              <w:t xml:space="preserve">Do not infer: </w:t>
            </w:r>
            <w:r>
              <w:t xml:space="preserve">No detected difference is not equivalence. Substantial tumor-risk imbalance and published-case overlap. Abstract washout IQR 13–96 conflicts with Table 1 and appears to match rejection-onset timing; use table and flag discrepancy. It cannot reassure about prior irAE risk.</w:t>
            </w:r>
          </w:p>
        </w:tc>
      </w:tr>
      <w:tr>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t xml:space="preserve"> </w:t>
            </w:r>
            <w:r>
              <w:fldChar w:fldCharType="begin"/>
            </w:r>
            <w:r>
              <w:instrText xml:space="preserve"> ADDIN EN.CITE </w:instrText>
            </w:r>
            <w:r>
              <w:fldChar w:fldCharType="begin">
                <w:fldData>PEVuZE5vdGU+PENpdGU+PEF1dGhvcj5CYXVlcjwvQXV0aG9yPjxZZWFyPjIwMjY8L1llYXI+PFJlY051bT4yNzwvUmVjTnVtPjxEaXNwbGF5VGV4dD5bVjEyLTI3XTwvRGlzcGxheVRleHQ+PHJlY29yZD48cmVjLW51bWJlcj4yNzwvcmVjLW51bWJlcj48Zm9yZWlnbi1rZXlzPjxrZXkgYXBwPSJFTiIgZGItaWQ9ImEzYWFmZGZjLTZjMTgtNTIyYy04YTY4LWZhMGFkMjhmNTFkMiIgdGltZXN0YW1wPSIxNzkyOTIxMDg3Ij4yNz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p>
          <w:p>
            <w:pPr>
              <w:pStyle w:val="Normal"/>
              <w:widowControl/>
              <w:spacing w:before="60" w:after="20"/>
            </w:pPr>
            <w:r>
              <w:t xml:space="preserve">European multicenter series of 18 ICI-exposed LT recipients: 15 atezolizumab–bevacizumab, two nivolumab and one pembrolizumab. Fourteen of 17 evaluable patients were beyond Milan before treatment and seven of 17 remained beyond Milan before LT.</w:t>
            </w:r>
          </w:p>
          <w:p>
            <w:pPr>
              <w:pStyle w:val="Normal"/>
              <w:widowControl/>
              <w:spacing w:before="60" w:after="20"/>
            </w:pPr>
            <w:hyperlink r:id="rId117">
              <w:r>
                <w:rPr>
                  <w:color w:val="77230C"/>
                  <w:sz w:val="20"/>
                  <w:u w:val="single"/>
                </w:rPr>
                <w:t>Primary source</w:t>
              </w:r>
            </w:hyperlink>
            <w:r>
              <w:t xml:space="preserve"> | </w:t>
            </w:r>
            <w:hyperlink r:id="rId118">
              <w:r>
                <w:rPr>
                  <w:color w:val="77230C"/>
                  <w:sz w:val="20"/>
                  <w:u w:val="single"/>
                </w:rPr>
                <w:t>Full-text PDF</w:t>
              </w:r>
            </w:hyperlink>
          </w:p>
          <w:p>
            <w:pPr>
              <w:pStyle w:val="Normal"/>
              <w:widowControl/>
              <w:spacing w:before="60" w:after="20"/>
            </w:pPr>
            <w:r>
              <w:t xml:space="preserve">Locator: PDF p 2: cohort, biopsy ascertainment, 14/17 and 7/17 Milan status. | PDF p 3: Table 1 washout, harms, 12-month OS and follow up. | PDF p 4: rejection days, limitations, 14/18 &gt;100 days. | PDF p 5: supplement inventory not included.</w:t>
            </w:r>
          </w:p>
          <w:p>
            <w:pPr>
              <w:pStyle w:val="Normal"/>
              <w:widowControl/>
              <w:spacing w:before="60" w:after="20"/>
            </w:pPr>
            <w:r>
              <w:t xml:space="preserve">Review depth: Complete six-page main article read, including individual-patient Table 1 and discussion; supplemental Tables S1–S4/Figures S1–S3 not provided.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had biopsy-proven rejection (22%; reported 95% CI 6.4–47.6%), diagnosed at days 21, 27, 147 and 686. One rejection was fatal after a 13-day washout. One HCC recurrence occurred at 229 days. The reported one-year OS point estimate is 77%, but abstract and body give inconsistent confidence intervals. Safety: Rejection can occur late, not only in the immediate postoperative period. One fatal rejection; a long washout does not eliminate risk.</w:t>
            </w:r>
          </w:p>
          <w:p>
            <w:pPr>
              <w:pStyle w:val="Normal"/>
              <w:widowControl/>
              <w:spacing w:before="60" w:after="20"/>
            </w:pPr>
            <w:r>
              <w:rPr>
                <w:b/>
              </w:rPr>
              <w:t xml:space="preserve">Do not infer: </w:t>
            </w:r>
            <w:r>
              <w:t xml:space="preserve">Small selected recipient series without a control group or entry denominator; center-dependent surveillance biopsies. Very short oncologic follow-up for high-risk subgroups. The inconsistent OS confidence interval should not be copied. No validated washout or protective immunosuppression regimen.</w:t>
            </w:r>
          </w:p>
        </w:tc>
      </w:tr>
      <w:tr>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t xml:space="preserve"> </w:t>
            </w:r>
            <w:r>
              <w:fldChar w:fldCharType="begin"/>
            </w:r>
            <w:r>
              <w:instrText xml:space="preserve"> ADDIN EN.CITE </w:instrText>
            </w:r>
            <w:r>
              <w:fldChar w:fldCharType="begin">
                <w:fldData>PEVuZE5vdGU+PENpdGU+PEF1dGhvcj5Pbmc8L0F1dGhvcj48WWVhcj4yMDI2PC9ZZWFyPjxSZWNOdW0+Mjg8L1JlY051bT48RGlzcGxheVRleHQ+W1YxMi0yOF08L0Rpc3BsYXlUZXh0PjxyZWNvcmQ+PHJlYy1udW1iZXI+Mjg8L3JlYy1udW1iZXI+PGZvcmVpZ24ta2V5cz48a2V5IGFwcD0iRU4iIGRiLWlkPSJhM2FhZmRmYy02YzE4LTUyMmMtOGE2OC1mYTBhZDI4ZjUxZDIiIHRpbWVzdGFtcD0iMTc5MjkyMTA4NyI+Mjg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Q29tcGxldGUgMTAtcGFnZSBtYWluIGFydGljbGUgcmVhZCwgaW5jbHVkaW5nIGFsbCB0YWJsZXMvZmlndXJlcywgZGlzY3Vzc2lvbiBhbmQgcmVmZXJlbmNlczsgc3VwcGxlbWVudHMgbm90IHN1cHBsaWVkL3JlYWQuIFY4IGV4dHJhY3Rpb24gYW5kIGxpbWl0YXRpb25zOiBzb3VyY2UvaGNjX2Z1bGx0ZXh0X3Jldmlldy5qc29uPC9ub3Rlcz48dXJscz48cmVsYXRlZC11cmxzPjx1cmw+aHR0cHM6Ly9kb2kub3JnLzEwLjEwMDEvamFtYW9uY29sLjIwMjYuMzkwMTwvdXJsPjwvcmVsYXRlZC11cmxzPjxwZGYtdXJscy8+PC91cmxzPjwvcmVjb3JkPjwvQ2l0ZT48L0VuZE5vdGU+</w:fldData>
              </w:fldChar>
            </w:r>
            <w:r>
              <w:instrText xml:space="preserve"> ADDIN EN.CITE.DATA </w:instrText>
            </w:r>
            <w:r>
              <w:fldChar w:fldCharType="end"/>
            </w:r>
            <w:r>
              <w:fldChar w:fldCharType="separate"/>
            </w:r>
            <w:r>
              <w:t xml:space="preserve">[V12-28]</w:t>
            </w:r>
            <w:r>
              <w:fldChar w:fldCharType="end"/>
            </w:r>
          </w:p>
          <w:p>
            <w:pPr>
              <w:pStyle w:val="Normal"/>
              <w:widowControl/>
              <w:spacing w:before="60" w:after="20"/>
            </w:pPr>
            <w:r>
              <w:t xml:space="preserve">Eight Chinese centers, LT 2019–2024. 879 adult recipients initially beyond Milan screened, 727 eligible: 244 ICI and 483 non-ICI; 208 matched in each arm. Predominantly HBV (88% matched), male (90.6%); baseline macrovascular invasion 76/208 versus 77/208. ICI strategy commonly combined LRT and targeted agents: 131 triple, 61 dual, 16 ICI alone. Control 182 LRT alone, 23 LRT + targeted, 3 targeted alone.</w:t>
            </w:r>
          </w:p>
          <w:p>
            <w:pPr>
              <w:pStyle w:val="Normal"/>
              <w:widowControl/>
              <w:spacing w:before="60" w:after="20"/>
            </w:pPr>
            <w:hyperlink r:id="rId119">
              <w:r>
                <w:rPr>
                  <w:color w:val="77230C"/>
                  <w:sz w:val="20"/>
                  <w:u w:val="single"/>
                </w:rPr>
                <w:t>Primary source</w:t>
              </w:r>
            </w:hyperlink>
            <w:r>
              <w:t xml:space="preserve"> | </w:t>
            </w:r>
            <w:hyperlink r:id="rId120">
              <w:r>
                <w:rPr>
                  <w:color w:val="77230C"/>
                  <w:sz w:val="20"/>
                  <w:u w:val="single"/>
                </w:rPr>
                <w:t>Full-text PDF</w:t>
              </w:r>
            </w:hyperlink>
          </w:p>
          <w:p>
            <w:pPr>
              <w:pStyle w:val="Normal"/>
              <w:widowControl/>
              <w:spacing w:before="60" w:after="20"/>
            </w:pPr>
            <w:r>
              <w:t xml:space="preserve">Locator: PDF pp 2–3 / E2–E3: design, Figure 1, time origins and matching. | PDF p 4 / E4: Table 1, multimodal exposures, only 32/208 and 18/208 within Milan. | PDF p 5 / E5: Table 2 washout missingness and rejection/survival. | PDF p 6 / E6: Figure 2 at-risk counts. | PDF pp 7–9 / E7–E9: subgroup caveats, limitations and conclusion.</w:t>
            </w:r>
          </w:p>
          <w:p>
            <w:pPr>
              <w:pStyle w:val="Normal"/>
              <w:widowControl/>
              <w:spacing w:before="60" w:after="20"/>
            </w:pPr>
            <w:r>
              <w:t xml:space="preserve">Review depth: Complete 10-page main article read, including all tables/figures, discussion and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ICI versus control: median OS 4.57 versus 2.53 years, adjusted HR .63 (95% CI .43–.92); median RFS 1.47 versus .89 years, adjusted HR .59 (.44–.80); recurrence subdistribution HR .54 (.40–.72). 1-/3-year OS 83.9/71.6% versus 74.6/43.9%; RFS 62.8/43.5 versus 48.4/30.7%. Acute rejection ≤90 days 34/208 (16.3%) versus 17/208 (8.2%), absolute difference 8.17 pp (CI 1.92–14.43); rejection-attributed deaths 3/34 versus 1/17. Median washout 58.5 days; ≤90-day washout 26/32 rejection cases versus 100/160 nonrejection cases. Objective response 100/208 versus 40/208; pCR 6/208 versus 0; major pathologic response 58/208 versus 35/208. Safety: Higher early rejection and three rejection-attributed deaths in ICI arm. No reliable pre-LT toxicity/dropout estimate because only transplanted patients included. At five years OS at-risk counts only 3 ICI and 21 control; long-horizon medians/tails imprecise.</w:t>
            </w:r>
          </w:p>
          <w:p>
            <w:pPr>
              <w:pStyle w:val="Normal"/>
              <w:widowControl/>
              <w:spacing w:before="60" w:after="20"/>
            </w:pPr>
            <w:r>
              <w:rPr>
                <w:b/>
              </w:rPr>
              <w:t xml:space="preserve">Do not infer: </w:t>
            </w:r>
            <w:r>
              <w:t xml:space="preserve">Retrospective PSM of selected recipients, residual biology/era confounding and conditioning on transplantation; graft type and donor age included in primary propensity model but sensitivity reportedly excludes these postexposure factors. Only 15.4%/8.7% downstaged within Milan; clinical selection differs markedly from proposed local pilot. Multimodal strategy not isolated ICI effect. Missing supplementary eligibility, rejection treatment and dynamic response details. Overlap with related Guo/Fang Chinese cohorts possible; do not sum as independent samples. Exploratory sex and high-risk subgroups not treatment-selection rules.</w:t>
            </w:r>
          </w:p>
        </w:tc>
      </w:tr>
      <w:tr>
        <w:trPr/>
        <w:tc>
          <w:tcPr>
            <w:tcW w:w="3400" w:type="dxa"/>
            <w:tcMar>
              <w:top w:w="90" w:type="dxa"/>
              <w:left w:w="90" w:type="dxa"/>
              <w:bottom w:w="90" w:type="dxa"/>
              <w:right w:w="90" w:type="dxa"/>
            </w:tcMar>
          </w:tcPr>
          <w:p>
            <w:pPr>
              <w:pStyle w:val="Normal"/>
              <w:widowControl/>
              <w:spacing w:before="60" w:after="20"/>
            </w:pPr>
            <w:r>
              <w:rPr>
                <w:b/>
              </w:rPr>
              <w:t xml:space="preserve">Kulkarni 2025</w:t>
            </w:r>
            <w:r>
              <w:t xml:space="preserve"> </w:t>
            </w:r>
            <w:r>
              <w:t xml:space="preserve"> </w:t>
            </w:r>
            <w:r>
              <w:fldChar w:fldCharType="begin"/>
            </w:r>
            <w:r>
              <w:instrText xml:space="preserve"> ADDIN EN.CITE </w:instrText>
            </w:r>
            <w:r>
              <w:fldChar w:fldCharType="begin">
                <w:fldData>PEVuZE5vdGU+PENpdGU+PEF1dGhvcj5LdWxrYXJuaTwvQXV0aG9yPjxZZWFyPjIwMjU8L1llYXI+PFJlY051bT4yOTwvUmVjTnVtPjxEaXNwbGF5VGV4dD5bVjEyLTI5XTwvRGlzcGxheVRleHQ+PHJlY29yZD48cmVjLW51bWJlcj4yOTwvcmVjLW51bWJlcj48Zm9yZWlnbi1rZXlzPjxrZXkgYXBwPSJFTiIgZGItaWQ9ImEzYWFmZGZjLTZjMTgtNTIyYy04YTY4LWZhMGFkMjhmNTFkMiIgdGltZXN0YW1wPSIxNzkyOTIxMDg3Ij4yO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[V12-29]</w:t>
            </w:r>
            <w:r>
              <w:fldChar w:fldCharType="end"/>
            </w:r>
          </w:p>
          <w:p>
            <w:pPr>
              <w:pStyle w:val="Normal"/>
              <w:widowControl/>
              <w:spacing w:before="60" w:after="20"/>
            </w:pPr>
            <w:r>
              <w:t xml:space="preserve">Mixed pre-LT ICI case series, a small pilot randomized study, post-LT case series, LRT studies and nontransplant systemic-therapy trials. These are different populations and overlapping evidence.</w:t>
            </w:r>
          </w:p>
          <w:p>
            <w:pPr>
              <w:pStyle w:val="Normal"/>
              <w:widowControl/>
              <w:spacing w:before="60" w:after="20"/>
            </w:pPr>
            <w:hyperlink r:id="rId121">
              <w:r>
                <w:rPr>
                  <w:color w:val="77230C"/>
                  <w:sz w:val="20"/>
                  <w:u w:val="single"/>
                </w:rPr>
                <w:t>Primary source</w:t>
              </w:r>
            </w:hyperlink>
            <w:r>
              <w:t xml:space="preserve"> | </w:t>
            </w:r>
            <w:hyperlink r:id="rId122">
              <w:r>
                <w:rPr>
                  <w:color w:val="77230C"/>
                  <w:sz w:val="20"/>
                  <w:u w:val="single"/>
                </w:rPr>
                <w:t>Full-text PDF</w:t>
              </w:r>
            </w:hyperlink>
          </w:p>
          <w:p>
            <w:pPr>
              <w:pStyle w:val="Normal"/>
              <w:widowControl/>
              <w:spacing w:before="60" w:after="20"/>
            </w:pPr>
            <w:r>
              <w:t xml:space="preserve">Locator: PDF pp 6–8 Table 3; p 9 rejection/post-LT discussion; p 10/printed 594 Section 10; pp 11–12 preventive proposals and research gaps; pp 13–14 trial table/conclusion.</w:t>
            </w:r>
          </w:p>
          <w:p>
            <w:pPr>
              <w:pStyle w:val="Normal"/>
              <w:widowControl/>
              <w:spacing w:before="60" w:after="20"/>
            </w:pPr>
            <w:r>
              <w:t xml:space="preserve">Review depth: Complete substantive narrative text pp 1–14, all 6 tables and relevant bibliography references read; no independent reanalysis of its cited cohorts or external supplements.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individualized ICI use, acknowledgement of rejection, infection/decompensation and anti-VEGF wound-healing risk, and LDLT scheduling flexibility.; Section 10 describes center variation in corticosteroid with or without basiliximab induction. This supports documenting institutional practice, not declaring one regimen proven superior.; Suggested early tacrolimus 12–15 ng/mL, protocol biopsy and prophylactic plasma strategies are author proposals based on small heterogeneous reports; the review itself states that benefit of T-cell-directed induction is unknown.; Biomarkers and protocol biopsies are described as needing validation. The review does not establish a transplant-eligibility rule based on TP53, TERT, CTNNB1, ctDNA or fewer than five ICI cycles.</w:t>
            </w:r>
          </w:p>
          <w:p>
            <w:pPr>
              <w:pStyle w:val="Normal"/>
              <w:widowControl/>
              <w:spacing w:before="60" w:after="20"/>
            </w:pPr>
            <w:r>
              <w:rPr>
                <w:b/>
              </w:rPr>
              <w:t xml:space="preserve">Do not infer: </w:t>
            </w:r>
            <w:r>
              <w:t xml:space="preserve">Some categorical statements exceed the cited evidence: no response in post-LT HCC comes from tiny old series and is not consistent with the newer 52-recipient DeMartin study; use the updated primary extraction.; Section 10's tacrolimus target is not a society guideline and has not been prospectively shown to prevent ICI-associated rejection without excess toxicity.; Table 3 Guo washout direction contains a typographical inconsistency; do not copy it. The VITALITY 86%/14% numbers must not be presented as group rejection incidence.; Selection exclusion based solely on ≤4 ICI cycles, a mutation or imaging response category is not validated by this review.; Do not use the review's UNOS size inequalities instead of current official policy. Time origin: Use underlying primary studies for all quantitative consent/outcome claims. Table 3 mixes candidates and recipients; the 86%/14% VITALITY statement describes the distribution of seven rejection events by washout, not the probability of rejection in each exposure group.</w:t>
            </w:r>
          </w:p>
        </w:tc>
      </w:tr>
      <w:tr>
        <w:trPr/>
        <w:tc>
          <w:tcPr>
            <w:tcW w:w="3400" w:type="dxa"/>
            <w:tcMar>
              <w:top w:w="90" w:type="dxa"/>
              <w:left w:w="90" w:type="dxa"/>
              <w:bottom w:w="90" w:type="dxa"/>
              <w:right w:w="90" w:type="dxa"/>
            </w:tcMar>
          </w:tcPr>
          <w:p>
            <w:pPr>
              <w:pStyle w:val="Normal"/>
              <w:widowControl/>
              <w:spacing w:before="60" w:after="20"/>
            </w:pPr>
            <w:r>
              <w:rPr>
                <w:b/>
              </w:rPr>
              <w:t xml:space="preserve">Demirors 2026</w:t>
            </w:r>
            <w:r>
              <w:t xml:space="preserve"> </w:t>
            </w:r>
            <w:r>
              <w:t xml:space="preserve"> </w:t>
            </w:r>
            <w:r>
              <w:fldChar w:fldCharType="begin"/>
            </w:r>
            <w:r>
              <w:instrText xml:space="preserve"> ADDIN EN.CITE </w:instrText>
            </w:r>
            <w:r>
              <w:fldChar w:fldCharType="begin">
                <w:fldData>PEVuZE5vdGU+PENpdGU+PEF1dGhvcj5EZW1pcm9yczwvQXV0aG9yPjxZZWFyPjIwMjY8L1llYXI+PFJlY051bT4zMDwvUmVjTnVtPjxEaXNwbGF5VGV4dD5bVjEyLTMwXTwvRGlzcGxheVRleHQ+PHJlY29yZD48cmVjLW51bWJlcj4zMDwvcmVjLW51bWJlcj48Zm9yZWlnbi1rZXlzPjxrZXkgYXBwPSJFTiIgZGItaWQ9ImEzYWFmZGZjLTZjMTgtNTIyYy04YTY4LWZhMGFkMjhmNTFkMiIgdGltZXN0YW1wPSIxNzkyOTIxMDg3Ij4zMD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[V12-30]</w:t>
            </w:r>
            <w:r>
              <w:fldChar w:fldCharType="end"/>
            </w:r>
          </w:p>
          <w:p>
            <w:pPr>
              <w:pStyle w:val="Normal"/>
              <w:widowControl/>
              <w:spacing w:before="60" w:after="20"/>
            </w:pPr>
            <w:r>
              <w:t xml:space="preserve">HCC dominates; review claims &gt;1,200 ICI-exposed LT recipients and 43 CCA patients. Tables mix primary cohorts, systematic reviews, candidate denominators, resection cohorts, chemotherapy-only transplant evidence and contextual abstracts; unique-recipient totals are not independently reconciled.</w:t>
            </w:r>
          </w:p>
          <w:p>
            <w:pPr>
              <w:pStyle w:val="Normal"/>
              <w:widowControl/>
              <w:spacing w:before="60" w:after="20"/>
            </w:pPr>
            <w:hyperlink r:id="rId123">
              <w:r>
                <w:rPr>
                  <w:color w:val="77230C"/>
                  <w:sz w:val="20"/>
                  <w:u w:val="single"/>
                </w:rPr>
                <w:t>Primary source</w:t>
              </w:r>
            </w:hyperlink>
            <w:r>
              <w:t xml:space="preserve"> | </w:t>
            </w:r>
            <w:hyperlink r:id="rId124">
              <w:r>
                <w:rPr>
                  <w:color w:val="77230C"/>
                  <w:sz w:val="20"/>
                  <w:u w:val="single"/>
                </w:rPr>
                <w:t>Full-text PDF</w:t>
              </w:r>
            </w:hyperlink>
          </w:p>
          <w:p>
            <w:pPr>
              <w:pStyle w:val="Normal"/>
              <w:widowControl/>
              <w:spacing w:before="60" w:after="20"/>
            </w:pPr>
            <w:r>
              <w:t xml:space="preserve">Locator: PDF pp 3–5 methods/aggregate population; pp 6–7 Table 1 and CCA efficacy; pp 7–9 washout/rejection; pp 10–11 Table 2; p 12 Table 3; pp 13–14 interpretation; pp 16–17 references 4–6, 15, 22, 29–35.</w:t>
            </w:r>
          </w:p>
          <w:p>
            <w:pPr>
              <w:pStyle w:val="Normal"/>
              <w:widowControl/>
              <w:spacing w:before="60" w:after="20"/>
            </w:pPr>
            <w:r>
              <w:t xml:space="preserve">Review depth: Complete main text pp 1–14, all 3 tables and all 35 reference entries pp 15–17 read; conflicting claims checked against already-reviewed V8 primary papers and targeted official/primary sources.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General themes—ICI-associated rejection risk, need for an interval and MDT care, absence of a validated immune biomarker—are consistent with primary evidence.; Table 3 is not a reliable substitute for original society guidance: AASLD 2023 actually recommends discontinuation at least 3 months before LT (local official PDF p 20/j 1941), contrary to this review's 'no specific duration' cell.; Table 3 labels Watt et al. as ILTS guidance, but reference 31 is a prospective standardized institutional post-LT ICI practice study, not an ILTS consensus or pre-LT induction guideline.; SYS-TARE/Maspero chemotherapy-plus-radioembolization evidence is displayed under ICI bridging; it does not establish pre-LT ICI efficacy or safety in CCA.; Table 2 says Moeckli graft loss not separately reported; the primary paper reports 6/119. The review's OR 21.3/9.48 washout values are unadjusted, not the adjusted model coefficients.; PLENTY is mislabeled as a North American prospective cohort in Table 1; the primary pilot is a Chinese randomized study. ImmunoXXL is labeled RCT despite the reviewed prospective single-arm design.</w:t>
            </w:r>
          </w:p>
          <w:p>
            <w:pPr>
              <w:pStyle w:val="Normal"/>
              <w:widowControl/>
              <w:spacing w:before="60" w:after="20"/>
            </w:pPr>
            <w:r>
              <w:rPr>
                <w:b/>
              </w:rPr>
              <w:t xml:space="preserve">Do not infer: </w:t>
            </w:r>
            <w:r>
              <w:t xml:space="preserve">Guideline attribution errors, mixed eligibility/interventions, overlapping datasets and inconsistent denominators substantially weaken its use for protocol thresholds.; Claim that &gt;50 days normalizes rejection versus non-ICI controls overstates the 119-recipient source, which lacks a parallel non-ICI control group.; Proposed ATG indications, tacrolimus 12–15, protocol biopsies and early-mTOR avoidance are not established by the cited papers as universal society recommendations.; Donor-category nonsignificance is not proof of equivalence/safety across DCD, DBD and LDLT.; CCA and NET protocols must not inherit HCC cohort efficacy rates or transplant eligibility thresholds from this review. Time origin: Do not pool its &gt;1,200 as new unique patients or combine it with underlying studies. VITALITY 75.6% is 65/86 ever-beyond-Milan candidates, with 43 LT of 117 intent-to-transplant; 71.1% three-year survival is candidate-level ITT, not recipient survival.</w:t>
            </w:r>
          </w:p>
        </w:tc>
      </w:tr>
    </w:tbl>
    <w:p>
      <w:pPr>
        <w:pStyle w:val="Heading3"/>
        <w:keepNext/>
        <w:widowControl/>
      </w:pPr>
      <w:r>
        <w:t xml:space="preserve">Synthesis and evidence that challenges the proposal</w:t>
      </w:r>
    </w:p>
    <w:p>
      <w:pPr>
        <w:pStyle w:val="Normal"/>
        <w:widowControl/>
        <w:spacing w:before="60" w:after="20"/>
      </w:pPr>
      <w:r>
        <w:t xml:space="preserve">ICI conversion evidence is encouraging but observational and often recipient-selected. VITALITY has 117 intended candidates and 43 LT recipients; ImmunoXXL has 61 treated and 16 selected LT recipients. Ong's matched recipient comparison is not an ITT efficacy estimate. Moeckli's 50-day cutoff was data-driven in a heterogeneous 119-recipient collection; rejection was 21/53 at ≤50 days versus 3/66 at &gt;50 days. LITCHI shows late rejection despite predominantly long washout. Separate post-LT treatment data show five rejection-attributed deaths among 52 ICI-treated recipients. AASLD 2023 advises stopping ICI at least three months before LT. This supports the guideline lineage of the conservative interval but is not prospective proof of a safe threshold. Narrative reviews do not establish routine ATG, high tacrolimus troughs or prophylactic plasma as safe ICI-specific strategies.</w:t>
      </w:r>
      <w:r>
        <w:t xml:space="preserve"> </w:t>
      </w:r>
      <w:r>
        <w:t xml:space="preserve"> </w:t>
      </w:r>
      <w:r>
        <w:fldChar w:fldCharType="begin"/>
      </w:r>
      <w:r>
        <w:instrText xml:space="preserve"> ADDIN EN.CITE </w:instrText>
      </w:r>
      <w:r>
        <w:fldChar w:fldCharType="begin">
          <w:fldData>PEVuZE5vdGU+PENpdGU+PEF1dGhvcj5UYWJyaXppYW48L0F1dGhvcj48WWVhcj4yMDI1PC9ZZWFyPjxSZWNOdW0+MjE8L1JlY051bT48RGlzcGxheVRleHQ+W1YxMi0yMV08L0Rpc3BsYXlUZXh0PjxyZWNvcmQ+PHJlYy1udW1iZXI+MjE8L3JlYy1udW1iZXI+PGZvcmVpZ24ta2V5cz48a2V5IGFwcD0iRU4iIGRiLWlkPSJhM2FhZmRmYy02YzE4LTUyMmMtOGE2OC1mYTBhZDI4ZjUxZDIiIHRpbWVzdGFtcD0iMTc5MjkyMTA4NyI+Mj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CaG9vcmk8L0F1dGhvcj48WWVhcj4yMDI2PC9ZZWFyPjxSZWNOdW0+MjI8L1JlY051bT48RGlzcGxheVRleHQ+W1YxMi0yMl08L0Rpc3BsYXlUZXh0PjxyZWNvcmQ+PHJlYy1udW1iZXI+MjI8L3JlYy1udW1iZXI+PGZvcmVpZ24ta2V5cz48a2V5IGFwcD0iRU4iIGRiLWlkPSJhM2FhZmRmYy02YzE4LTUyMmMtOGE2OC1mYTBhZDI4ZjUxZDIiIHRpbWVzdGFtcD0iMTc5MjkyMTA4NyI+MjI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[V12-22]</w:t>
      </w:r>
      <w:r>
        <w:fldChar w:fldCharType="end"/>
      </w:r>
      <w:r>
        <w:t xml:space="preserve"> </w:t>
      </w:r>
      <w:r>
        <w:t xml:space="preserve"> </w:t>
      </w:r>
      <w:r>
        <w:fldChar w:fldCharType="begin"/>
      </w:r>
      <w:r>
        <w:instrText xml:space="preserve"> ADDIN EN.CITE </w:instrText>
      </w:r>
      <w:r>
        <w:fldChar w:fldCharType="begin">
          <w:fldData>PEVuZE5vdGU+PENpdGU+PEF1dGhvcj5Nb2Vja2xpPC9BdXRob3I+PFllYXI+MjAyNTwvWWVhcj48UmVjTnVtPjIzPC9SZWNOdW0+PERpc3BsYXlUZXh0PltWMTItMjNdPC9EaXNwbGF5VGV4dD48cmVjb3JkPjxyZWMtbnVtYmVyPjIzPC9yZWMtbnVtYmVyPjxmb3JlaWduLWtleXM+PGtleSBhcHA9IkVOIiBkYi1pZD0iYTNhYWZkZmMtNmMxOC01MjJjLThhNjgtZmEwYWQyOGY1MWQyIiB0aW1lc3RhbXA9IjE3OTI5MjEwODciPjIz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mEzYWFmZGZjLTZjMTgtNTIyYy04YTY4LWZhMGFkMjhmNTFkMiIgdGltZXN0YW1wPSIxNzkyOTIxMDg3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r>
        <w:t xml:space="preserve"> </w:t>
      </w:r>
      <w:r>
        <w:t xml:space="preserve"> </w:t>
      </w:r>
      <w:r>
        <w:fldChar w:fldCharType="begin"/>
      </w:r>
      <w:r>
        <w:instrText xml:space="preserve"> ADDIN EN.CITE </w:instrText>
      </w:r>
      <w:r>
        <w:fldChar w:fldCharType="begin">
          <w:fldData>PEVuZE5vdGU+PENpdGU+PEF1dGhvcj5GYW5nPC9BdXRob3I+PFllYXI+MjAyNjwvWWVhcj48UmVjTnVtPjI1PC9SZWNOdW0+PERpc3BsYXlUZXh0PltWMTItMjVdPC9EaXNwbGF5VGV4dD48cmVjb3JkPjxyZWMtbnVtYmVyPjI1PC9yZWMtbnVtYmVyPjxmb3JlaWduLWtleXM+PGtleSBhcHA9IkVOIiBkYi1pZD0iYTNhYWZkZmMtNmMxOC01MjJjLThhNjgtZmEwYWQyOGY1MWQyIiB0aW1lc3RhbXA9IjE3OTI5MjEwODciPjI1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BY2VpdHVubzwvQXV0aG9yPjxZZWFyPjIwMjY8L1llYXI+PFJlY051bT4yNjwvUmVjTnVtPjxEaXNwbGF5VGV4dD5bVjEyLTI2XTwvRGlzcGxheVRleHQ+PHJlY29yZD48cmVjLW51bWJlcj4yNjwvcmVjLW51bWJlcj48Zm9yZWlnbi1rZXlzPjxrZXkgYXBwPSJFTiIgZGItaWQ9ImEzYWFmZGZjLTZjMTgtNTIyYy04YTY4LWZhMGFkMjhmNTFkMiIgdGltZXN0YW1wPSIxNzkyOTIxMDg3Ij4yNj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CYXVlcjwvQXV0aG9yPjxZZWFyPjIwMjY8L1llYXI+PFJlY051bT4yNzwvUmVjTnVtPjxEaXNwbGF5VGV4dD5bVjEyLTI3XTwvRGlzcGxheVRleHQ+PHJlY29yZD48cmVjLW51bWJlcj4yNzwvcmVjLW51bWJlcj48Zm9yZWlnbi1rZXlzPjxrZXkgYXBwPSJFTiIgZGItaWQ9ImEzYWFmZGZjLTZjMTgtNTIyYy04YTY4LWZhMGFkMjhmNTFkMiIgdGltZXN0YW1wPSIxNzkyOTIxMDg3Ij4yNz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Pbmc8L0F1dGhvcj48WWVhcj4yMDI2PC9ZZWFyPjxSZWNOdW0+Mjg8L1JlY051bT48RGlzcGxheVRleHQ+W1YxMi0yOF08L0Rpc3BsYXlUZXh0PjxyZWNvcmQ+PHJlYy1udW1iZXI+Mjg8L3JlYy1udW1iZXI+PGZvcmVpZ24ta2V5cz48a2V5IGFwcD0iRU4iIGRiLWlkPSJhM2FhZmRmYy02YzE4LTUyMmMtOGE2OC1mYTBhZDI4ZjUxZDIiIHRpbWVzdGFtcD0iMTc5MjkyMTA4NyI+Mjg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Q29tcGxldGUgMTAtcGFnZSBtYWluIGFydGljbGUgcmVhZCwgaW5jbHVkaW5nIGFsbCB0YWJsZXMvZmlndXJlcywgZGlzY3Vzc2lvbiBhbmQgcmVmZXJlbmNlczsgc3VwcGxlbWVudHMgbm90IHN1cHBsaWVkL3JlYWQuIFY4IGV4dHJhY3Rpb24gYW5kIGxpbWl0YXRpb25zOiBzb3VyY2UvaGNjX2Z1bGx0ZXh0X3Jldmlldy5qc29uPC9ub3Rlcz48dXJscz48cmVsYXRlZC11cmxzPjx1cmw+aHR0cHM6Ly9kb2kub3JnLzEwLjEwMDEvamFtYW9uY29sLjIwMjYuMzkwMTwvdXJsPjwvcmVsYXRlZC11cmxzPjxwZGYtdXJscy8+PC91cmxzPjwvcmVjb3JkPjwvQ2l0ZT48L0VuZE5vdGU+</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LdWxrYXJuaTwvQXV0aG9yPjxZZWFyPjIwMjU8L1llYXI+PFJlY051bT4yOTwvUmVjTnVtPjxEaXNwbGF5VGV4dD5bVjEyLTI5XTwvRGlzcGxheVRleHQ+PHJlY29yZD48cmVjLW51bWJlcj4yOTwvcmVjLW51bWJlcj48Zm9yZWlnbi1rZXlzPjxrZXkgYXBwPSJFTiIgZGItaWQ9ImEzYWFmZGZjLTZjMTgtNTIyYy04YTY4LWZhMGFkMjhmNTFkMiIgdGltZXN0YW1wPSIxNzkyOTIxMDg3Ij4yO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EZW1pcm9yczwvQXV0aG9yPjxZZWFyPjIwMjY8L1llYXI+PFJlY051bT4zMDwvUmVjTnVtPjxEaXNwbGF5VGV4dD5bVjEyLTMwXTwvRGlzcGxheVRleHQ+PHJlY29yZD48cmVjLW51bWJlcj4zMDwvcmVjLW51bWJlcj48Zm9yZWlnbi1rZXlzPjxrZXkgYXBwPSJFTiIgZGItaWQ9ImEzYWFmZGZjLTZjMTgtNTIyYy04YTY4LWZhMGFkMjhmNTFkMiIgdGltZXN0YW1wPSIxNzkyOTIxMDg3Ij4zMD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[V12-30]</w:t>
      </w:r>
      <w:r>
        <w:fldChar w:fldCharType="end"/>
      </w:r>
    </w:p>
    <w:p>
      <w:pPr>
        <w:pStyle w:val="Normal"/>
        <w:widowControl/>
        <w:numPr>
          <w:ilvl w:val="0"/>
          <w:numId w:val="3"/>
        </w:numPr>
        <w:spacing w:before="60" w:after="20"/>
      </w:pPr>
      <w:r>
        <w:t xml:space="preserve">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pStyle w:val="Normal"/>
        <w:widowControl/>
        <w:spacing w:before="60" w:after="20"/>
      </w:pPr>
      <w:r>
        <w:rPr>
          <w:b/>
        </w:rPr>
        <w:t xml:space="preserve">Certainty / applicability: </w:t>
      </w:r>
      <w:r>
        <w:t xml:space="preserve">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pStyle w:val="Heading3"/>
        <w:keepNext/>
        <w:widowControl/>
      </w:pPr>
      <w:r>
        <w:t xml:space="preserve">Where each proposed threshold comes from</w:t>
      </w:r>
    </w:p>
    <w:p>
      <w:pPr>
        <w:pStyle w:val="Normal"/>
        <w:widowControl/>
        <w:numPr>
          <w:ilvl w:val="0"/>
          <w:numId w:val="3"/>
        </w:numPr>
        <w:spacing w:before="60" w:after="20"/>
      </w:pPr>
      <w:r>
        <w:t xml:space="preserve">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mEzYWFmZGZjLTZjMTgtNTIyYy04YTY4LWZhMGFkMjhmNTFkMiIgdGltZXN0YW1wPSIxNzkyOTIxMDg3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p>
          <w:p>
            <w:pPr>
              <w:pStyle w:val="Normal"/>
              <w:widowControl/>
              <w:spacing w:before="60" w:after="20"/>
            </w:pPr>
            <w:r>
              <w:t xml:space="preserve">“a 3-month washout may reduce it”</w:t>
            </w:r>
          </w:p>
          <w:p>
            <w:pPr>
              <w:pStyle w:val="Normal"/>
              <w:widowControl/>
              <w:spacing w:before="60" w:after="20"/>
            </w:pPr>
            <w:r>
              <w:t xml:space="preserve">Accepted PDF p10 / manuscript p7, abstract conclusion</w:t>
            </w:r>
          </w:p>
          <w:p>
            <w:pPr>
              <w:pStyle w:val="Normal"/>
              <w:widowControl/>
              <w:spacing w:before="60" w:after="20"/>
            </w:pPr>
            <w:hyperlink r:id="rId125">
              <w:r>
                <w:rPr>
                  <w:color w:val="77230C"/>
                  <w:sz w:val="20"/>
                  <w:u w:val="single"/>
                </w:rPr>
                <w:t>Source</w:t>
              </w:r>
            </w:hyperlink>
            <w:r>
              <w:t xml:space="preserve"> | </w:t>
            </w:r>
            <w:hyperlink r:id="rId12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risk-reduction suggestion from largely retrospective data, not a safe minimum.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fldChar w:fldCharType="begin"/>
            </w:r>
            <w:r>
              <w:instrText xml:space="preserve"> ADDIN EN.CITE </w:instrText>
            </w:r>
            <w:r>
              <w:fldChar w:fldCharType="begin">
                <w:fldData>PEVuZE5vdGU+PENpdGU+PEF1dGhvcj5GYW5nPC9BdXRob3I+PFllYXI+MjAyNjwvWWVhcj48UmVjTnVtPjI1PC9SZWNOdW0+PERpc3BsYXlUZXh0PltWMTItMjVdPC9EaXNwbGF5VGV4dD48cmVjb3JkPjxyZWMtbnVtYmVyPjI1PC9yZWMtbnVtYmVyPjxmb3JlaWduLWtleXM+PGtleSBhcHA9IkVOIiBkYi1pZD0iYTNhYWZkZmMtNmMxOC01MjJjLThhNjgtZmEwYWQyOGY1MWQyIiB0aW1lc3RhbXA9IjE3OTI5MjEwODciPjI1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p>
          <w:p>
            <w:pPr>
              <w:pStyle w:val="Normal"/>
              <w:widowControl/>
              <w:spacing w:before="60" w:after="20"/>
            </w:pPr>
            <w:r>
              <w:t xml:space="preserve">“irAEs (any grade vs non)”</w:t>
            </w:r>
          </w:p>
          <w:p>
            <w:pPr>
              <w:pStyle w:val="Normal"/>
              <w:widowControl/>
              <w:spacing w:before="60" w:after="20"/>
            </w:pPr>
            <w:r>
              <w:t xml:space="preserve">Published PDF p6, Table 4</w:t>
            </w:r>
          </w:p>
          <w:p>
            <w:pPr>
              <w:pStyle w:val="Normal"/>
              <w:widowControl/>
              <w:spacing w:before="60" w:after="20"/>
            </w:pPr>
            <w:hyperlink r:id="rId127">
              <w:r>
                <w:rPr>
                  <w:color w:val="77230C"/>
                  <w:sz w:val="20"/>
                  <w:u w:val="single"/>
                </w:rPr>
                <w:t>Source</w:t>
              </w:r>
            </w:hyperlink>
            <w:r>
              <w:t xml:space="preserve"> | </w:t>
            </w:r>
            <w:hyperlink r:id="rId12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Prior irAEs were associated with rejection; the study did not validate the specific grade-based activation rule proposed here.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≥90 days after the last ICI dose as the elective LT planning threshold, with a separate immune-toxicity gate.</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mEzYWFmZGZjLTZjMTgtNTIyYy04YTY4LWZhMGFkMjhmNTFkMiIgdGltZXN0YW1wPSIxNzkyOTIxMDg3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r>
        <w:t xml:space="preserve"> </w:t>
      </w:r>
      <w:r>
        <w:t xml:space="preserve"> </w:t>
      </w:r>
      <w:r>
        <w:fldChar w:fldCharType="begin"/>
      </w:r>
      <w:r>
        <w:instrText xml:space="preserve"> ADDIN EN.CITE </w:instrText>
      </w:r>
      <w:r>
        <w:fldChar w:fldCharType="begin">
          <w:fldData>PEVuZE5vdGU+PENpdGU+PEF1dGhvcj5GYW5nPC9BdXRob3I+PFllYXI+MjAyNjwvWWVhcj48UmVjTnVtPjI1PC9SZWNOdW0+PERpc3BsYXlUZXh0PltWMTItMjVdPC9EaXNwbGF5VGV4dD48cmVjb3JkPjxyZWMtbnVtYmVyPjI1PC9yZWMtbnVtYmVyPjxmb3JlaWduLWtleXM+PGtleSBhcHA9IkVOIiBkYi1pZD0iYTNhYWZkZmMtNmMxOC01MjJjLThhNjgtZmEwYWQyOGY1MWQyIiB0aW1lc3RhbXA9IjE3OTI5MjEwODciPjI1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Nb2Vja2xpPC9BdXRob3I+PFllYXI+MjAyNTwvWWVhcj48UmVjTnVtPjIzPC9SZWNOdW0+PERpc3BsYXlUZXh0PltWMTItMjNdPC9EaXNwbGF5VGV4dD48cmVjb3JkPjxyZWMtbnVtYmVyPjIzPC9yZWMtbnVtYmVyPjxmb3JlaWduLWtleXM+PGtleSBhcHA9IkVOIiBkYi1pZD0iYTNhYWZkZmMtNmMxOC01MjJjLThhNjgtZmEwYWQyOGY1MWQyIiB0aW1lc3RhbXA9IjE3OTI5MjEwODciPjIz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1PC9ZZWFyPjxSZWNOdW0+MjE8L1JlY051bT48RGlzcGxheVRleHQ+W1YxMi0yMV08L0Rpc3BsYXlUZXh0PjxyZWNvcmQ+PHJlYy1udW1iZXI+MjE8L3JlYy1udW1iZXI+PGZvcmVpZ24ta2V5cz48a2V5IGFwcD0iRU4iIGRiLWlkPSJhM2FhZmRmYy02YzE4LTUyMmMtOGE2OC1mYTBhZDI4ZjUxZDIiIHRpbWVzdGFtcD0iMTc5MjkyMTA4NyI+Mj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CaG9vcmk8L0F1dGhvcj48WWVhcj4yMDI2PC9ZZWFyPjxSZWNOdW0+MjI8L1JlY051bT48RGlzcGxheVRleHQ+W1YxMi0yMl08L0Rpc3BsYXlUZXh0PjxyZWNvcmQ+PHJlYy1udW1iZXI+MjI8L3JlYy1udW1iZXI+PGZvcmVpZ24ta2V5cz48a2V5IGFwcD0iRU4iIGRiLWlkPSJhM2FhZmRmYy02YzE4LTUyMmMtOGE2OC1mYTBhZDI4ZjUxZDIiIHRpbWVzdGFtcD0iMTc5MjkyMTA4NyI+MjI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[V12-22]</w:t>
      </w:r>
      <w:r>
        <w:fldChar w:fldCharType="end"/>
      </w:r>
      <w:r>
        <w:t xml:space="preserve"> </w:t>
      </w:r>
      <w:r>
        <w:t xml:space="preserve"> </w:t>
      </w:r>
      <w:r>
        <w:fldChar w:fldCharType="begin"/>
      </w:r>
      <w:r>
        <w:instrText xml:space="preserve"> ADDIN EN.CITE </w:instrText>
      </w:r>
      <w:r>
        <w:fldChar w:fldCharType="begin">
          <w:fldData>PEVuZE5vdGU+PENpdGU+PEF1dGhvcj5BY2VpdHVubzwvQXV0aG9yPjxZZWFyPjIwMjY8L1llYXI+PFJlY051bT4yNjwvUmVjTnVtPjxEaXNwbGF5VGV4dD5bVjEyLTI2XTwvRGlzcGxheVRleHQ+PHJlY29yZD48cmVjLW51bWJlcj4yNjwvcmVjLW51bWJlcj48Zm9yZWlnbi1rZXlzPjxrZXkgYXBwPSJFTiIgZGItaWQ9ImEzYWFmZGZjLTZjMTgtNTIyYy04YTY4LWZhMGFkMjhmNTFkMiIgdGltZXN0YW1wPSIxNzkyOTIxMDg3Ij4yNj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CYXVlcjwvQXV0aG9yPjxZZWFyPjIwMjY8L1llYXI+PFJlY051bT4yNzwvUmVjTnVtPjxEaXNwbGF5VGV4dD5bVjEyLTI3XTwvRGlzcGxheVRleHQ+PHJlY29yZD48cmVjLW51bWJlcj4yNzwvcmVjLW51bWJlcj48Zm9yZWlnbi1rZXlzPjxrZXkgYXBwPSJFTiIgZGItaWQ9ImEzYWFmZGZjLTZjMTgtNTIyYy04YTY4LWZhMGFkMjhmNTFkMiIgdGltZXN0YW1wPSIxNzkyOTIxMDg3Ij4yNz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Pbmc8L0F1dGhvcj48WWVhcj4yMDI2PC9ZZWFyPjxSZWNOdW0+Mjg8L1JlY051bT48RGlzcGxheVRleHQ+W1YxMi0yOF08L0Rpc3BsYXlUZXh0PjxyZWNvcmQ+PHJlYy1udW1iZXI+Mjg8L3JlYy1udW1iZXI+PGZvcmVpZ24ta2V5cz48a2V5IGFwcD0iRU4iIGRiLWlkPSJhM2FhZmRmYy02YzE4LTUyMmMtOGE2OC1mYTBhZDI4ZjUxZDIiIHRpbWVzdGFtcD0iMTc5MjkyMTA4NyI+Mjg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Q29tcGxldGUgMTAtcGFnZSBtYWluIGFydGljbGUgcmVhZCwgaW5jbHVkaW5nIGFsbCB0YWJsZXMvZmlndXJlcywgZGlzY3Vzc2lvbiBhbmQgcmVmZXJlbmNlczsgc3VwcGxlbWVudHMgbm90IHN1cHBsaWVkL3JlYWQuIFY4IGV4dHJhY3Rpb24gYW5kIGxpbWl0YXRpb25zOiBzb3VyY2UvaGNjX2Z1bGx0ZXh0X3Jldmlldy5qc29uPC9ub3Rlcz48dXJscz48cmVsYXRlZC11cmxzPjx1cmw+aHR0cHM6Ly9kb2kub3JnLzEwLjEwMDEvamFtYW9uY29sLjIwMjYuMzkwMTwvdXJsPjwvcmVsYXRlZC11cmxzPjxwZGYtdXJscy8+PC91cmxzPjwvcmVjb3JkPjwvQ2l0ZT48L0VuZE5vdGU+</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LdWxrYXJuaTwvQXV0aG9yPjxZZWFyPjIwMjU8L1llYXI+PFJlY051bT4yOTwvUmVjTnVtPjxEaXNwbGF5VGV4dD5bVjEyLTI5XTwvRGlzcGxheVRleHQ+PHJlY29yZD48cmVjLW51bWJlcj4yOTwvcmVjLW51bWJlcj48Zm9yZWlnbi1rZXlzPjxrZXkgYXBwPSJFTiIgZGItaWQ9ImEzYWFmZGZjLTZjMTgtNTIyYy04YTY4LWZhMGFkMjhmNTFkMiIgdGltZXN0YW1wPSIxNzkyOTIxMDg3Ij4yO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EZW1pcm9yczwvQXV0aG9yPjxZZWFyPjIwMjY8L1llYXI+PFJlY051bT4zMDwvUmVjTnVtPjxEaXNwbGF5VGV4dD5bVjEyLTMwXTwvRGlzcGxheVRleHQ+PHJlY29yZD48cmVjLW51bWJlcj4zMDwvcmVjLW51bWJlcj48Zm9yZWlnbi1rZXlzPjxrZXkgYXBwPSJFTiIgZGItaWQ9ImEzYWFmZGZjLTZjMTgtNTIyYy04YTY4LWZhMGFkMjhmNTFkMiIgdGltZXN0YW1wPSIxNzkyOTIxMDg3Ij4zMD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[V12-30]</w:t>
      </w:r>
      <w:r>
        <w:fldChar w:fldCharType="end"/>
      </w:r>
    </w:p>
    <w:p>
      <w:pPr>
        <w:pStyle w:val="Normal"/>
        <w:widowControl/>
        <w:numPr>
          <w:ilvl w:val="0"/>
          <w:numId w:val="3"/>
        </w:numPr>
      </w:pPr>
      <w:r>
        <w:t xml:space="preserve">Proposed elective cutoff: ≥90 days from last ICI dose to LT.</w:t>
      </w:r>
    </w:p>
    <w:p>
      <w:pPr>
        <w:pStyle w:val="Normal"/>
        <w:widowControl/>
        <w:numPr>
          <w:ilvl w:val="1"/>
          <w:numId w:val="3"/>
        </w:numPr>
        <w:spacing w:before="60" w:after="20"/>
      </w:pPr>
      <w:r>
        <w:t xml:space="preserve">No interval is proven safe; a longer interval does not eliminate rejection or graft-loss risk.</w:t>
      </w:r>
    </w:p>
    <w:p>
      <w:pPr>
        <w:pStyle w:val="Normal"/>
        <w:widowControl/>
        <w:numPr>
          <w:ilvl w:val="0"/>
          <w:numId w:val="3"/>
        </w:numPr>
      </w:pPr>
      <w:r>
        <w:t xml:space="preserve">Require no active clinically significant non-endocrine immune toxicity: grade ≤1 and no escalating immunosuppression for toxicity.</w:t>
      </w:r>
    </w:p>
    <w:p>
      <w:pPr>
        <w:pStyle w:val="Normal"/>
        <w:widowControl/>
        <w:numPr>
          <w:ilvl w:val="1"/>
          <w:numId w:val="3"/>
        </w:numPr>
        <w:spacing w:before="60" w:after="20"/>
      </w:pPr>
      <w:r>
        <w:t xml:space="preserve">Stable endocrine replacement may qualify.</w:t>
      </w:r>
    </w:p>
    <w:p>
      <w:pPr>
        <w:pStyle w:val="Normal"/>
        <w:widowControl/>
        <w:numPr>
          <w:ilvl w:val="1"/>
          <w:numId w:val="3"/>
        </w:numPr>
        <w:spacing w:before="60" w:after="20"/>
      </w:pPr>
      <w:r>
        <w:t xml:space="preserve">Prior grade 3–4 non-endocrine toxicity or myocarditis is excluded from the initial pilot pending separate specialist review.</w:t>
      </w:r>
    </w:p>
    <w:p>
      <w:pPr>
        <w:pStyle w:val="Normal"/>
        <w:widowControl/>
        <w:numPr>
          <w:ilvl w:val="0"/>
          <w:numId w:val="3"/>
        </w:numPr>
      </w:pPr>
      <w:r>
        <w:t xml:space="preserve">A shorter interval has no automatic urgency waiver.</w:t>
      </w:r>
    </w:p>
    <w:p>
      <w:pPr>
        <w:pStyle w:val="Normal"/>
        <w:widowControl/>
        <w:numPr>
          <w:ilvl w:val="1"/>
          <w:numId w:val="3"/>
        </w:numPr>
        <w:spacing w:before="60" w:after="20"/>
      </w:pPr>
      <w:r>
        <w:t xml:space="preserve">An exceptional-care decision must document near-term mortality without LT, alternatives, donor/graft risk, consent and rescue capability.</w:t>
      </w:r>
    </w:p>
    <w:p>
      <w:pPr>
        <w:pStyle w:val="Normal"/>
        <w:widowControl/>
        <w:numPr>
          <w:ilvl w:val="1"/>
          <w:numId w:val="3"/>
        </w:numPr>
        <w:spacing w:before="60" w:after="20"/>
      </w:pPr>
      <w:r>
        <w:t xml:space="preserve">Biology, ICI and allocation clocks may overlap; do not add them mechanically.</w:t>
      </w:r>
    </w:p>
    <w:p>
      <w:pPr>
        <w:pStyle w:val="Normal"/>
        <w:widowControl/>
        <w:numPr>
          <w:ilvl w:val="0"/>
          <w:numId w:val="3"/>
        </w:numPr>
      </w:pPr>
      <w:r>
        <w:t xml:space="preserve">Consent must address rejection, graft loss, uncertain comparative oncologic benefit and progression during washout.</w:t>
      </w:r>
    </w:p>
    <w:p>
      <w:pPr>
        <w:pStyle w:val="Normal"/>
        <w:widowControl/>
        <w:numPr>
          <w:ilvl w:val="1"/>
          <w:numId w:val="3"/>
        </w:numPr>
        <w:spacing w:before="60" w:after="20"/>
      </w:pPr>
      <w:r>
        <w:t xml:space="preserve">Neither elapsed time nor complete radiological response guarantees immune safety.</w:t>
      </w:r>
    </w:p>
    <w:p>
      <w:pPr>
        <w:pStyle w:val="Normal"/>
        <w:widowControl/>
        <w:numPr>
          <w:ilvl w:val="1"/>
          <w:numId w:val="3"/>
        </w:numPr>
        <w:spacing w:before="60" w:after="20"/>
      </w:pPr>
      <w:r>
        <w:t xml:space="preserve">Use the full-text evidence and source-specific residual gaps before ratifying these provisional thresholds.</w:t>
      </w:r>
    </w:p>
    <w:p>
      <w:pPr>
        <w:pStyle w:val="Normal"/>
        <w:widowControl/>
        <w:spacing w:before="60" w:after="20"/>
      </w:pPr>
      <w:r>
        <w:rPr>
          <w:b/>
        </w:rPr>
        <w:t xml:space="preserve">Why retain or change it: </w:t>
      </w:r>
      <w:r>
        <w:t xml:space="preserve">Retain elective last-ICI-to-LT interval ≥90 days as a conservative local default, with residual risk acknowledged; shorter intervals require explicit exceptional review, not automatic activation. Require non-endocrine irAE recovery to grade ≤1 and no escalating immune suppression; controlled endocrine replacement may be acceptable. Prior severe non-endocrine irAE or myocarditis should trigger initial-pilot exclusion or dedicated governance review. Do not mandate unvalidated immune assays, ATG induction or high tacrolimus targets. Keep pre-LT exposure and post-LT therapeutic ICI as distinct decisions.</w:t>
      </w:r>
    </w:p>
    <w:p>
      <w:pPr>
        <w:pStyle w:val="Heading3"/>
        <w:keepNext/>
        <w:widowControl/>
      </w:pPr>
      <w:r>
        <w:t xml:space="preserve">Information required before the decision</w:t>
      </w:r>
    </w:p>
    <w:p>
      <w:pPr>
        <w:pStyle w:val="Normal"/>
        <w:widowControl/>
        <w:spacing w:before="60" w:after="20"/>
      </w:pPr>
      <w:r>
        <w:t xml:space="preserve">Drug and last-dose dates; complete irAE history and grade; treatment and recovery; graft-risk review by hepatology, oncology and pharmacy; current staging.</w:t>
      </w:r>
    </w:p>
    <w:p>
      <w:pPr>
        <w:pStyle w:val="Normal"/>
        <w:widowControl/>
        <w:spacing w:before="60" w:after="20"/>
      </w:pPr>
      <w:r>
        <w:rPr>
          <w:b/>
        </w:rPr>
        <w:t xml:space="preserve">Clinical versus allocation: </w:t>
      </w:r>
      <w:r>
        <w:t xml:space="preserve">Prior ICI alone is not an automatic HCC exception exclusion. The proposed clinical timing gate is separate from tumor eligibility and allocation waiting time.</w:t>
      </w:r>
    </w:p>
    <w:p>
      <w:pPr>
        <w:pStyle w:val="Normal"/>
        <w:widowControl/>
        <w:spacing w:before="60" w:after="20"/>
      </w:pPr>
      <w:r>
        <w:rPr>
          <w:b/>
        </w:rPr>
        <w:t xml:space="preserve">Roadmap / protocol reconciliation: </w:t>
      </w:r>
      <w:r>
        <w:t xml:space="preserve">Preserve effective cancer treatment choices, but discuss transplant intent before initiating ICI. No immune assay, ATG regimen or high tacrolimus target is validated as clearance.</w:t>
      </w:r>
    </w:p>
    <w:p>
      <w:pPr>
        <w:pStyle w:val="Heading3"/>
        <w:keepNext/>
        <w:widowControl/>
      </w:pPr>
      <w:r>
        <w:t xml:space="preserve">Meeting decision — complete only after discussion</w:t>
      </w:r>
    </w:p>
    <w:p>
      <w:pPr>
        <w:pStyle w:val="Normal"/>
        <w:widowControl/>
        <w:spacing w:before="60" w:after="20"/>
      </w:pPr>
      <w:r>
        <w:t xml:space="preserve">Group decision (adopt / amend / defer / decline): __________________________________</w:t>
      </w:r>
    </w:p>
    <w:p>
      <w:pPr>
        <w:pStyle w:val="Normal"/>
        <w:widowControl/>
        <w:spacing w:before="60" w:after="20"/>
      </w:pPr>
      <w:r>
        <w:t xml:space="preserve">Final cutoff / population / exact protocol wording: _________________________________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Evidence accepted/rejected; denominator/time origin; residual uncertainty: 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Rationale and dissent: ______________________________________________________</w:t>
      </w:r>
    </w:p>
    <w:p>
      <w:pPr>
        <w:pStyle w:val="Normal"/>
        <w:widowControl/>
        <w:spacing w:before="60" w:after="20"/>
      </w:pPr>
      <w:r>
        <w:t xml:space="preserve">Protocol section(s) to change / required source or PDF: _____________________________</w:t>
      </w:r>
    </w:p>
    <w:p>
      <w:pPr>
        <w:pStyle w:val="Normal"/>
        <w:widowControl/>
        <w:spacing w:before="60" w:after="20"/>
      </w:pPr>
      <w:r>
        <w:t xml:space="preserve">Owner / action / due date: ___________________________________________________</w:t>
      </w:r>
    </w:p>
    <w:p>
      <w:pPr>
        <w:pStyle w:val="Normal"/>
        <w:widowControl/>
        <w:spacing w:before="60" w:after="20"/>
      </w:pPr>
      <w:r>
        <w:t xml:space="preserve">Meeting date / decision-maker signatures: ________________________________________</w:t>
      </w:r>
    </w:p>
    <w:p>
      <w:pPr>
        <w:pStyle w:val="Normal"/>
        <w:widowControl/>
        <w:spacing w:before="60" w:after="20"/>
      </w:pPr>
      <w:r>
        <w:t xml:space="preserve">Clinical / allocation / donor / research approvals and effective date: ____________________</w:t>
      </w:r>
    </w:p>
    <w:p>
      <w:pPr>
        <w:pStyle w:val="Normal"/>
        <w:widowControl/>
        <w:spacing w:before="60" w:after="20"/>
      </w:pPr>
      <w:r>
        <w:t xml:space="preserve">Proposed discussion owners: Transplant hepatology; oncology; pharmacy; surgery; safety board.</w:t>
      </w:r>
    </w:p>
    <w:p>
      <w:pPr>
        <w:pStyle w:val="Heading2"/>
        <w:keepNext/>
        <w:widowControl/>
      </w:pPr>
      <w:bookmarkStart w:id="4" w:name="HCC_B4"/>
      <w:r>
        <w:t xml:space="preserve">HCC-B4 — Can a survival-benefit score influence organ priority?</w:t>
      </w:r>
      <w:bookmarkEnd w:id="4"/>
    </w:p>
    <w:p>
      <w:pPr>
        <w:pStyle w:val="Normal"/>
        <w:widowControl/>
        <w:spacing w:before="60" w:after="20"/>
      </w:pPr>
      <w:r>
        <w:t xml:space="preserve">OPEN — evidence review first; institutional decision remains blank.</w:t>
      </w:r>
    </w:p>
    <w:p>
      <w:pPr>
        <w:pStyle w:val="Normal"/>
        <w:widowControl/>
        <w:spacing w:before="60" w:after="20"/>
      </w:pPr>
      <w:hyperlink r:id="rId129">
        <w:r>
          <w:rPr>
            <w:color w:val="77230C"/>
            <w:sz w:val="20"/>
            <w:u w:val="single"/>
          </w:rPr>
          <w:t>Corresponding protocol / boundary addendum</w:t>
        </w:r>
      </w:hyperlink>
    </w:p>
    <w:p>
      <w:pPr>
        <w:pStyle w:val="Heading3"/>
        <w:keepNext/>
        <w:widowControl/>
      </w:pPr>
      <w:r>
        <w:t xml:space="preserve">Question and comparison</w:t>
      </w:r>
    </w:p>
    <w:p>
      <w:pPr>
        <w:pStyle w:val="Normal"/>
        <w:widowControl/>
        <w:spacing w:before="60" w:after="20"/>
      </w:pPr>
      <w:r>
        <w:t xml:space="preserve">HCC candidates under existing US allocation pathways, including whether results can transport to expanded-risk or LDLT cohorts; compare model-informed eligibility/priority with current policy. Evaluate calibration, causal estimand, treatment timing, clinical utility, equity and prospective impact—not only discrimination or correlation.</w:t>
      </w:r>
    </w:p>
    <w:p>
      <w:pPr>
        <w:pStyle w:val="Heading3"/>
        <w:keepNext/>
        <w:widowControl/>
      </w:pPr>
      <w:r>
        <w:t xml:space="preserve">Search scope and evidence access</w:t>
      </w:r>
    </w:p>
    <w:p>
      <w:pPr>
        <w:pStyle w:val="Normal"/>
        <w:widowControl/>
        <w:spacing w:before="60" w:after="20"/>
      </w:pPr>
      <w:r>
        <w:t xml:space="preserve">Reviewed the 2026 Liu model, its overlapping 2025 registry predecessor, European HCC benefit modeling, a longitudinal US benefit model, UK real-world allocation implementation and a 2026 causal-methods study. These sources address different populations and estimands; none provides independent validation of the exact 2026 score in PVTT/high-risk LDLT.</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fldChar w:fldCharType="begin"/>
            </w:r>
            <w:r>
              <w:instrText xml:space="preserve"> ADDIN EN.CITE </w:instrText>
            </w:r>
            <w:r>
              <w:fldChar w:fldCharType="begin">
                <w:fldData>PEVuZE5vdGU+PENpdGU+PEF1dGhvcj5MaXU8L0F1dGhvcj48WWVhcj4yMDI2PC9ZZWFyPjxSZWNOdW0+MzE8L1JlY051bT48RGlzcGxheVRleHQ+W1YxMi0zMV08L0Rpc3BsYXlUZXh0PjxyZWNvcmQ+PHJlYy1udW1iZXI+MzE8L3JlYy1udW1iZXI+PGZvcmVpZ24ta2V5cz48a2V5IGFwcD0iRU4iIGRiLWlkPSJhM2FhZmRmYy02YzE4LTUyMmMtOGE2OC1mYTBhZDI4ZjUxZDIiIHRpbWVzdGFtcD0iMTc5MjkyMTA4NyI+MzE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SRTR 2002–2022 HCC cohort restricted to Milan: 30,565 candidates, randomly split into development 15,282 and internal validation 15,283. Table 1 records 19,997 LT and 8,249 dropout events.</w:t>
            </w:r>
          </w:p>
          <w:p>
            <w:pPr>
              <w:pStyle w:val="Normal"/>
              <w:widowControl/>
              <w:spacing w:before="60" w:after="20"/>
            </w:pPr>
            <w:r>
              <w:t xml:space="preserve">Selection: DDLT pathway; LDLT excluded. The 30,565 are not all transplanted recipients despite inconsistent Methods wording.</w:t>
            </w:r>
          </w:p>
          <w:p>
            <w:pPr>
              <w:pStyle w:val="Normal"/>
              <w:widowControl/>
              <w:spacing w:before="60" w:after="20"/>
            </w:pPr>
            <w:hyperlink r:id="rId130">
              <w:r>
                <w:rPr>
                  <w:color w:val="77230C"/>
                  <w:sz w:val="20"/>
                  <w:u w:val="single"/>
                </w:rPr>
                <w:t>Primary source</w:t>
              </w:r>
            </w:hyperlink>
            <w:r>
              <w:t xml:space="preserve"> | </w:t>
            </w:r>
            <w:hyperlink r:id="rId131">
              <w:r>
                <w:rPr>
                  <w:color w:val="77230C"/>
                  <w:sz w:val="20"/>
                  <w:u w:val="single"/>
                </w:rPr>
                <w:t>Full-text PDF</w:t>
              </w:r>
            </w:hyperlink>
          </w:p>
          <w:p>
            <w:pPr>
              <w:pStyle w:val="Normal"/>
              <w:widowControl/>
              <w:spacing w:before="60" w:after="20"/>
            </w:pPr>
            <w:r>
              <w:t xml:space="preserve">Locator: Complete local PDF pp2–5, §§1.3, 1.6, 1.8 and 2.3, Table 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Proposed score: 0.65×(C-MELD−6)+1.99×(TBS−2.25)+0.68×log2(AFP). Reported internal correlation .93, R² .87 and C-index .91.</w:t>
            </w:r>
          </w:p>
          <w:p>
            <w:pPr>
              <w:pStyle w:val="Normal"/>
              <w:widowControl/>
              <w:spacing w:before="60" w:after="20"/>
            </w:pPr>
            <w:r>
              <w:rPr>
                <w:b/>
              </w:rPr>
              <w:t xml:space="preserve">Do not infer: </w:t>
            </w:r>
            <w:r>
              <w:t xml:space="preserve">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tc>
      </w:tr>
      <w:tr>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t xml:space="preserve"> </w:t>
            </w:r>
            <w:r>
              <w:fldChar w:fldCharType="begin"/>
            </w:r>
            <w:r>
              <w:instrText xml:space="preserve"> ADDIN EN.CITE </w:instrText>
            </w:r>
            <w:r>
              <w:fldChar w:fldCharType="begin">
                <w:fldData>PEVuZE5vdGU+PENpdGU+PEF1dGhvcj5MaXU8L0F1dGhvcj48WWVhcj4yMDI1PC9ZZWFyPjxSZWNOdW0+MzI8L1JlY051bT48RGlzcGxheVRleHQ+W1YxMi0zMl08L0Rpc3BsYXlUZXh0PjxyZWNvcmQ+PHJlYy1udW1iZXI+MzI8L3JlYy1udW1iZXI+PGZvcmVpZ24ta2V5cz48a2V5IGFwcD0iRU4iIGRiLWlkPSJhM2FhZmRmYy02YzE4LTUyMmMtOGE2OC1mYTBhZDI4ZjUxZDIiIHRpbWVzdGFtcD0iMTc5MjkyMTA4NyI+MzI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p>
          <w:p>
            <w:pPr>
              <w:pStyle w:val="Normal"/>
              <w:widowControl/>
              <w:spacing w:before="60" w:after="20"/>
            </w:pPr>
            <w:r>
              <w:t xml:space="preserve">SRTR cohort of 36,634 adult HCC exception applicants listed during 2002–2019, followed through December 2023. TBS = sqrt (largest diameter squared + lesion count squared) at first exception; groups ≤3 (19,403), &gt;3 to ≤5 (14,689), and &gt;5 (2,542). Of all candidates, 91.0% were within Milan, 5.3% beyond Milan but within UCSF, and 3.6% beyond UCSF.</w:t>
            </w:r>
          </w:p>
          <w:p>
            <w:pPr>
              <w:pStyle w:val="Normal"/>
              <w:widowControl/>
              <w:spacing w:before="60" w:after="20"/>
            </w:pPr>
            <w:hyperlink r:id="rId132">
              <w:r>
                <w:rPr>
                  <w:color w:val="77230C"/>
                  <w:sz w:val="20"/>
                  <w:u w:val="single"/>
                </w:rPr>
                <w:t>Primary source</w:t>
              </w:r>
            </w:hyperlink>
            <w:r>
              <w:t xml:space="preserve"> | </w:t>
            </w:r>
            <w:hyperlink r:id="rId133">
              <w:r>
                <w:rPr>
                  <w:color w:val="77230C"/>
                  <w:sz w:val="20"/>
                  <w:u w:val="single"/>
                </w:rPr>
                <w:t>Full-text PDF</w:t>
              </w:r>
            </w:hyperlink>
          </w:p>
          <w:p>
            <w:pPr>
              <w:pStyle w:val="Normal"/>
              <w:widowControl/>
              <w:spacing w:before="60" w:after="20"/>
            </w:pPr>
            <w:r>
              <w:t xml:space="preserve">Locator: PDF pp 4–5 methods/time origins; p 6 Figure 1 and results; p 7 Table 1; pp 8–11 Figures 2–4, Table 2 caption and limitations</w:t>
            </w:r>
          </w:p>
          <w:p>
            <w:pPr>
              <w:pStyle w:val="Normal"/>
              <w:widowControl/>
              <w:spacing w:before="60" w:after="20"/>
            </w:pPr>
            <w:r>
              <w:t xml:space="preserve">Review depth: Complete main-paper full text reviewed; image-based Table 2 also visually inspected;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 mean differences were 15.7, 22.1 and 25.0 months for low/intermediate/high TBS. Adjusted five-year survival-probability differences were 21.9, 34.5 and 39.4 percentage points. Five-year post-LT OS was 77.2%, 72.9% and 70.9%. Crude dropout counts were 4,585/19,403, 4,178/14,689 and 819/2,542. Time-dependent LT interaction HR 0.68 (95% CI 0.59–0.78); adjusted LT-associated death HRs 0.36, 0.27 and 0.22 by ascending TBS. Safety: Higher tumor burden was associated with higher dropout and modestly worse recipient survival/RFS. This is not an intervention trial and does not quantify harms caused by a new allocation policy.</w:t>
            </w:r>
          </w:p>
          <w:p>
            <w:pPr>
              <w:pStyle w:val="Normal"/>
              <w:widowControl/>
              <w:spacing w:before="60" w:after="20"/>
            </w:pPr>
            <w:r>
              <w:rPr>
                <w:b/>
              </w:rPr>
              <w:t xml:space="preserve">Do not infer: </w:t>
            </w:r>
            <w:r>
              <w:t xml:space="preserve">Registry association with residual selection, changing allocation/treatment eras, missingness and limited tumor-response/pathology data. Unadjusted curve differences do not share a common treatment-decision time origin; the time-dependent interaction analysis should not be misdescribed as ignoring transplant timing. No prospective deployment or validation in prior PVTT/ICI-expanded cohorts. Text reports median follow-up 53.9 months while Figure 1 reports 31.0; the text describes imputation but Figure 1 excludes 706 recipient records. Figure 2 risk-table group counts differ from Table 1 and increase across some times, so do not reuse those risk counts. Figure 4 uncertainty is called IQR in the caption/text but CI within the graphic.</w:t>
            </w:r>
          </w:p>
        </w:tc>
      </w:tr>
      <w:tr>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t xml:space="preserve"> </w:t>
            </w:r>
            <w:r>
              <w:fldChar w:fldCharType="begin"/>
            </w:r>
            <w:r>
              <w:instrText xml:space="preserve"> ADDIN EN.CITE </w:instrText>
            </w:r>
            <w:r>
              <w:fldChar w:fldCharType="begin">
                <w:fldData>PEVuZE5vdGU+PENpdGU+PEF1dGhvcj5MYWk8L0F1dGhvcj48WWVhcj4yMDE3PC9ZZWFyPjxSZWNOdW0+MzM8L1JlY051bT48RGlzcGxheVRleHQ+W1YxMi0zM108L0Rpc3BsYXlUZXh0PjxyZWNvcmQ+PHJlYy1udW1iZXI+MzM8L3JlYy1udW1iZXI+PGZvcmVpZ24ta2V5cz48a2V5IGFwcD0iRU4iIGRiLWlkPSJhM2FhZmRmYy02YzE4LTUyMmMtOGE2OC1mYTBhZDI4ZjUxZDIiIHRpbWVzdGFtcD0iMTc5MjkyMTA4NyI+MzM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p>
          <w:p>
            <w:pPr>
              <w:pStyle w:val="Normal"/>
              <w:widowControl/>
              <w:spacing w:before="60" w:after="20"/>
            </w:pPr>
            <w:r>
              <w:t xml:space="preserve">Ten-European-center retrospective cohort of 2,103 adults listed during 1987–2015 who had either undergone LT or dropped out during that period. There were 636 initially beyond-Milan patients and 1,754 treated with locoregional therapy; 1,857 underwent LT and 246 dropped out. Center selection remained within UCSF, up-to-seven or Tokyo criteria, with maximal observed target diameter 6.5 cm and 10 nodules.</w:t>
            </w:r>
          </w:p>
          <w:p>
            <w:pPr>
              <w:pStyle w:val="Normal"/>
              <w:widowControl/>
              <w:spacing w:before="60" w:after="20"/>
            </w:pPr>
            <w:hyperlink r:id="rId134">
              <w:r>
                <w:rPr>
                  <w:color w:val="77230C"/>
                  <w:sz w:val="20"/>
                  <w:u w:val="single"/>
                </w:rPr>
                <w:t>Primary source</w:t>
              </w:r>
            </w:hyperlink>
            <w:r>
              <w:t xml:space="preserve"> | </w:t>
            </w:r>
            <w:hyperlink r:id="rId135">
              <w:r>
                <w:rPr>
                  <w:color w:val="77230C"/>
                  <w:sz w:val="20"/>
                  <w:u w:val="single"/>
                </w:rPr>
                <w:t>Full-text PDF</w:t>
              </w:r>
            </w:hyperlink>
          </w:p>
          <w:p>
            <w:pPr>
              <w:pStyle w:val="Normal"/>
              <w:widowControl/>
              <w:spacing w:before="60" w:after="20"/>
            </w:pPr>
            <w:r>
              <w:t xml:space="preserve">Locator: PDF pp 2–4 selection, model construction and Table 1; pp 5–7 Tables 2–3 and benefit strata; pp 8–9 delisting claims and limitations</w:t>
            </w:r>
          </w:p>
          <w:p>
            <w:pPr>
              <w:pStyle w:val="Normal"/>
              <w:widowControl/>
              <w:spacing w:before="60" w:after="20"/>
            </w:pPr>
            <w:r>
              <w:t xml:space="preserve">Review depth: Complete main-paper full text reviewed; separate supporting data/models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derived strata contained 405 patients (19.2%) with rounded estimated benefit 0 months, 897 (42.7%) with 20 months, 693 (33.0%) with 40 months, and 108 (5.1%) with 60 months. The four low-benefit factors were MELD ≤13, within-Milan status, mRECIST progression OR complete response, and AFP ≥1,000 ng/mL. There were 242 recurrences among 1,857 recipients (13.0%); 16.1% uses only 1,504 recipients with &gt;1-year follow-up. Safety: The paper proposes delisting its modelled no-benefit group, including complete responders with low MELD; this was not prospectively tested and could deny benefit to patients with residual occult disease or future decompensation.</w:t>
            </w:r>
          </w:p>
          <w:p>
            <w:pPr>
              <w:pStyle w:val="Normal"/>
              <w:widowControl/>
              <w:spacing w:before="60" w:after="20"/>
            </w:pPr>
            <w:r>
              <w:rPr>
                <w:b/>
              </w:rPr>
              <w:t xml:space="preserve">Do not infer: </w:t>
            </w:r>
            <w:r>
              <w:t xml:space="preserve">Non-LT survival is externally model-imputed rather than directly observed; last-evaluation covariates can encode information unavailable at initial listing. Retrospective 30-year cohort, heterogeneous selection and treatment, and no independent validation of the derived benefit strata or prospective delisting policy. The article alternately calls some subgroup summaries means and medians; avoid false numerical precision. Full coefficients/assumptions are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t xml:space="preserve"> </w:t>
            </w:r>
            <w:r>
              <w:fldChar w:fldCharType="begin"/>
            </w:r>
            <w:r>
              <w:instrText xml:space="preserve"> ADDIN EN.CITE </w:instrText>
            </w:r>
            <w:r>
              <w:fldChar w:fldCharType="begin">
                <w:fldData>PEVuZE5vdGU+PENpdGU+PEF1dGhvcj5Hb3Vkc21pdDwvQXV0aG9yPjxZZWFyPjIwMjM8L1llYXI+PFJlY051bT4zNDwvUmVjTnVtPjxEaXNwbGF5VGV4dD5bVjEyLTM0XTwvRGlzcGxheVRleHQ+PHJlY29yZD48cmVjLW51bWJlcj4zNDwvcmVjLW51bWJlcj48Zm9yZWlnbi1rZXlzPjxrZXkgYXBwPSJFTiIgZGItaWQ9ImEzYWFmZGZjLTZjMTgtNTIyYy04YTY4LWZhMGFkMjhmNTFkMiIgdGltZXN0YW1wPSIxNzkyOTIxMDg3Ij4zND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[V12-34]</w:t>
            </w:r>
            <w:r>
              <w:fldChar w:fldCharType="end"/>
            </w:r>
          </w:p>
          <w:p>
            <w:pPr>
              <w:pStyle w:val="Normal"/>
              <w:widowControl/>
              <w:spacing w:before="60" w:after="20"/>
            </w:pPr>
            <w:r>
              <w:t xml:space="preserve">US UNOS first-LT candidates, 2010–April 2019; graphical abstract reports 83,395 eligible listed patients. Exclusions included previous LT, acute liver failure, living-donor listings, multiorgan LT, non-HCC malignancy and non-HCC exception indications. Recipient Table 1 reports 24,503 non-HCC, 6,922 T2 HCC and 5,448 HCC initially outside Milan.</w:t>
            </w:r>
          </w:p>
          <w:p>
            <w:pPr>
              <w:pStyle w:val="Normal"/>
              <w:widowControl/>
              <w:spacing w:before="60" w:after="20"/>
            </w:pPr>
            <w:hyperlink r:id="rId136">
              <w:r>
                <w:rPr>
                  <w:color w:val="77230C"/>
                  <w:sz w:val="20"/>
                  <w:u w:val="single"/>
                </w:rPr>
                <w:t>Primary source</w:t>
              </w:r>
            </w:hyperlink>
            <w:r>
              <w:t xml:space="preserve"> | </w:t>
            </w:r>
            <w:hyperlink r:id="rId137">
              <w:r>
                <w:rPr>
                  <w:color w:val="77230C"/>
                  <w:sz w:val="20"/>
                  <w:u w:val="single"/>
                </w:rPr>
                <w:t>Full-text PDF</w:t>
              </w:r>
            </w:hyperlink>
          </w:p>
          <w:p>
            <w:pPr>
              <w:pStyle w:val="Normal"/>
              <w:widowControl/>
              <w:spacing w:before="60" w:after="20"/>
            </w:pPr>
            <w:r>
              <w:t xml:space="preserve">Locator: PDF p 3 methods and exclusions; p 4 calculator restriction/Table 1; pp 5–6 performance and Table 2; pp 7–8 discussion/limitations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Mean five-year estimated benefit was 2.30 years for non-HCC, 1.19 for T2 HCC and 1.45 for initially outside-Milan HCC. At the same MELD (-Na) below 30, HCC patients had more estimated benefit than non-HCC, but HCC recipients generally had lower MELD. Waiting-list AUROC was 0.86; post-LT AUROC approximately 0.619. Simplified calculator optimism-corrected R² was 0.93 against model-generated benefit, not a directly observed individual causal benefit. Safety: Allocation opportunity cost is inferred from the recipient case mix; the study did not implement a new policy or measure harms from model-led allocation. Low liver reserve and high tumor burden can lower recipient outcomes even when estimated no-LT survival is poor.</w:t>
            </w:r>
          </w:p>
          <w:p>
            <w:pPr>
              <w:pStyle w:val="Normal"/>
              <w:widowControl/>
              <w:spacing w:before="60" w:after="20"/>
            </w:pPr>
            <w:r>
              <w:rPr>
                <w:b/>
              </w:rPr>
              <w:t xml:space="preserve">Do not infer: </w:t>
            </w:r>
            <w:r>
              <w:t xml:space="preserve">No prospective or geographically independent deployment validation; excludes living-donor and non-HCC exception populations. Registry limits include incomplete five-year follow-up, policy-era change and inadequate recurrence detail. HCC MELD ≥30 estimates are sparse. Table 2 totals T2 HCC as 6,992 versus Table 1's 6,922, and its HCC strata have duplicated benefit values despite differing overall means; avoid reconstructing a calculator from printed aggregate tables. Model R² measures approximation of model outputs, not calibration of individual causal benefit.</w:t>
            </w:r>
          </w:p>
        </w:tc>
      </w:tr>
      <w:tr>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t xml:space="preserve"> </w:t>
            </w:r>
            <w:r>
              <w:fldChar w:fldCharType="begin"/>
            </w:r>
            <w:r>
              <w:instrText xml:space="preserve"> ADDIN EN.CITE </w:instrText>
            </w:r>
            <w:r>
              <w:fldChar w:fldCharType="begin">
                <w:fldData>PEVuZE5vdGU+PENpdGU+PEF1dGhvcj5BbGxlbjwvQXV0aG9yPjxZZWFyPjIwMjQ8L1llYXI+PFJlY051bT4zNTwvUmVjTnVtPjxEaXNwbGF5VGV4dD5bVjEyLTM1XTwvRGlzcGxheVRleHQ+PHJlY29yZD48cmVjLW51bWJlcj4zNTwvcmVjLW51bWJlcj48Zm9yZWlnbi1rZXlzPjxrZXkgYXBwPSJFTiIgZGItaWQ9ImEzYWFmZGZjLTZjMTgtNTIyYy04YTY4LWZhMGFkMjhmNTFkMiIgdGltZXN0YW1wPSIxNzkyOTIxMDg3Ij4z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[V12-35]</w:t>
            </w:r>
            <w:r>
              <w:fldChar w:fldCharType="end"/>
            </w:r>
          </w:p>
          <w:p>
            <w:pPr>
              <w:pStyle w:val="Normal"/>
              <w:widowControl/>
              <w:spacing w:before="60" w:after="20"/>
            </w:pPr>
            <w:r>
              <w:t xml:space="preserve">UK National Liver Offering Scheme development and before/after implementation study. Waiting-list models: 3,859 non-cancer and 660 cancer registrations; post-LT models: 2,495 non-cancer and 430 cancer recipients. The separate 2013 simulation cohort comprised 1,287 registrations and 629 donors.</w:t>
            </w:r>
          </w:p>
          <w:p>
            <w:pPr>
              <w:pStyle w:val="Normal"/>
              <w:widowControl/>
              <w:spacing w:before="60" w:after="20"/>
            </w:pPr>
            <w:hyperlink r:id="rId138">
              <w:r>
                <w:rPr>
                  <w:color w:val="77230C"/>
                  <w:sz w:val="20"/>
                  <w:u w:val="single"/>
                </w:rPr>
                <w:t>Primary source</w:t>
              </w:r>
            </w:hyperlink>
            <w:r>
              <w:t xml:space="preserve"> | </w:t>
            </w:r>
            <w:hyperlink r:id="rId139">
              <w:r>
                <w:rPr>
                  <w:color w:val="77230C"/>
                  <w:sz w:val="20"/>
                  <w:u w:val="single"/>
                </w:rPr>
                <w:t>Full-text PDF</w:t>
              </w:r>
            </w:hyperlink>
          </w:p>
          <w:p>
            <w:pPr>
              <w:pStyle w:val="Normal"/>
              <w:widowControl/>
              <w:spacing w:before="60" w:after="20"/>
            </w:pPr>
            <w:r>
              <w:t xml:space="preserve">Locator: PDF pp 3–5: cohorts, censoring, endpoints and simulation assumptions; p 6 Tables 2–3; p 7 Table 4/Figure 1 and HCC subgroup; pp 8–9 limitations/revision</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observed 2013 allocation had 93 deaths/removals and 4,581 patient-years; benefit-based simulation predicted 48 deaths/removals and 5,262 patient-years. Need-based simulation predicted the same 48 deaths/removals and 5,187 patient-years. Actual six-month death/deterioration removals fell from 118/1,395 (8%) to 66/1,480 (4%). Six-month survival from listing rose from 86% to 91% (P = .0049), but the HCC-specific comparison was not statistically significant. In the first two years, 68% of DBD livers were offered using the score. Safety: The model can disadvantage particular groups; the authors describe concerns that transplant-free survival in HCC was overestimated and report subsequent model revision. DBD median cold ischemia increased from 8.6 to 9.0 hours in descriptive monitoring; this is not an isolated causal score effect.</w:t>
            </w:r>
          </w:p>
          <w:p>
            <w:pPr>
              <w:pStyle w:val="Normal"/>
              <w:widowControl/>
              <w:spacing w:before="60" w:after="20"/>
            </w:pPr>
            <w:r>
              <w:rPr>
                <w:b/>
              </w:rPr>
              <w:t xml:space="preserve">Do not infer: </w:t>
            </w:r>
            <w:r>
              <w:t xml:space="preserve">Simulated patient-years are not observed life-years gained. The implementation was a multifaceted national process change without randomization. Figure 1 labels the post cohort 1,489 whereas Table 4 and the 2,875 total imply 1,480. Model cancer groups included several indications; no validation specifically establishes safety for US expanded HCC, treated PVTT, or an individual living donor decision. HCC-specific survival improvement was nonsignificant. Detailed coefficients and subgroup results reside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t xml:space="preserve"> </w:t>
            </w:r>
            <w:r>
              <w:fldChar w:fldCharType="begin"/>
            </w:r>
            <w:r>
              <w:instrText xml:space="preserve"> ADDIN EN.CITE </w:instrText>
            </w:r>
            <w:r>
              <w:fldChar w:fldCharType="begin">
                <w:fldData>PEVuZE5vdGU+PENpdGU+PEF1dGhvcj5Qcm9zZXBlPC9BdXRob3I+PFllYXI+MjAyNjwvWWVhcj48UmVjTnVtPjM2PC9SZWNOdW0+PERpc3BsYXlUZXh0PltWMTItMzZdPC9EaXNwbGF5VGV4dD48cmVjb3JkPjxyZWMtbnVtYmVyPjM2PC9yZWMtbnVtYmVyPjxmb3JlaWduLWtleXM+PGtleSBhcHA9IkVOIiBkYi1pZD0iYTNhYWZkZmMtNmMxOC01MjJjLThhNjgtZmEwYWQyOGY1MWQyIiB0aW1lc3RhbXA9IjE3OTI5MjEwODciPjM2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p>
          <w:p>
            <w:pPr>
              <w:pStyle w:val="Normal"/>
              <w:widowControl/>
              <w:spacing w:before="60" w:after="20"/>
            </w:pPr>
            <w:r>
              <w:t xml:space="preserve">Methodological study with 200 simulations of 2,500 patients and an application to 9,868 Eurotransplant chronic-cirrhosis patients followed during 2007–2019. Of the clinical cohort, 4,998 received LT, 3,013 died before LT, and 1,361 died within three years after LT. Detailed selection criteria are in the separate supplement.</w:t>
            </w:r>
          </w:p>
          <w:p>
            <w:pPr>
              <w:pStyle w:val="Normal"/>
              <w:widowControl/>
              <w:spacing w:before="60" w:after="20"/>
            </w:pPr>
            <w:hyperlink r:id="rId140">
              <w:r>
                <w:rPr>
                  <w:color w:val="77230C"/>
                  <w:sz w:val="20"/>
                  <w:u w:val="single"/>
                </w:rPr>
                <w:t>Primary source</w:t>
              </w:r>
            </w:hyperlink>
            <w:r>
              <w:t xml:space="preserve"> | </w:t>
            </w:r>
            <w:hyperlink r:id="rId141">
              <w:r>
                <w:rPr>
                  <w:color w:val="77230C"/>
                  <w:sz w:val="20"/>
                  <w:u w:val="single"/>
                </w:rPr>
                <w:t>Full-text PDF</w:t>
              </w:r>
            </w:hyperlink>
          </w:p>
          <w:p>
            <w:pPr>
              <w:pStyle w:val="Normal"/>
              <w:widowControl/>
              <w:spacing w:before="60" w:after="20"/>
            </w:pPr>
            <w:r>
              <w:t xml:space="preserve">Locator: PDF pp 3–6 estimand and identifiability assumptions; pp 7–9 simulation; pp 9–11 registry application and projected gain; pp 12–13 limitations and missing oncologic variables</w:t>
            </w:r>
          </w:p>
          <w:p>
            <w:pPr>
              <w:pStyle w:val="Normal"/>
              <w:widowControl/>
              <w:spacing w:before="60" w:after="20"/>
            </w:pPr>
            <w:r>
              <w:t xml:space="preserve">Review depth: Complete main-paper full text reviewed; mathematical proof, selection details and model coefficients in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proposed weighted method reduced simulation bias relative to baseline-only and unweighted cross-section methods. Applying the fitted model back to the same registry data, selecting the highest predicted benefit rather than highest MELD yielded an estimated extra 0.46 life-years per organ over a three-year horizon. The extrapolated approximately 2,300 life-years is a model projection over roughly 5,000 transplants, not observed benefit. Safety: The model does not directly establish the opportunity costs or population dynamics of changing allocation across future dates. Maximizing benefit at each current offer is not necessarily the optimal longitudinal national policy.</w:t>
            </w:r>
          </w:p>
          <w:p>
            <w:pPr>
              <w:pStyle w:val="Normal"/>
              <w:widowControl/>
              <w:spacing w:before="60" w:after="20"/>
            </w:pPr>
            <w:r>
              <w:rPr>
                <w:b/>
              </w:rPr>
              <w:t xml:space="preserve">Do not infer: </w:t>
            </w:r>
            <w:r>
              <w:t xml:space="preserve">Causal interpretation requires consistency, positivity, conditional exchangeability and correct treatment/outcome models. Performance was not externally validated; real-data predictions were applied to the same patients/dates. Oncologic parameters, sodium and albumin were not routinely collected and omitted. There is no demonstrated calibration in HCC-expanded/PVTT or post-ICI candidates. Full application selection and coefficients remain in the unread supplement. Scarcity dynamics, future organ availability and quality-of-life indications need separate modeling.</w:t>
            </w:r>
          </w:p>
        </w:tc>
      </w:tr>
    </w:tbl>
    <w:p>
      <w:pPr>
        <w:pStyle w:val="Heading3"/>
        <w:keepNext/>
        <w:widowControl/>
      </w:pPr>
      <w:r>
        <w:t xml:space="preserve">Synthesis and evidence that challenges the proposal</w:t>
      </w:r>
    </w:p>
    <w:p>
      <w:pPr>
        <w:pStyle w:val="Normal"/>
        <w:widowControl/>
        <w:spacing w:before="60" w:after="20"/>
      </w:pPr>
      <w:r>
        <w:t xml:space="preserve">Benefit estimands differ: Liu reports both restricted-mean months and adjusted survival-probability percentage points; Lai uses MESIAH-imputed no-LT median survival; Goudsmit estimates recipient-conditioned five-year life-years at LT; Prosepe estimates three-year conditional benefit at donor availability. Allen provides real national implementation monitoring but no significant HCC-specific survival improvement and no validation in US expanded HCC/PVTT. These are not interchangeable scores.</w:t>
      </w:r>
      <w:r>
        <w:t xml:space="preserve"> </w:t>
      </w:r>
      <w:r>
        <w:t xml:space="preserve"> </w:t>
      </w:r>
      <w:r>
        <w:fldChar w:fldCharType="begin"/>
      </w:r>
      <w:r>
        <w:instrText xml:space="preserve"> ADDIN EN.CITE </w:instrText>
      </w:r>
      <w:r>
        <w:fldChar w:fldCharType="begin">
          <w:fldData>PEVuZE5vdGU+PENpdGU+PEF1dGhvcj5MaXU8L0F1dGhvcj48WWVhcj4yMDI2PC9ZZWFyPjxSZWNOdW0+MzE8L1JlY051bT48RGlzcGxheVRleHQ+W1YxMi0zMV08L0Rpc3BsYXlUZXh0PjxyZWNvcmQ+PHJlYy1udW1iZXI+MzE8L3JlYy1udW1iZXI+PGZvcmVpZ24ta2V5cz48a2V5IGFwcD0iRU4iIGRiLWlkPSJhM2FhZmRmYy02YzE4LTUyMmMtOGE2OC1mYTBhZDI4ZjUxZDIiIHRpbWVzdGFtcD0iMTc5MjkyMTA4NyI+MzE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r>
        <w:t xml:space="preserve"> </w:t>
      </w:r>
      <w:r>
        <w:t xml:space="preserve"> </w:t>
      </w:r>
      <w:r>
        <w:fldChar w:fldCharType="begin"/>
      </w:r>
      <w:r>
        <w:instrText xml:space="preserve"> ADDIN EN.CITE </w:instrText>
      </w:r>
      <w:r>
        <w:fldChar w:fldCharType="begin">
          <w:fldData>PEVuZE5vdGU+PENpdGU+PEF1dGhvcj5MaXU8L0F1dGhvcj48WWVhcj4yMDI1PC9ZZWFyPjxSZWNOdW0+MzI8L1JlY051bT48RGlzcGxheVRleHQ+W1YxMi0zMl08L0Rpc3BsYXlUZXh0PjxyZWNvcmQ+PHJlYy1udW1iZXI+MzI8L3JlYy1udW1iZXI+PGZvcmVpZ24ta2V5cz48a2V5IGFwcD0iRU4iIGRiLWlkPSJhM2FhZmRmYy02YzE4LTUyMmMtOGE2OC1mYTBhZDI4ZjUxZDIiIHRpbWVzdGFtcD0iMTc5MjkyMTA4NyI+MzI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t xml:space="preserve"> </w:t>
      </w:r>
      <w:r>
        <w:t xml:space="preserve"> </w:t>
      </w:r>
      <w:r>
        <w:fldChar w:fldCharType="begin"/>
      </w:r>
      <w:r>
        <w:instrText xml:space="preserve"> ADDIN EN.CITE </w:instrText>
      </w:r>
      <w:r>
        <w:fldChar w:fldCharType="begin">
          <w:fldData>PEVuZE5vdGU+PENpdGU+PEF1dGhvcj5MYWk8L0F1dGhvcj48WWVhcj4yMDE3PC9ZZWFyPjxSZWNOdW0+MzM8L1JlY051bT48RGlzcGxheVRleHQ+W1YxMi0zM108L0Rpc3BsYXlUZXh0PjxyZWNvcmQ+PHJlYy1udW1iZXI+MzM8L3JlYy1udW1iZXI+PGZvcmVpZ24ta2V5cz48a2V5IGFwcD0iRU4iIGRiLWlkPSJhM2FhZmRmYy02YzE4LTUyMmMtOGE2OC1mYTBhZDI4ZjUxZDIiIHRpbWVzdGFtcD0iMTc5MjkyMTA4NyI+MzM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r>
        <w:t xml:space="preserve"> </w:t>
      </w:r>
      <w:r>
        <w:t xml:space="preserve"> </w:t>
      </w:r>
      <w:r>
        <w:fldChar w:fldCharType="begin"/>
      </w:r>
      <w:r>
        <w:instrText xml:space="preserve"> ADDIN EN.CITE </w:instrText>
      </w:r>
      <w:r>
        <w:fldChar w:fldCharType="begin">
          <w:fldData>PEVuZE5vdGU+PENpdGU+PEF1dGhvcj5Hb3Vkc21pdDwvQXV0aG9yPjxZZWFyPjIwMjM8L1llYXI+PFJlY051bT4zNDwvUmVjTnVtPjxEaXNwbGF5VGV4dD5bVjEyLTM0XTwvRGlzcGxheVRleHQ+PHJlY29yZD48cmVjLW51bWJlcj4zNDwvcmVjLW51bWJlcj48Zm9yZWlnbi1rZXlzPjxrZXkgYXBwPSJFTiIgZGItaWQ9ImEzYWFmZGZjLTZjMTgtNTIyYy04YTY4LWZhMGFkMjhmNTFkMiIgdGltZXN0YW1wPSIxNzkyOTIxMDg3Ij4zND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[V12-34]</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zNTwvUmVjTnVtPjxEaXNwbGF5VGV4dD5bVjEyLTM1XTwvRGlzcGxheVRleHQ+PHJlY29yZD48cmVjLW51bWJlcj4zNTwvcmVjLW51bWJlcj48Zm9yZWlnbi1rZXlzPjxrZXkgYXBwPSJFTiIgZGItaWQ9ImEzYWFmZGZjLTZjMTgtNTIyYy04YTY4LWZhMGFkMjhmNTFkMiIgdGltZXN0YW1wPSIxNzkyOTIxMDg3Ij4z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[V12-35]</w:t>
      </w:r>
      <w:r>
        <w:fldChar w:fldCharType="end"/>
      </w:r>
      <w:r>
        <w:t xml:space="preserve"> </w:t>
      </w:r>
      <w:r>
        <w:t xml:space="preserve"> </w:t>
      </w:r>
      <w:r>
        <w:fldChar w:fldCharType="begin"/>
      </w:r>
      <w:r>
        <w:instrText xml:space="preserve"> ADDIN EN.CITE </w:instrText>
      </w:r>
      <w:r>
        <w:fldChar w:fldCharType="begin">
          <w:fldData>PEVuZE5vdGU+PENpdGU+PEF1dGhvcj5Qcm9zZXBlPC9BdXRob3I+PFllYXI+MjAyNjwvWWVhcj48UmVjTnVtPjM2PC9SZWNOdW0+PERpc3BsYXlUZXh0PltWMTItMzZdPC9EaXNwbGF5VGV4dD48cmVjb3JkPjxyZWMtbnVtYmVyPjM2PC9yZWMtbnVtYmVyPjxmb3JlaWduLWtleXM+PGtleSBhcHA9IkVOIiBkYi1pZD0iYTNhYWZkZmMtNmMxOC01MjJjLThhNjgtZmEwYWQyOGY1MWQyIiB0aW1lc3RhbXA9IjE3OTI5MjEwODciPjM2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p>
    <w:p>
      <w:pPr>
        <w:pStyle w:val="Normal"/>
        <w:widowControl/>
        <w:numPr>
          <w:ilvl w:val="0"/>
          <w:numId w:val="3"/>
        </w:numPr>
        <w:spacing w:before="60" w:after="20"/>
      </w:pPr>
      <w:r>
        <w:t xml:space="preserve">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pStyle w:val="Normal"/>
        <w:widowControl/>
        <w:spacing w:before="60" w:after="20"/>
      </w:pPr>
      <w:r>
        <w:rPr>
          <w:b/>
        </w:rPr>
        <w:t xml:space="preserve">Certainty / applicability: </w:t>
      </w:r>
      <w:r>
        <w:t xml:space="preserve">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pStyle w:val="Heading3"/>
        <w:keepNext/>
        <w:widowControl/>
      </w:pPr>
      <w:r>
        <w:t xml:space="preserve">Where each proposed threshold comes from</w:t>
      </w:r>
    </w:p>
    <w:p>
      <w:pPr>
        <w:pStyle w:val="Normal"/>
        <w:widowControl/>
        <w:numPr>
          <w:ilvl w:val="0"/>
          <w:numId w:val="3"/>
        </w:numPr>
        <w:spacing w:before="60" w:after="20"/>
      </w:pPr>
      <w:r>
        <w:t xml:space="preserve">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fldChar w:fldCharType="begin"/>
            </w:r>
            <w:r>
              <w:instrText xml:space="preserve"> ADDIN EN.CITE </w:instrText>
            </w:r>
            <w:r>
              <w:fldChar w:fldCharType="begin">
                <w:fldData>PEVuZE5vdGU+PENpdGU+PEF1dGhvcj5MaXU8L0F1dGhvcj48WWVhcj4yMDI2PC9ZZWFyPjxSZWNOdW0+MzE8L1JlY051bT48RGlzcGxheVRleHQ+W1YxMi0zMV08L0Rpc3BsYXlUZXh0PjxyZWNvcmQ+PHJlYy1udW1iZXI+MzE8L3JlYy1udW1iZXI+PGZvcmVpZ24ta2V5cz48a2V5IGFwcD0iRU4iIGRiLWlkPSJhM2FhZmRmYy02YzE4LTUyMmMtOGE2OC1mYTBhZDI4ZjUxZDIiIHRpbWVzdGFtcD0iMTc5MjkyMTA4NyI+MzE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“developed and internally validated”</w:t>
            </w:r>
          </w:p>
          <w:p>
            <w:pPr>
              <w:pStyle w:val="Normal"/>
              <w:widowControl/>
              <w:spacing w:before="60" w:after="20"/>
            </w:pPr>
            <w:r>
              <w:t xml:space="preserve">Published PDF p2, introduction</w:t>
            </w:r>
          </w:p>
          <w:p>
            <w:pPr>
              <w:pStyle w:val="Normal"/>
              <w:widowControl/>
              <w:spacing w:before="60" w:after="20"/>
            </w:pPr>
            <w:hyperlink r:id="rId142">
              <w:r>
                <w:rPr>
                  <w:color w:val="77230C"/>
                  <w:sz w:val="20"/>
                  <w:u w:val="single"/>
                </w:rPr>
                <w:t>Source</w:t>
              </w:r>
            </w:hyperlink>
            <w:r>
              <w:t xml:space="preserve"> | </w:t>
            </w:r>
            <w:hyperlink r:id="rId14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split-sample internal assessment is not independent external validation.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fldChar w:fldCharType="begin"/>
            </w:r>
            <w:r>
              <w:instrText xml:space="preserve"> ADDIN EN.CITE </w:instrText>
            </w:r>
            <w:r>
              <w:fldChar w:fldCharType="begin">
                <w:fldData>PEVuZE5vdGU+PENpdGU+PEF1dGhvcj5MaXU8L0F1dGhvcj48WWVhcj4yMDI2PC9ZZWFyPjxSZWNOdW0+MzE8L1JlY051bT48RGlzcGxheVRleHQ+W1YxMi0zMV08L0Rpc3BsYXlUZXh0PjxyZWNvcmQ+PHJlYy1udW1iZXI+MzE8L3JlYy1udW1iZXI+PGZvcmVpZ24ta2V5cz48a2V5IGFwcD0iRU4iIGRiLWlkPSJhM2FhZmRmYy02YzE4LTUyMmMtOGE2OC1mYTBhZDI4ZjUxZDIiIHRpbWVzdGFtcD0iMTc5MjkyMTA4NyI+MzE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“Recipients of living donor liver transplantation (LDLT) were excluded”</w:t>
            </w:r>
          </w:p>
          <w:p>
            <w:pPr>
              <w:pStyle w:val="Normal"/>
              <w:widowControl/>
              <w:spacing w:before="60" w:after="20"/>
            </w:pPr>
            <w:r>
              <w:t xml:space="preserve">Published PDF p2, section 1.3</w:t>
            </w:r>
          </w:p>
          <w:p>
            <w:pPr>
              <w:pStyle w:val="Normal"/>
              <w:widowControl/>
              <w:spacing w:before="60" w:after="20"/>
            </w:pPr>
            <w:hyperlink r:id="rId144">
              <w:r>
                <w:rPr>
                  <w:color w:val="77230C"/>
                  <w:sz w:val="20"/>
                  <w:u w:val="single"/>
                </w:rPr>
                <w:t>Source</w:t>
              </w:r>
            </w:hyperlink>
            <w:r>
              <w:t xml:space="preserve"> | </w:t>
            </w:r>
            <w:hyperlink r:id="rId14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LDLT decisions are outside this model’s evaluated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Give the survival-benefit score zero clinical or allocation weight now; evaluate it in shadow mode only.</w:t>
      </w:r>
      <w:r>
        <w:t xml:space="preserve"> </w:t>
      </w:r>
      <w:r>
        <w:t xml:space="preserve"> </w:t>
      </w:r>
      <w:r>
        <w:fldChar w:fldCharType="begin"/>
      </w:r>
      <w:r>
        <w:instrText xml:space="preserve"> ADDIN EN.CITE </w:instrText>
      </w:r>
      <w:r>
        <w:fldChar w:fldCharType="begin">
          <w:fldData>PEVuZE5vdGU+PENpdGU+PEF1dGhvcj5MaXU8L0F1dGhvcj48WWVhcj4yMDI2PC9ZZWFyPjxSZWNOdW0+MzE8L1JlY051bT48RGlzcGxheVRleHQ+W1YxMi0zMV08L0Rpc3BsYXlUZXh0PjxyZWNvcmQ+PHJlYy1udW1iZXI+MzE8L3JlYy1udW1iZXI+PGZvcmVpZ24ta2V5cz48a2V5IGFwcD0iRU4iIGRiLWlkPSJhM2FhZmRmYy02YzE4LTUyMmMtOGE2OC1mYTBhZDI4ZjUxZDIiIHRpbWVzdGFtcD0iMTc5MjkyMTA4NyI+MzE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r>
        <w:t xml:space="preserve"> </w:t>
      </w:r>
      <w:r>
        <w:t xml:space="preserve"> </w:t>
      </w:r>
      <w:r>
        <w:fldChar w:fldCharType="begin"/>
      </w:r>
      <w:r>
        <w:instrText xml:space="preserve"> ADDIN EN.CITE </w:instrText>
      </w:r>
      <w:r>
        <w:fldChar w:fldCharType="begin">
          <w:fldData>PEVuZE5vdGU+PENpdGU+PEF1dGhvcj5MaXU8L0F1dGhvcj48WWVhcj4yMDI1PC9ZZWFyPjxSZWNOdW0+MzI8L1JlY051bT48RGlzcGxheVRleHQ+W1YxMi0zMl08L0Rpc3BsYXlUZXh0PjxyZWNvcmQ+PHJlYy1udW1iZXI+MzI8L3JlYy1udW1iZXI+PGZvcmVpZ24ta2V5cz48a2V5IGFwcD0iRU4iIGRiLWlkPSJhM2FhZmRmYy02YzE4LTUyMmMtOGE2OC1mYTBhZDI4ZjUxZDIiIHRpbWVzdGFtcD0iMTc5MjkyMTA4NyI+MzI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t xml:space="preserve"> </w:t>
      </w:r>
      <w:r>
        <w:t xml:space="preserve"> </w:t>
      </w:r>
      <w:r>
        <w:fldChar w:fldCharType="begin"/>
      </w:r>
      <w:r>
        <w:instrText xml:space="preserve"> ADDIN EN.CITE </w:instrText>
      </w:r>
      <w:r>
        <w:fldChar w:fldCharType="begin">
          <w:fldData>PEVuZE5vdGU+PENpdGU+PEF1dGhvcj5MYWk8L0F1dGhvcj48WWVhcj4yMDE3PC9ZZWFyPjxSZWNOdW0+MzM8L1JlY051bT48RGlzcGxheVRleHQ+W1YxMi0zM108L0Rpc3BsYXlUZXh0PjxyZWNvcmQ+PHJlYy1udW1iZXI+MzM8L3JlYy1udW1iZXI+PGZvcmVpZ24ta2V5cz48a2V5IGFwcD0iRU4iIGRiLWlkPSJhM2FhZmRmYy02YzE4LTUyMmMtOGE2OC1mYTBhZDI4ZjUxZDIiIHRpbWVzdGFtcD0iMTc5MjkyMTA4NyI+MzM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r>
        <w:t xml:space="preserve"> </w:t>
      </w:r>
      <w:r>
        <w:t xml:space="preserve"> </w:t>
      </w:r>
      <w:r>
        <w:fldChar w:fldCharType="begin"/>
      </w:r>
      <w:r>
        <w:instrText xml:space="preserve"> ADDIN EN.CITE </w:instrText>
      </w:r>
      <w:r>
        <w:fldChar w:fldCharType="begin">
          <w:fldData>PEVuZE5vdGU+PENpdGU+PEF1dGhvcj5Hb3Vkc21pdDwvQXV0aG9yPjxZZWFyPjIwMjM8L1llYXI+PFJlY051bT4zNDwvUmVjTnVtPjxEaXNwbGF5VGV4dD5bVjEyLTM0XTwvRGlzcGxheVRleHQ+PHJlY29yZD48cmVjLW51bWJlcj4zNDwvcmVjLW51bWJlcj48Zm9yZWlnbi1rZXlzPjxrZXkgYXBwPSJFTiIgZGItaWQ9ImEzYWFmZGZjLTZjMTgtNTIyYy04YTY4LWZhMGFkMjhmNTFkMiIgdGltZXN0YW1wPSIxNzkyOTIxMDg3Ij4zND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[V12-34]</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zNTwvUmVjTnVtPjxEaXNwbGF5VGV4dD5bVjEyLTM1XTwvRGlzcGxheVRleHQ+PHJlY29yZD48cmVjLW51bWJlcj4zNTwvcmVjLW51bWJlcj48Zm9yZWlnbi1rZXlzPjxrZXkgYXBwPSJFTiIgZGItaWQ9ImEzYWFmZGZjLTZjMTgtNTIyYy04YTY4LWZhMGFkMjhmNTFkMiIgdGltZXN0YW1wPSIxNzkyOTIxMDg3Ij4z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[V12-35]</w:t>
      </w:r>
      <w:r>
        <w:fldChar w:fldCharType="end"/>
      </w:r>
      <w:r>
        <w:t xml:space="preserve"> </w:t>
      </w:r>
      <w:r>
        <w:t xml:space="preserve"> </w:t>
      </w:r>
      <w:r>
        <w:fldChar w:fldCharType="begin"/>
      </w:r>
      <w:r>
        <w:instrText xml:space="preserve"> ADDIN EN.CITE </w:instrText>
      </w:r>
      <w:r>
        <w:fldChar w:fldCharType="begin">
          <w:fldData>PEVuZE5vdGU+PENpdGU+PEF1dGhvcj5Qcm9zZXBlPC9BdXRob3I+PFllYXI+MjAyNjwvWWVhcj48UmVjTnVtPjM2PC9SZWNOdW0+PERpc3BsYXlUZXh0PltWMTItMzZdPC9EaXNwbGF5VGV4dD48cmVjb3JkPjxyZWMtbnVtYmVyPjM2PC9yZWMtbnVtYmVyPjxmb3JlaWduLWtleXM+PGtleSBhcHA9IkVOIiBkYi1pZD0iYTNhYWZkZmMtNmMxOC01MjJjLThhNjgtZmEwYWQyOGY1MWQyIiB0aW1lc3RhbXA9IjE3OTI5MjEwODciPjM2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p>
    <w:p>
      <w:pPr>
        <w:pStyle w:val="Normal"/>
        <w:widowControl/>
        <w:numPr>
          <w:ilvl w:val="0"/>
          <w:numId w:val="3"/>
        </w:numPr>
      </w:pPr>
      <w:r>
        <w:t xml:space="preserve">Proposed decision threshold: no score-driven listing, exclusion, exception priority, organ acceptance, LDLT selection or treatment change before external validation and prospective impact review.</w:t>
      </w:r>
    </w:p>
    <w:p>
      <w:pPr>
        <w:pStyle w:val="Normal"/>
        <w:widowControl/>
        <w:numPr>
          <w:ilvl w:val="0"/>
          <w:numId w:val="3"/>
        </w:numPr>
      </w:pPr>
      <w:r>
        <w:t xml:space="preserve">Require a locked reproducible formula and data dictionary, clarification of the MELD/AFP definitions and time zero, independent external calibration and utility testing against current care, equity assessment, and appropriate policy authorization before deployment.</w:t>
      </w:r>
    </w:p>
    <w:p>
      <w:pPr>
        <w:pStyle w:val="Normal"/>
        <w:widowControl/>
        <w:numPr>
          <w:ilvl w:val="0"/>
          <w:numId w:val="3"/>
        </w:numPr>
      </w:pPr>
      <w:r>
        <w:t xml:space="preserve">Do not extrapolate the within-Milan, non-LDLT model to PVTT, LDLT or other cancers.</w:t>
      </w:r>
    </w:p>
    <w:p>
      <w:pPr>
        <w:pStyle w:val="Normal"/>
        <w:widowControl/>
        <w:numPr>
          <w:ilvl w:val="1"/>
          <w:numId w:val="3"/>
        </w:numPr>
        <w:spacing w:before="60" w:after="20"/>
      </w:pPr>
      <w:r>
        <w:t xml:space="preserve">No numerical score cutoff is proposed because its clinical use is not yet justified.</w:t>
      </w:r>
    </w:p>
    <w:p>
      <w:pPr>
        <w:pStyle w:val="Normal"/>
        <w:widowControl/>
        <w:spacing w:before="60" w:after="20"/>
      </w:pPr>
      <w:r>
        <w:rPr>
          <w:b/>
        </w:rPr>
        <w:t xml:space="preserve">Why retain or change it: </w:t>
      </w:r>
      <w:r>
        <w:t xml:space="preserve">Retain zero direct clinical/allocation weight in a shadow registry. Lock the exact model, units, decision time, donor assumptions and intended population. Before deployment require independent calibration, missing-data handling, decision-utility and equity analyses, prospective monitoring and institutional/allocation approval. No current model result overrides OPTN policy, donor protection or the biological eligibility gates.</w:t>
      </w:r>
    </w:p>
    <w:p>
      <w:pPr>
        <w:pStyle w:val="Heading3"/>
        <w:keepNext/>
        <w:widowControl/>
      </w:pPr>
      <w:r>
        <w:t xml:space="preserve">Information required before the decision</w:t>
      </w:r>
    </w:p>
    <w:p>
      <w:pPr>
        <w:pStyle w:val="Normal"/>
        <w:widowControl/>
        <w:spacing w:before="60" w:after="20"/>
      </w:pPr>
      <w:r>
        <w:t xml:space="preserve">Reproducible model code; independent cohort; time-dependent transplant analysis; competing-event definitions; calibration, utility and subgroup audit.</w:t>
      </w:r>
    </w:p>
    <w:p>
      <w:pPr>
        <w:pStyle w:val="Normal"/>
        <w:widowControl/>
        <w:spacing w:before="60" w:after="20"/>
      </w:pPr>
      <w:r>
        <w:rPr>
          <w:b/>
        </w:rPr>
        <w:t xml:space="preserve">Clinical versus allocation: </w:t>
      </w:r>
      <w:r>
        <w:t xml:space="preserve">Neither a model estimate nor an internal committee can independently rewrite national allocation priority.</w:t>
      </w:r>
    </w:p>
    <w:p>
      <w:pPr>
        <w:pStyle w:val="Normal"/>
        <w:widowControl/>
        <w:spacing w:before="60" w:after="20"/>
      </w:pPr>
      <w:r>
        <w:rPr>
          <w:b/>
        </w:rPr>
        <w:t xml:space="preserve">Roadmap / protocol reconciliation: </w:t>
      </w:r>
      <w:r>
        <w:t xml:space="preserve">Use the score only as a research output; the current clinical roadmap remains the decision authority.</w:t>
      </w:r>
    </w:p>
    <w:p>
      <w:pPr>
        <w:pStyle w:val="Heading3"/>
        <w:keepNext/>
        <w:widowControl/>
      </w:pPr>
      <w:r>
        <w:t xml:space="preserve">Meeting decision — complete only after discussion</w:t>
      </w:r>
    </w:p>
    <w:p>
      <w:pPr>
        <w:pStyle w:val="Normal"/>
        <w:widowControl/>
        <w:spacing w:before="60" w:after="20"/>
      </w:pPr>
      <w:r>
        <w:t xml:space="preserve">Group decision (adopt / amend / defer / decline): __________________________________</w:t>
      </w:r>
    </w:p>
    <w:p>
      <w:pPr>
        <w:pStyle w:val="Normal"/>
        <w:widowControl/>
        <w:spacing w:before="60" w:after="20"/>
      </w:pPr>
      <w:r>
        <w:t xml:space="preserve">Final cutoff / population / exact protocol wording: _________________________________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Evidence accepted/rejected; denominator/time origin; residual uncertainty: ______________</w:t>
      </w:r>
    </w:p>
    <w:p>
      <w:pPr>
        <w:pStyle w:val="Normal"/>
        <w:widowControl/>
        <w:spacing w:before="60" w:after="20"/>
      </w:pPr>
      <w:r>
        <w:t xml:space="preserve">________________________________________________________________________</w:t>
      </w:r>
    </w:p>
    <w:p>
      <w:pPr>
        <w:pStyle w:val="Normal"/>
        <w:widowControl/>
        <w:spacing w:before="60" w:after="20"/>
      </w:pPr>
      <w:r>
        <w:t xml:space="preserve">Rationale and dissent: ______________________________________________________</w:t>
      </w:r>
    </w:p>
    <w:p>
      <w:pPr>
        <w:pStyle w:val="Normal"/>
        <w:widowControl/>
        <w:spacing w:before="60" w:after="20"/>
      </w:pPr>
      <w:r>
        <w:t xml:space="preserve">Protocol section(s) to change / required source or PDF: _____________________________</w:t>
      </w:r>
    </w:p>
    <w:p>
      <w:pPr>
        <w:pStyle w:val="Normal"/>
        <w:widowControl/>
        <w:spacing w:before="60" w:after="20"/>
      </w:pPr>
      <w:r>
        <w:t xml:space="preserve">Owner / action / due date: ___________________________________________________</w:t>
      </w:r>
    </w:p>
    <w:p>
      <w:pPr>
        <w:pStyle w:val="Normal"/>
        <w:widowControl/>
        <w:spacing w:before="60" w:after="20"/>
      </w:pPr>
      <w:r>
        <w:t xml:space="preserve">Meeting date / decision-maker signatures: ________________________________________</w:t>
      </w:r>
    </w:p>
    <w:p>
      <w:pPr>
        <w:pStyle w:val="Normal"/>
        <w:widowControl/>
        <w:spacing w:before="60" w:after="20"/>
      </w:pPr>
      <w:r>
        <w:t xml:space="preserve">Clinical / allocation / donor / research approvals and effective date: ____________________</w:t>
      </w:r>
    </w:p>
    <w:p>
      <w:pPr>
        <w:pStyle w:val="Normal"/>
        <w:widowControl/>
        <w:spacing w:before="60" w:after="20"/>
      </w:pPr>
      <w:r>
        <w:t xml:space="preserve">Proposed discussion owners: Biostatistics; hepatology; allocation; ethics; transplant leadership.</w:t>
      </w:r>
    </w:p>
    <w:p>
      <w:pPr>
        <w:pStyle w:val="Normal"/>
        <w:widowControl/>
      </w:pPr>
      <w:r>
        <w:t xml:space="preserve">Evidence review record: </w:t>
      </w:r>
      <w:hyperlink r:id="rId146">
        <w:r>
          <w:rPr>
            <w:color w:val="77230C"/>
            <w:sz w:val="20"/>
            <w:u w:val="single"/>
          </w:rPr>
          <w:t>Five analyst comments and reconciliation</w:t>
        </w:r>
      </w:hyperlink>
      <w:r>
        <w:t xml:space="preserve">  |  </w:t>
      </w:r>
      <w:hyperlink r:id="rId147">
        <w:r>
          <w:rPr>
            <w:color w:val="77230C"/>
            <w:sz w:val="20"/>
            <w:u w:val="single"/>
          </w:rPr>
          <w:t>Prospective outcomes dataset</w:t>
        </w:r>
      </w:hyperlink>
    </w:p>
    <w:p>
      <w:pPr>
        <w:pStyle w:val="Heading1"/>
        <w:keepNext/>
        <w:widowControl/>
        <w:keepLines/>
      </w:pPr>
      <w:r>
        <w:t xml:space="preserve">Revision note</w:t>
      </w:r>
    </w:p>
    <w:p>
      <w:pPr>
        <w:pStyle w:val="Normal"/>
        <w:keepNext/>
        <w:widowControl/>
        <w:keepLines/>
      </w:pPr>
      <w:r>
        <w:t xml:space="preserve">Revised 2026-10-24 14:05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Several summaries mixed baseline and ever-beyond-Milan populations, selected-recipient and entry outcomes, or excluded early deaths. </w:t>
      </w:r>
      <w:r>
        <w:rPr>
          <w:b/>
        </w:rPr>
        <w:t xml:space="preserve">Correction and reason: </w:t>
      </w:r>
      <w:r>
        <w:t xml:space="preserve">Corrected VITALITY, ImmunoXXL and PVTT denominators, time origins, rejection/retransplant harms and Soin all-recipient outcomes. Cutoffs remain OPEN local proposals, not validated safety thresholds.</w:t>
      </w:r>
    </w:p>
    <w:p>
      <w:pPr>
        <w:pStyle w:val="Normal"/>
        <w:keepNext/>
        <w:widowControl/>
        <w:keepLines/>
      </w:pPr>
      <w:r>
        <w:rPr>
          <w:b/>
        </w:rPr>
        <w:t xml:space="preserve">Problem: </w:t>
      </w:r>
      <w:r>
        <w:t xml:space="preserve">Sposito 2026 was cited from the abstract and its PDF was listed as missing; death handling, pathway attrition, surgical harms and nonuniform selection were unresolved. </w:t>
      </w:r>
      <w:r>
        <w:rPr>
          <w:b/>
        </w:rPr>
        <w:t xml:space="preserve">Correction and reason: </w:t>
      </w:r>
      <w:r>
        <w:t xml:space="preserve">Added and reviewed the 94457 full PDF. Separated 240 treated, 61 downstaged and 37 transplanted; clarified death-censored RFS, six recurrences, four perioperative deaths and 13 major complications; qualified observation/anatomy thresholds and removed the missing-PDF claim. Standard eligibility is unchanged and HCC-B2 remains OPEN.</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bookmarkStart w:id="12001" w:name="HCC_B1_1"/>
      <w:r>
        <w:t xml:space="preserve">HCC B1.1 — AFP-only failure / imaging discordance — OPEN</w:t>
      </w:r>
      <w:bookmarkEnd w:id="12001"/>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3582"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3743"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hM2FhZmRmYy02YzE4LTUyMmMtOGE2OC1mYTBhZDI4ZjUxZDIiIHRpbWVzdGFtcD0iMTc5MjkyMTA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220">
              <w:r>
                <w:rPr>
                  <w:color w:val="0563C1"/>
                  <w:u w:val="single"/>
                </w:rPr>
                <w:t>Source</w:t>
              </w:r>
            </w:hyperlink>
            <w:r>
              <w:t xml:space="preserve"> · </w:t>
            </w:r>
            <w:hyperlink r:id="rId221">
              <w:r>
                <w:rPr>
                  <w:color w:val="0563C1"/>
                  <w:u w:val="single"/>
                </w:rPr>
                <w:t>PDF</w:t>
              </w:r>
            </w:hyperlink>
            <w:r>
              <w:br/>
            </w:r>
            <w:hyperlink r:id="rId222">
              <w:r>
                <w:rPr>
                  <w:color w:val="0563C1"/>
                  <w:u w:val="single"/>
                </w:rPr>
                <w:t>Source</w:t>
              </w:r>
            </w:hyperlink>
            <w:r>
              <w:t xml:space="preserve"> · </w:t>
            </w:r>
            <w:hyperlink r:id="rId22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Biochemical nonresponse</w:t>
            </w:r>
          </w:p>
        </w:tc>
        <w:tc>
          <w:tcPr>
            <w:tcW w:w="3582"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3743"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Wh0YSBOPC9BdXRob3I+PFllYXI+MjAxOTwvWWVhcj48UmVjTnVtPjM3PC9SZWNOdW0+PERpc3BsYXlUZXh0PltWMTItMzddPC9EaXNwbGF5VGV4dD48cmVjb3JkPjxyZWMtbnVtYmVyPjM3PC9yZWMtbnVtYmVyPjxmb3JlaWduLWtleXM+PGtleSBhcHA9IkVOIiBkYi1pZD0iYTNhYWZkZmMtNmMxOC01MjJjLThhNjgtZmEwYWQyOGY1MWQyIiB0aW1lc3RhbXA9IjE3OTI5MjEwODciPjM3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r>
              <w:t xml:space="preserve"> </w:t>
            </w:r>
            <w:r>
              <w:fldChar w:fldCharType="begin"/>
            </w:r>
            <w:r>
              <w:instrText xml:space="preserve"> ADDIN EN.CITE </w:instrText>
            </w:r>
            <w:r>
              <w:fldChar w:fldCharType="begin">
                <w:fldData>PEVuZE5vdGU+PENpdGU+PEF1dGhvcj5IYWxhenVuIEtKPC9BdXRob3I+PFllYXI+MjAyMTwvWWVhcj48UmVjTnVtPjM4PC9SZWNOdW0+PERpc3BsYXlUZXh0PltWMTItMzhdPC9EaXNwbGF5VGV4dD48cmVjb3JkPjxyZWMtbnVtYmVyPjM4PC9yZWMtbnVtYmVyPjxmb3JlaWduLWtleXM+PGtleSBhcHA9IkVOIiBkYi1pZD0iYTNhYWZkZmMtNmMxOC01MjJjLThhNjgtZmEwYWQyOGY1MWQyIiB0aW1lc3RhbXA9IjE3OTI5MjEwODciPjM4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[V12-38]</w:t>
            </w:r>
            <w:r>
              <w:fldChar w:fldCharType="end"/>
            </w:r>
            <w:r>
              <w:br/>
            </w:r>
            <w:hyperlink r:id="rId224">
              <w:r>
                <w:rPr>
                  <w:color w:val="0563C1"/>
                  <w:u w:val="single"/>
                </w:rPr>
                <w:t>Source</w:t>
              </w:r>
            </w:hyperlink>
            <w:r>
              <w:t xml:space="preserve"> · </w:t>
            </w:r>
            <w:hyperlink r:id="rId225">
              <w:r>
                <w:rPr>
                  <w:color w:val="0563C1"/>
                  <w:u w:val="single"/>
                </w:rPr>
                <w:t>PDF</w:t>
              </w:r>
            </w:hyperlink>
            <w:r>
              <w:br/>
            </w:r>
            <w:hyperlink r:id="rId226">
              <w:r>
                <w:rPr>
                  <w:color w:val="0563C1"/>
                  <w:u w:val="single"/>
                </w:rPr>
                <w:t>Source</w:t>
              </w:r>
            </w:hyperlink>
            <w:r>
              <w:t xml:space="preserve"> · </w:t>
            </w:r>
            <w:hyperlink r:id="rId227">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Isolated AFP rise</w:t>
            </w:r>
          </w:p>
        </w:tc>
        <w:tc>
          <w:tcPr>
            <w:tcW w:w="3582"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3743"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fldChar w:fldCharType="begin"/>
            </w:r>
            <w:r>
              <w:instrText xml:space="preserve"> ADDIN EN.CITE </w:instrText>
            </w:r>
            <w:r>
              <w:fldChar w:fldCharType="begin">
                <w:fldData>PEVuZE5vdGU+PENpdGU+PEF1dGhvcj5Nb3JpeWFtYSBNPC9BdXRob3I+PFllYXI+MjAyNjwvWWVhcj48UmVjTnVtPjM5PC9SZWNOdW0+PERpc3BsYXlUZXh0PltWMTItMzldPC9EaXNwbGF5VGV4dD48cmVjb3JkPjxyZWMtbnVtYmVyPjM5PC9yZWMtbnVtYmVyPjxmb3JlaWduLWtleXM+PGtleSBhcHA9IkVOIiBkYi1pZD0iYTNhYWZkZmMtNmMxOC01MjJjLThhNjgtZmEwYWQyOGY1MWQyIiB0aW1lc3RhbXA9IjE3OTI5MjEwODciPjM5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[V12-39]</w:t>
            </w:r>
            <w:r>
              <w:fldChar w:fldCharType="end"/>
            </w:r>
            <w:r>
              <w:br/>
            </w:r>
            <w:hyperlink r:id="rId228">
              <w:r>
                <w:rPr>
                  <w:color w:val="0563C1"/>
                  <w:u w:val="single"/>
                </w:rPr>
                <w:t>Source</w:t>
              </w:r>
            </w:hyperlink>
            <w:r>
              <w:t xml:space="preserve"> · </w:t>
            </w:r>
            <w:hyperlink r:id="rId229">
              <w:r>
                <w:rPr>
                  <w:color w:val="0563C1"/>
                  <w:u w:val="single"/>
                </w:rPr>
                <w:t>PDF</w:t>
              </w:r>
            </w:hyperlink>
            <w:r>
              <w:br/>
            </w:r>
            <w:hyperlink r:id="rId230">
              <w:r>
                <w:rPr>
                  <w:color w:val="0563C1"/>
                  <w:u w:val="single"/>
                </w:rPr>
                <w:t>Source</w:t>
              </w:r>
            </w:hyperlink>
            <w:r>
              <w:t xml:space="preserve"> · </w:t>
            </w:r>
            <w:hyperlink r:id="rId231">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hM2FhZmRmYy02YzE4LTUyMmMtOGE2OC1mYTBhZDI4ZjUxZDIiIHRpbWVzdGFtcD0iMTc5MjkyMTA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232">
        <w:r>
          <w:rPr>
            <w:color w:val="0563C1"/>
            <w:u w:val="single"/>
          </w:rPr>
          <w:t>Source</w:t>
        </w:r>
      </w:hyperlink>
      <w:r>
        <w:t xml:space="preserve"> · </w:t>
      </w:r>
      <w:hyperlink r:id="rId233">
        <w:r>
          <w:rPr>
            <w:color w:val="0563C1"/>
            <w:u w:val="single"/>
          </w:rPr>
          <w:t>PDF</w:t>
        </w:r>
      </w:hyperlink>
      <w:r>
        <w:br/>
      </w:r>
      <w:hyperlink r:id="rId234">
        <w:r>
          <w:rPr>
            <w:color w:val="0563C1"/>
            <w:u w:val="single"/>
          </w:rPr>
          <w:t>Source</w:t>
        </w:r>
      </w:hyperlink>
      <w:r>
        <w:t xml:space="preserve"> · </w:t>
      </w:r>
      <w:hyperlink r:id="rId235">
        <w:r>
          <w:rPr>
            <w:color w:val="0563C1"/>
            <w:u w:val="single"/>
          </w:rPr>
          <w:t>PDF</w:t>
        </w:r>
      </w:hyperlink>
    </w:p>
    <w:p>
      <w:pPr>
        <w:pStyle w:val="Heading2"/>
        <w:widowControl/>
        <w:keepNext/>
      </w:pPr>
      <w:r>
        <w:t xml:space="preserve">AFP evidence and its limits</w:t>
      </w:r>
    </w:p>
    <w:p>
      <w:pPr>
        <w:pStyle w:val="Heading2"/>
        <w:widowControl/>
        <w:keepNext/>
      </w:pPr>
      <w: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fldChar w:fldCharType="begin"/>
      </w:r>
      <w:r>
        <w:instrText xml:space="preserve"> ADDIN EN.CITE </w:instrText>
      </w:r>
      <w:r>
        <w:fldChar w:fldCharType="begin">
          <w:fldData>PEVuZE5vdGU+PENpdGU+PEF1dGhvcj5NZWh0YSBOPC9BdXRob3I+PFllYXI+MjAxOTwvWWVhcj48UmVjTnVtPjM3PC9SZWNOdW0+PERpc3BsYXlUZXh0PltWMTItMzddPC9EaXNwbGF5VGV4dD48cmVjb3JkPjxyZWMtbnVtYmVyPjM3PC9yZWMtbnVtYmVyPjxmb3JlaWduLWtleXM+PGtleSBhcHA9IkVOIiBkYi1pZD0iYTNhYWZkZmMtNmMxOC01MjJjLThhNjgtZmEwYWQyOGY1MWQyIiB0aW1lc3RhbXA9IjE3OTI5MjEwODciPjM3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r>
        <w:br/>
      </w:r>
      <w:hyperlink r:id="rId236">
        <w:r>
          <w:rPr>
            <w:color w:val="0563C1"/>
            <w:u w:val="single"/>
          </w:rPr>
          <w:t>Source</w:t>
        </w:r>
      </w:hyperlink>
      <w:r>
        <w:t xml:space="preserve"> · </w:t>
      </w:r>
      <w:hyperlink r:id="rId237">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pStyle w:val="Heading2"/>
        <w:widowControl/>
        <w:keepNext/>
      </w:pPr>
      <w: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fldChar w:fldCharType="begin"/>
      </w:r>
      <w:r>
        <w:instrText xml:space="preserve"> ADDIN EN.CITE </w:instrText>
      </w:r>
      <w:r>
        <w:fldChar w:fldCharType="begin">
          <w:fldData>PEVuZE5vdGU+PENpdGU+PEF1dGhvcj5Hb2xkbWFuIE1MPC9BdXRob3I+PFllYXI+MjAyMjwvWWVhcj48UmVjTnVtPjQwPC9SZWNOdW0+PERpc3BsYXlUZXh0PltWMTItNDBdPC9EaXNwbGF5VGV4dD48cmVjb3JkPjxyZWMtbnVtYmVyPjQwPC9yZWMtbnVtYmVyPjxmb3JlaWduLWtleXM+PGtleSBhcHA9IkVOIiBkYi1pZD0iYTNhYWZkZmMtNmMxOC01MjJjLThhNjgtZmEwYWQyOGY1MWQyIiB0aW1lc3RhbXA9IjE3OTI5MjEwODciPjQw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[V12-40]</w:t>
      </w:r>
      <w:r>
        <w:fldChar w:fldCharType="end"/>
      </w:r>
      <w:r>
        <w:br/>
      </w:r>
      <w:hyperlink r:id="rId238">
        <w:r>
          <w:rPr>
            <w:color w:val="0563C1"/>
            <w:u w:val="single"/>
          </w:rPr>
          <w:t>Source</w:t>
        </w:r>
      </w:hyperlink>
      <w:r>
        <w:t xml:space="preserve"> · </w:t>
      </w:r>
      <w:hyperlink r:id="rId239">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pStyle w:val="Heading2"/>
        <w:widowControl/>
        <w:keepNext/>
      </w:pPr>
      <w: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fldChar w:fldCharType="begin"/>
      </w:r>
      <w:r>
        <w:instrText xml:space="preserve"> ADDIN EN.CITE </w:instrText>
      </w:r>
      <w:r>
        <w:fldChar w:fldCharType="begin">
          <w:fldData>PEVuZE5vdGU+PENpdGU+PEF1dGhvcj5HaWFyZCBKTTwvQXV0aG9yPjxZZWFyPjIwMTg8L1llYXI+PFJlY051bT40MTwvUmVjTnVtPjxEaXNwbGF5VGV4dD5bVjEyLTQxXTwvRGlzcGxheVRleHQ+PHJlY29yZD48cmVjLW51bWJlcj40MTwvcmVjLW51bWJlcj48Zm9yZWlnbi1rZXlzPjxrZXkgYXBwPSJFTiIgZGItaWQ9ImEzYWFmZGZjLTZjMTgtNTIyYy04YTY4LWZhMGFkMjhmNTFkMiIgdGltZXN0YW1wPSIxNzkyOTIxMDg3Ij40MT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[V12-41]</w:t>
      </w:r>
      <w:r>
        <w:fldChar w:fldCharType="end"/>
      </w:r>
      <w:r>
        <w:br/>
      </w:r>
      <w:hyperlink r:id="rId240">
        <w:r>
          <w:rPr>
            <w:color w:val="0563C1"/>
            <w:u w:val="single"/>
          </w:rPr>
          <w:t>Source</w:t>
        </w:r>
      </w:hyperlink>
      <w:r>
        <w:t xml:space="preserve"> · </w:t>
      </w:r>
      <w:hyperlink r:id="rId241">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pStyle w:val="Heading2"/>
        <w:widowControl/>
        <w:keepNext/>
      </w:pPr>
      <w: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fldChar w:fldCharType="begin"/>
      </w:r>
      <w:r>
        <w:instrText xml:space="preserve"> ADDIN EN.CITE </w:instrText>
      </w:r>
      <w:r>
        <w:fldChar w:fldCharType="begin">
          <w:fldData>PEVuZE5vdGU+PENpdGU+PEF1dGhvcj5IYWxhenVuIEtKPC9BdXRob3I+PFllYXI+MjAyMTwvWWVhcj48UmVjTnVtPjM4PC9SZWNOdW0+PERpc3BsYXlUZXh0PltWMTItMzhdPC9EaXNwbGF5VGV4dD48cmVjb3JkPjxyZWMtbnVtYmVyPjM4PC9yZWMtbnVtYmVyPjxmb3JlaWduLWtleXM+PGtleSBhcHA9IkVOIiBkYi1pZD0iYTNhYWZkZmMtNmMxOC01MjJjLThhNjgtZmEwYWQyOGY1MWQyIiB0aW1lc3RhbXA9IjE3OTI5MjEwODciPjM4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[V12-38]</w:t>
      </w:r>
      <w:r>
        <w:fldChar w:fldCharType="end"/>
      </w:r>
      <w:r>
        <w:br/>
      </w:r>
      <w:hyperlink r:id="rId242">
        <w:r>
          <w:rPr>
            <w:color w:val="0563C1"/>
            <w:u w:val="single"/>
          </w:rPr>
          <w:t>Source</w:t>
        </w:r>
      </w:hyperlink>
      <w:r>
        <w:t xml:space="preserve"> · </w:t>
      </w:r>
      <w:hyperlink r:id="rId243">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pStyle w:val="Heading2"/>
        <w:widowControl/>
        <w:keepNext/>
      </w:pPr>
      <w: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fldChar w:fldCharType="begin"/>
      </w:r>
      <w:r>
        <w:instrText xml:space="preserve"> ADDIN EN.CITE </w:instrText>
      </w:r>
      <w:r>
        <w:fldChar w:fldCharType="begin">
          <w:fldData>PEVuZE5vdGU+PENpdGU+PEF1dGhvcj5Nb3JpeWFtYSBNPC9BdXRob3I+PFllYXI+MjAyNjwvWWVhcj48UmVjTnVtPjM5PC9SZWNOdW0+PERpc3BsYXlUZXh0PltWMTItMzldPC9EaXNwbGF5VGV4dD48cmVjb3JkPjxyZWMtbnVtYmVyPjM5PC9yZWMtbnVtYmVyPjxmb3JlaWduLWtleXM+PGtleSBhcHA9IkVOIiBkYi1pZD0iYTNhYWZkZmMtNmMxOC01MjJjLThhNjgtZmEwYWQyOGY1MWQyIiB0aW1lc3RhbXA9IjE3OTI5MjEwODciPjM5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[V12-39]</w:t>
      </w:r>
      <w:r>
        <w:fldChar w:fldCharType="end"/>
      </w:r>
      <w:r>
        <w:br/>
      </w:r>
      <w:hyperlink r:id="rId244">
        <w:r>
          <w:rPr>
            <w:color w:val="0563C1"/>
            <w:u w:val="single"/>
          </w:rPr>
          <w:t>Source</w:t>
        </w:r>
      </w:hyperlink>
      <w:r>
        <w:t xml:space="preserve"> · </w:t>
      </w:r>
      <w:hyperlink r:id="rId245">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pStyle w:val="Heading2"/>
        <w:widowControl/>
        <w:keepNext/>
      </w:pPr>
      <w:r>
        <w:t xml:space="preserve">Source wording in context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OPTN policy 9 5 I iv</w:t>
            </w:r>
          </w:p>
        </w:tc>
        <w:tc>
          <w:tcPr>
            <w:tcW w:w="3582" w:type="dxa"/>
            <w:vAlign w:val="top"/>
            <w:shd w:fill="F1F5F8"/>
          </w:tcPr>
          <w:p>
            <w:pPr>
              <w:pStyle w:val="Normal"/>
              <w:widowControl/>
              <w:spacing w:after="55" w:line="240" w:lineRule="auto"/>
              <w:keepNext w:val="0"/>
              <w:keepLines/>
            </w:pPr>
            <w:r>
              <w:rPr>
                <w:sz w:val="21"/>
                <w:szCs w:val="21"/>
              </w:rPr>
              <w:t xml:space="preserve">“as long as the candidate’s AFP level remains below 500 ng/mL”</w:t>
            </w:r>
          </w:p>
        </w:tc>
        <w:tc>
          <w:tcPr>
            <w:tcW w:w="3743" w:type="dxa"/>
            <w:vAlign w:val="top"/>
            <w:shd w:fill="F1F5F8"/>
          </w:tcPr>
          <w:p>
            <w:pPr>
              <w:pStyle w:val="Normal"/>
              <w:widowControl/>
              <w:spacing w:after="55" w:line="240" w:lineRule="auto"/>
              <w:keepNext w:val="0"/>
              <w:keepLines/>
            </w:pPr>
            <w:r>
              <w:rPr>
                <w:sz w:val="21"/>
                <w:szCs w:val="21"/>
              </w:rPr>
              <w:t xml:space="preserve">Allocation rule after prior AFP above 1000. Full paragraph must be read in context; this excerpt is not a universal AFP rule for all HCC.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hM2FhZmRmYy02YzE4LTUyMmMtOGE2OC1mYTBhZDI4ZjUxZDIiIHRpbWVzdGFtcD0iMTc5MjkyMTA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br/>
            </w:r>
            <w:hyperlink r:id="rId246">
              <w:r>
                <w:rPr>
                  <w:color w:val="0563C1"/>
                  <w:u w:val="single"/>
                </w:rPr>
                <w:t>Source</w:t>
              </w:r>
            </w:hyperlink>
            <w:r>
              <w:t xml:space="preserve"> · </w:t>
            </w:r>
            <w:hyperlink r:id="rId24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NLRB oncology guidance</w:t>
            </w:r>
          </w:p>
        </w:tc>
        <w:tc>
          <w:tcPr>
            <w:tcW w:w="3582" w:type="dxa"/>
            <w:vAlign w:val="top"/>
            <w:shd w:fill="FFFFFF"/>
          </w:tcPr>
          <w:p>
            <w:pPr>
              <w:pStyle w:val="Normal"/>
              <w:widowControl/>
              <w:spacing w:after="55" w:line="240" w:lineRule="auto"/>
              <w:keepNext w:val="0"/>
              <w:keepLines/>
            </w:pPr>
            <w:r>
              <w:rPr>
                <w:sz w:val="21"/>
                <w:szCs w:val="21"/>
              </w:rPr>
              <w:t xml:space="preserve">“In general, these candidates are not suitable for HCC MELD exception but may be appropriate in some cases.”</w:t>
            </w:r>
          </w:p>
        </w:tc>
        <w:tc>
          <w:tcPr>
            <w:tcW w:w="3743" w:type="dxa"/>
            <w:vAlign w:val="top"/>
            <w:shd w:fill="FFFFFF"/>
          </w:tcPr>
          <w:p>
            <w:pPr>
              <w:pStyle w:val="Normal"/>
              <w:widowControl/>
              <w:spacing w:after="55" w:line="240" w:lineRule="auto"/>
              <w:keepNext w:val="0"/>
              <w:keepLines/>
            </w:pPr>
            <w:r>
              <w:rPr>
                <w:sz w:val="21"/>
                <w:szCs w:val="21"/>
              </w:rPr>
              <w:t xml:space="preserve">Refers to AFP above 1000 that does not respond below 500. Nonbinding review guidance, not an approved AFP-only transplant study.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248">
              <w:r>
                <w:rPr>
                  <w:color w:val="0563C1"/>
                  <w:u w:val="single"/>
                </w:rPr>
                <w:t>Source</w:t>
              </w:r>
            </w:hyperlink>
            <w:r>
              <w:t xml:space="preserve"> · </w:t>
            </w:r>
            <w:hyperlink r:id="rId249">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Giard 2018 conclusion</w:t>
            </w:r>
          </w:p>
        </w:tc>
        <w:tc>
          <w:tcPr>
            <w:tcW w:w="3582" w:type="dxa"/>
            <w:vAlign w:val="top"/>
            <w:shd w:fill="F1F5F8"/>
          </w:tcPr>
          <w:p>
            <w:pPr>
              <w:pStyle w:val="Normal"/>
              <w:widowControl/>
              <w:spacing w:after="55" w:line="240" w:lineRule="auto"/>
              <w:keepNext w:val="0"/>
              <w:keepLines/>
            </w:pPr>
            <w:r>
              <w:rPr>
                <w:sz w:val="21"/>
                <w:szCs w:val="21"/>
              </w:rPr>
              <w:t xml:space="preserve">“AFP slope increasing greater than 7.5 ng/mL per month despite locoregional therapy is associated with post-LT HCC recurrence”</w:t>
            </w:r>
          </w:p>
        </w:tc>
        <w:tc>
          <w:tcPr>
            <w:tcW w:w="3743" w:type="dxa"/>
            <w:vAlign w:val="top"/>
            <w:shd w:fill="F1F5F8"/>
          </w:tcPr>
          <w:p>
            <w:pPr>
              <w:pStyle w:val="Normal"/>
              <w:widowControl/>
              <w:spacing w:after="55" w:line="240" w:lineRule="auto"/>
              <w:keepNext w:val="0"/>
              <w:keepLines/>
            </w:pPr>
            <w:r>
              <w:rPr>
                <w:sz w:val="21"/>
                <w:szCs w:val="21"/>
              </w:rPr>
              <w:t xml:space="preserve">Association supports reassessment. The quoted sentence does not establish a validated mandatory delisting rule.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aWFyZCBKTTwvQXV0aG9yPjxZZWFyPjIwMTg8L1llYXI+PFJlY051bT40MTwvUmVjTnVtPjxEaXNwbGF5VGV4dD5bVjEyLTQxXTwvRGlzcGxheVRleHQ+PHJlY29yZD48cmVjLW51bWJlcj40MTwvcmVjLW51bWJlcj48Zm9yZWlnbi1rZXlzPjxrZXkgYXBwPSJFTiIgZGItaWQ9ImEzYWFmZGZjLTZjMTgtNTIyYy04YTY4LWZhMGFkMjhmNTFkMiIgdGltZXN0YW1wPSIxNzkyOTIxMDg3Ij40MT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[V12-41]</w:t>
            </w:r>
            <w:r>
              <w:fldChar w:fldCharType="end"/>
            </w:r>
            <w:r>
              <w:br/>
            </w:r>
            <w:hyperlink r:id="rId250">
              <w:r>
                <w:rPr>
                  <w:color w:val="0563C1"/>
                  <w:u w:val="single"/>
                </w:rPr>
                <w:t>Source</w:t>
              </w:r>
            </w:hyperlink>
            <w:r>
              <w:t xml:space="preserve"> · </w:t>
            </w:r>
            <w:hyperlink r:id="rId251">
              <w:r>
                <w:rPr>
                  <w:color w:val="0563C1"/>
                  <w:u w:val="single"/>
                </w:rPr>
                <w:t>PDF</w:t>
              </w:r>
            </w:hyperlink>
          </w:p>
        </w:tc>
      </w:tr>
    </w:tbl>
    <w:p>
      <w:pPr>
        <w:pStyle w:val="Heading2"/>
        <w:widowControl/>
        <w:keepNext/>
      </w:pPr>
      <w:r>
        <w:t xml:space="preserve">Order now</w:t>
      </w:r>
    </w:p>
    <w:p>
      <w:pPr>
        <w:pStyle w:val="Normal"/>
        <w:widowControl/>
        <w:spacing w:after="120"/>
        <w:numPr>
          <w:ilvl w:val="0"/>
          <w:numId w:val="4"/>
        </w:numPr>
      </w:pPr>
      <w:r>
        <w:t xml:space="preserve">Confirm the AFP result and trend</w:t>
      </w:r>
    </w:p>
    <w:p>
      <w:pPr>
        <w:pStyle w:val="Normal"/>
        <w:widowControl/>
        <w:spacing w:after="120"/>
        <w:numPr>
          <w:ilvl w:val="1"/>
          <w:numId w:val="4"/>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br/>
      </w:r>
      <w:hyperlink r:id="rId252">
        <w:r>
          <w:rPr>
            <w:color w:val="0563C1"/>
            <w:u w:val="single"/>
          </w:rPr>
          <w:t>Source</w:t>
        </w:r>
      </w:hyperlink>
      <w:r>
        <w:t xml:space="preserve"> · </w:t>
      </w:r>
      <w:hyperlink r:id="rId253">
        <w:r>
          <w:rPr>
            <w:color w:val="0563C1"/>
            <w:u w:val="single"/>
          </w:rPr>
          <w:t>PDF</w:t>
        </w:r>
      </w:hyperlink>
    </w:p>
    <w:p>
      <w:pPr>
        <w:pStyle w:val="Normal"/>
        <w:widowControl/>
        <w:spacing w:after="120"/>
        <w:numPr>
          <w:ilvl w:val="1"/>
          <w:numId w:val="4"/>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br/>
      </w:r>
      <w:hyperlink r:id="rId254">
        <w:r>
          <w:rPr>
            <w:color w:val="0563C1"/>
            <w:u w:val="single"/>
          </w:rPr>
          <w:t>Source</w:t>
        </w:r>
      </w:hyperlink>
      <w:r>
        <w:t xml:space="preserve"> · </w:t>
      </w:r>
      <w:hyperlink r:id="rId255">
        <w:r>
          <w:rPr>
            <w:color w:val="0563C1"/>
            <w:u w:val="single"/>
          </w:rPr>
          <w:t>PDF</w:t>
        </w:r>
      </w:hyperlink>
    </w:p>
    <w:p>
      <w:pPr>
        <w:pStyle w:val="Normal"/>
        <w:widowControl/>
        <w:spacing w:after="120"/>
        <w:numPr>
          <w:ilvl w:val="1"/>
          <w:numId w:val="4"/>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br/>
      </w:r>
      <w:hyperlink r:id="rId256">
        <w:r>
          <w:rPr>
            <w:color w:val="0563C1"/>
            <w:u w:val="single"/>
          </w:rPr>
          <w:t>Source</w:t>
        </w:r>
      </w:hyperlink>
      <w:r>
        <w:t xml:space="preserve"> · </w:t>
      </w:r>
      <w:hyperlink r:id="rId257">
        <w:r>
          <w:rPr>
            <w:color w:val="0563C1"/>
            <w:u w:val="single"/>
          </w:rPr>
          <w:t>PDF</w:t>
        </w:r>
      </w:hyperlink>
    </w:p>
    <w:p>
      <w:pPr>
        <w:pStyle w:val="Heading2"/>
        <w:widowControl/>
        <w:keepNext/>
      </w:pPr>
      <w:r>
        <w:t xml:space="preserve">Advance only when</w:t>
      </w:r>
    </w:p>
    <w:p>
      <w:pPr>
        <w:pStyle w:val="Normal"/>
        <w:widowControl/>
        <w:spacing w:after="120"/>
        <w:numPr>
          <w:ilvl w:val="0"/>
          <w:numId w:val="4"/>
        </w:numPr>
      </w:pPr>
      <w:r>
        <w:t xml:space="preserve">For an AFP-only candidate otherwise inside the accepted anatomical route</w:t>
      </w:r>
    </w:p>
    <w:p>
      <w:pPr>
        <w:pStyle w:val="Normal"/>
        <w:widowControl/>
        <w:spacing w:after="120"/>
        <w:numPr>
          <w:ilvl w:val="1"/>
          <w:numId w:val="4"/>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hM2FhZmRmYy02YzE4LTUyMmMtOGE2OC1mYTBhZDI4ZjUxZDIiIHRpbWVzdGFtcD0iMTc5MjkyMTA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258">
        <w:r>
          <w:rPr>
            <w:color w:val="0563C1"/>
            <w:u w:val="single"/>
          </w:rPr>
          <w:t>Source</w:t>
        </w:r>
      </w:hyperlink>
      <w:r>
        <w:t xml:space="preserve"> · </w:t>
      </w:r>
      <w:hyperlink r:id="rId259">
        <w:r>
          <w:rPr>
            <w:color w:val="0563C1"/>
            <w:u w:val="single"/>
          </w:rPr>
          <w:t>PDF</w:t>
        </w:r>
      </w:hyperlink>
      <w:r>
        <w:br/>
      </w:r>
      <w:hyperlink r:id="rId260">
        <w:r>
          <w:rPr>
            <w:color w:val="0563C1"/>
            <w:u w:val="single"/>
          </w:rPr>
          <w:t>Source</w:t>
        </w:r>
      </w:hyperlink>
      <w:r>
        <w:t xml:space="preserve"> · </w:t>
      </w:r>
      <w:hyperlink r:id="rId261">
        <w:r>
          <w:rPr>
            <w:color w:val="0563C1"/>
            <w:u w:val="single"/>
          </w:rPr>
          <w:t>PDF</w:t>
        </w:r>
      </w:hyperlink>
    </w:p>
    <w:p>
      <w:pPr>
        <w:pStyle w:val="Normal"/>
        <w:widowControl/>
        <w:spacing w:after="120"/>
        <w:numPr>
          <w:ilvl w:val="1"/>
          <w:numId w:val="4"/>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4"/>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pStyle w:val="Heading2"/>
        <w:widowControl/>
        <w:keepNext/>
      </w:pPr>
      <w:r>
        <w:t xml:space="preserve">Hold and reassess</w:t>
      </w:r>
    </w:p>
    <w:p>
      <w:pPr>
        <w:pStyle w:val="Normal"/>
        <w:widowControl/>
        <w:spacing w:after="120"/>
        <w:numPr>
          <w:ilvl w:val="0"/>
          <w:numId w:val="4"/>
        </w:numPr>
      </w:pPr>
      <w:r>
        <w:t xml:space="preserve">Separate the mandatory allocation issue from the proposed clinical hold</w:t>
      </w:r>
    </w:p>
    <w:p>
      <w:pPr>
        <w:pStyle w:val="Normal"/>
        <w:widowControl/>
        <w:spacing w:after="120"/>
        <w:numPr>
          <w:ilvl w:val="1"/>
          <w:numId w:val="4"/>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hM2FhZmRmYy02YzE4LTUyMmMtOGE2OC1mYTBhZDI4ZjUxZDIiIHRpbWVzdGFtcD0iMTc5MjkyMTA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hM2FhZmRmYy02YzE4LTUyMmMtOGE2OC1mYTBhZDI4ZjUxZ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262">
        <w:r>
          <w:rPr>
            <w:color w:val="0563C1"/>
            <w:u w:val="single"/>
          </w:rPr>
          <w:t>Source</w:t>
        </w:r>
      </w:hyperlink>
      <w:r>
        <w:t xml:space="preserve"> · </w:t>
      </w:r>
      <w:hyperlink r:id="rId263">
        <w:r>
          <w:rPr>
            <w:color w:val="0563C1"/>
            <w:u w:val="single"/>
          </w:rPr>
          <w:t>PDF</w:t>
        </w:r>
      </w:hyperlink>
      <w:r>
        <w:br/>
      </w:r>
      <w:hyperlink r:id="rId264">
        <w:r>
          <w:rPr>
            <w:color w:val="0563C1"/>
            <w:u w:val="single"/>
          </w:rPr>
          <w:t>Source</w:t>
        </w:r>
      </w:hyperlink>
      <w:r>
        <w:t xml:space="preserve"> · </w:t>
      </w:r>
      <w:hyperlink r:id="rId265">
        <w:r>
          <w:rPr>
            <w:color w:val="0563C1"/>
            <w:u w:val="single"/>
          </w:rPr>
          <w:t>PDF</w:t>
        </w:r>
      </w:hyperlink>
    </w:p>
    <w:p>
      <w:pPr>
        <w:pStyle w:val="Normal"/>
        <w:widowControl/>
        <w:spacing w:after="120"/>
        <w:numPr>
          <w:ilvl w:val="1"/>
          <w:numId w:val="4"/>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fldChar w:fldCharType="begin"/>
      </w:r>
      <w:r>
        <w:instrText xml:space="preserve"> ADDIN EN.CITE </w:instrText>
      </w:r>
      <w:r>
        <w:fldChar w:fldCharType="begin">
          <w:fldData>PEVuZE5vdGU+PENpdGU+PEF1dGhvcj5Hb2xkbWFuIE1MPC9BdXRob3I+PFllYXI+MjAyMjwvWWVhcj48UmVjTnVtPjQwPC9SZWNOdW0+PERpc3BsYXlUZXh0PltWMTItNDBdPC9EaXNwbGF5VGV4dD48cmVjb3JkPjxyZWMtbnVtYmVyPjQwPC9yZWMtbnVtYmVyPjxmb3JlaWduLWtleXM+PGtleSBhcHA9IkVOIiBkYi1pZD0iYTNhYWZkZmMtNmMxOC01MjJjLThhNjgtZmEwYWQyOGY1MWQyIiB0aW1lc3RhbXA9IjE3OTI5MjEwODciPjQw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[V12-40]</w:t>
      </w:r>
      <w:r>
        <w:fldChar w:fldCharType="end"/>
      </w:r>
      <w:r>
        <w:br/>
      </w:r>
      <w:hyperlink r:id="rId266">
        <w:r>
          <w:rPr>
            <w:color w:val="0563C1"/>
            <w:u w:val="single"/>
          </w:rPr>
          <w:t>Source</w:t>
        </w:r>
      </w:hyperlink>
      <w:r>
        <w:t xml:space="preserve"> · </w:t>
      </w:r>
      <w:hyperlink r:id="rId267">
        <w:r>
          <w:rPr>
            <w:color w:val="0563C1"/>
            <w:u w:val="single"/>
          </w:rPr>
          <w:t>PDF</w:t>
        </w:r>
      </w:hyperlink>
    </w:p>
    <w:p>
      <w:pPr>
        <w:pStyle w:val="Normal"/>
        <w:widowControl/>
        <w:spacing w:after="120"/>
        <w:numPr>
          <w:ilvl w:val="1"/>
          <w:numId w:val="4"/>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fldChar w:fldCharType="begin"/>
      </w:r>
      <w:r>
        <w:instrText xml:space="preserve"> ADDIN EN.CITE </w:instrText>
      </w:r>
      <w:r>
        <w:fldChar w:fldCharType="begin">
          <w:fldData>PEVuZE5vdGU+PENpdGU+PEF1dGhvcj5HaWFyZCBKTTwvQXV0aG9yPjxZZWFyPjIwMTg8L1llYXI+PFJlY051bT40MTwvUmVjTnVtPjxEaXNwbGF5VGV4dD5bVjEyLTQxXTwvRGlzcGxheVRleHQ+PHJlY29yZD48cmVjLW51bWJlcj40MTwvcmVjLW51bWJlcj48Zm9yZWlnbi1rZXlzPjxrZXkgYXBwPSJFTiIgZGItaWQ9ImEzYWFmZGZjLTZjMTgtNTIyYy04YTY4LWZhMGFkMjhmNTFkMiIgdGltZXN0YW1wPSIxNzkyOTIxMDg3Ij40MT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[V12-41]</w:t>
      </w:r>
      <w:r>
        <w:fldChar w:fldCharType="end"/>
      </w:r>
      <w:r>
        <w:br/>
      </w:r>
      <w:hyperlink r:id="rId268">
        <w:r>
          <w:rPr>
            <w:color w:val="0563C1"/>
            <w:u w:val="single"/>
          </w:rPr>
          <w:t>Source</w:t>
        </w:r>
      </w:hyperlink>
      <w:r>
        <w:t xml:space="preserve"> · </w:t>
      </w:r>
      <w:hyperlink r:id="rId269">
        <w:r>
          <w:rPr>
            <w:color w:val="0563C1"/>
            <w:u w:val="single"/>
          </w:rPr>
          <w:t>PDF</w:t>
        </w:r>
      </w:hyperlink>
      <w:r>
        <w:br/>
      </w:r>
      <w:hyperlink r:id="rId270">
        <w:r>
          <w:rPr>
            <w:color w:val="0563C1"/>
            <w:u w:val="single"/>
          </w:rPr>
          <w:t>Source</w:t>
        </w:r>
      </w:hyperlink>
      <w:r>
        <w:t xml:space="preserve"> · </w:t>
      </w:r>
      <w:hyperlink r:id="rId271">
        <w:r>
          <w:rPr>
            <w:color w:val="0563C1"/>
            <w:u w:val="single"/>
          </w:rPr>
          <w:t>PDF</w:t>
        </w:r>
      </w:hyperlink>
    </w:p>
    <w:p>
      <w:pPr>
        <w:pStyle w:val="Normal"/>
        <w:widowControl/>
        <w:spacing w:after="120"/>
        <w:numPr>
          <w:ilvl w:val="1"/>
          <w:numId w:val="4"/>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fldChar w:fldCharType="begin"/>
      </w:r>
      <w:r>
        <w:instrText xml:space="preserve"> ADDIN EN.CITE </w:instrText>
      </w:r>
      <w:r>
        <w:fldChar w:fldCharType="begin">
          <w:fldData>PEVuZE5vdGU+PENpdGU+PEF1dGhvcj5HaWFyZCBKTTwvQXV0aG9yPjxZZWFyPjIwMTg8L1llYXI+PFJlY051bT40MTwvUmVjTnVtPjxEaXNwbGF5VGV4dD5bVjEyLTQxXTwvRGlzcGxheVRleHQ+PHJlY29yZD48cmVjLW51bWJlcj40MTwvcmVjLW51bWJlcj48Zm9yZWlnbi1rZXlzPjxrZXkgYXBwPSJFTiIgZGItaWQ9ImEzYWFmZGZjLTZjMTgtNTIyYy04YTY4LWZhMGFkMjhmNTFkMiIgdGltZXN0YW1wPSIxNzkyOTIxMDg3Ij40MT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[V12-41]</w:t>
      </w:r>
      <w:r>
        <w:fldChar w:fldCharType="end"/>
      </w:r>
      <w:r>
        <w:br/>
      </w:r>
      <w:hyperlink r:id="rId272">
        <w:r>
          <w:rPr>
            <w:color w:val="0563C1"/>
            <w:u w:val="single"/>
          </w:rPr>
          <w:t>Source</w:t>
        </w:r>
      </w:hyperlink>
      <w:r>
        <w:t xml:space="preserve"> · </w:t>
      </w:r>
      <w:hyperlink r:id="rId273">
        <w:r>
          <w:rPr>
            <w:color w:val="0563C1"/>
            <w:u w:val="single"/>
          </w:rPr>
          <w:t>PDF</w:t>
        </w:r>
      </w:hyperlink>
    </w:p>
    <w:p>
      <w:pPr>
        <w:pStyle w:val="Heading2"/>
        <w:widowControl/>
        <w:keepNext/>
      </w:pPr>
      <w:r>
        <w:t xml:space="preserve">Do not do</w:t>
      </w:r>
    </w:p>
    <w:p>
      <w:pPr>
        <w:pStyle w:val="Normal"/>
        <w:widowControl/>
        <w:spacing w:after="120"/>
        <w:numPr>
          <w:ilvl w:val="0"/>
          <w:numId w:val="4"/>
        </w:numPr>
      </w:pPr>
      <w:r>
        <w:t xml:space="preserve">Avoid irreversible or unproven responses to a biomarker alone</w:t>
      </w:r>
    </w:p>
    <w:p>
      <w:pPr>
        <w:pStyle w:val="Normal"/>
        <w:widowControl/>
        <w:spacing w:after="120"/>
        <w:numPr>
          <w:ilvl w:val="1"/>
          <w:numId w:val="4"/>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fldChar w:fldCharType="begin"/>
      </w:r>
      <w:r>
        <w:instrText xml:space="preserve"> ADDIN EN.CITE </w:instrText>
      </w:r>
      <w:r>
        <w:fldChar w:fldCharType="begin">
          <w:fldData>PEVuZE5vdGU+PENpdGU+PEF1dGhvcj5NZWh0YSBOPC9BdXRob3I+PFllYXI+MjAxOTwvWWVhcj48UmVjTnVtPjM3PC9SZWNOdW0+PERpc3BsYXlUZXh0PltWMTItMzddPC9EaXNwbGF5VGV4dD48cmVjb3JkPjxyZWMtbnVtYmVyPjM3PC9yZWMtbnVtYmVyPjxmb3JlaWduLWtleXM+PGtleSBhcHA9IkVOIiBkYi1pZD0iYTNhYWZkZmMtNmMxOC01MjJjLThhNjgtZmEwYWQyOGY1MWQyIiB0aW1lc3RhbXA9IjE3OTI5MjEwODciPjM3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r>
        <w:t xml:space="preserve"> </w:t>
      </w:r>
      <w:r>
        <w:fldChar w:fldCharType="begin"/>
      </w:r>
      <w:r>
        <w:instrText xml:space="preserve"> ADDIN EN.CITE </w:instrText>
      </w:r>
      <w:r>
        <w:fldChar w:fldCharType="begin">
          <w:fldData>PEVuZE5vdGU+PENpdGU+PEF1dGhvcj5Hb2xkbWFuIE1MPC9BdXRob3I+PFllYXI+MjAyMjwvWWVhcj48UmVjTnVtPjQwPC9SZWNOdW0+PERpc3BsYXlUZXh0PltWMTItNDBdPC9EaXNwbGF5VGV4dD48cmVjb3JkPjxyZWMtbnVtYmVyPjQwPC9yZWMtbnVtYmVyPjxmb3JlaWduLWtleXM+PGtleSBhcHA9IkVOIiBkYi1pZD0iYTNhYWZkZmMtNmMxOC01MjJjLThhNjgtZmEwYWQyOGY1MWQyIiB0aW1lc3RhbXA9IjE3OTI5MjEwODciPjQw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[V12-40]</w:t>
      </w:r>
      <w:r>
        <w:fldChar w:fldCharType="end"/>
      </w:r>
      <w:r>
        <w:br/>
      </w:r>
      <w:hyperlink r:id="rId274">
        <w:r>
          <w:rPr>
            <w:color w:val="0563C1"/>
            <w:u w:val="single"/>
          </w:rPr>
          <w:t>Source</w:t>
        </w:r>
      </w:hyperlink>
      <w:r>
        <w:t xml:space="preserve"> · </w:t>
      </w:r>
      <w:hyperlink r:id="rId275">
        <w:r>
          <w:rPr>
            <w:color w:val="0563C1"/>
            <w:u w:val="single"/>
          </w:rPr>
          <w:t>PDF</w:t>
        </w:r>
      </w:hyperlink>
      <w:r>
        <w:br/>
      </w:r>
      <w:hyperlink r:id="rId276">
        <w:r>
          <w:rPr>
            <w:color w:val="0563C1"/>
            <w:u w:val="single"/>
          </w:rPr>
          <w:t>Source</w:t>
        </w:r>
      </w:hyperlink>
      <w:r>
        <w:t xml:space="preserve"> · </w:t>
      </w:r>
      <w:hyperlink r:id="rId277">
        <w:r>
          <w:rPr>
            <w:color w:val="0563C1"/>
            <w:u w:val="single"/>
          </w:rPr>
          <w:t>PDF</w:t>
        </w:r>
      </w:hyperlink>
    </w:p>
    <w:p>
      <w:pPr>
        <w:pStyle w:val="Normal"/>
        <w:widowControl/>
        <w:spacing w:after="120"/>
        <w:numPr>
          <w:ilvl w:val="1"/>
          <w:numId w:val="4"/>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fldChar w:fldCharType="begin"/>
      </w:r>
      <w:r>
        <w:instrText xml:space="preserve"> ADDIN EN.CITE </w:instrText>
      </w:r>
      <w:r>
        <w:fldChar w:fldCharType="begin">
          <w:fldData>PEVuZE5vdGU+PENpdGU+PEF1dGhvcj5TaW5nYWw8L0F1dGhvcj48WWVhcj4yMDIzPC9ZZWFyPjxSZWNOdW0+MTE8L1JlY051bT48RGlzcGxheVRleHQ+W1YxMi0xMV08L0Rpc3BsYXlUZXh0PjxyZWNvcmQ+PHJlYy1udW1iZXI+MTE8L3JlYy1udW1iZXI+PGZvcmVpZ24ta2V5cz48a2V5IGFwcD0iRU4iIGRiLWlkPSJhM2FhZmRmYy02YzE4LTUyMmMtOGE2OC1mYTBhZDI4ZjUxZDIiIHRpbWVzdGFtcD0iMTc5MjkyMTA4NyI+MTE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br/>
      </w:r>
      <w:hyperlink r:id="rId278">
        <w:r>
          <w:rPr>
            <w:color w:val="0563C1"/>
            <w:u w:val="single"/>
          </w:rPr>
          <w:t>Source</w:t>
        </w:r>
      </w:hyperlink>
      <w:r>
        <w:t xml:space="preserve"> · </w:t>
      </w:r>
      <w:hyperlink r:id="rId279">
        <w:r>
          <w:rPr>
            <w:color w:val="0563C1"/>
            <w:u w:val="single"/>
          </w:rPr>
          <w:t>PDF</w:t>
        </w:r>
      </w:hyperlink>
    </w:p>
    <w:p>
      <w:pPr>
        <w:pStyle w:val="Normal"/>
        <w:widowControl/>
        <w:spacing w:after="120"/>
        <w:numPr>
          <w:ilvl w:val="1"/>
          <w:numId w:val="4"/>
        </w:numPr>
      </w:pPr>
      <w:r>
        <w:t xml:space="preserve">Do not treat LDLT as an automatic escape from unfavorable tumor biology. Donor risk, recipient benefit and recurrence must be reviewed independently. New ICI use requires the separate B3 transplant safety decision.</w:t>
      </w:r>
    </w:p>
    <w:p>
      <w:pPr>
        <w:pStyle w:val="Heading1"/>
        <w:widowControl/>
        <w:keepNext/>
      </w:pPr>
      <w:r>
        <w:t xml:space="preserve">Meeting decisions — complete each field</w:t>
      </w:r>
    </w:p>
    <w:p>
      <w:pPr>
        <w:pStyle w:val="Heading2"/>
        <w:widowControl/>
        <w:keepNext/>
      </w:pPr>
      <w:bookmarkStart w:id="12065" w:name="HCC_B1_1a"/>
      <w:r>
        <w:t xml:space="preserve">B1.1a — Should AFP-only failure have a distinct high-risk review entry even when tumor burden is within Milan?</w:t>
      </w:r>
      <w:bookmarkEnd w:id="12065"/>
    </w:p>
    <w:p>
      <w:pPr>
        <w:pStyle w:val="Normal"/>
        <w:widowControl/>
        <w:spacing w:after="120"/>
      </w:pPr>
      <w:r>
        <w:t xml:space="preserve">Proposed position (OPEN): Propose yes; cross-reference the standard AFP gate. Do not require beyond-UNOS burden or inherit its AFP below 100 rule.</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70" w:name="HCC_B1_1b"/>
      <w:r>
        <w:t xml:space="preserve">B1.1b — Should confirmed AFP at least 500 trigger a clinical hold even without a prior AFP above 1000?</w:t>
      </w:r>
      <w:bookmarkEnd w:id="12070"/>
    </w:p>
    <w:p>
      <w:pPr>
        <w:pStyle w:val="Normal"/>
        <w:widowControl/>
        <w:spacing w:after="120"/>
      </w:pPr>
      <w:r>
        <w:t xml:space="preserve">Proposed position (OPEN): Propose yes for the high-risk LT review, with documented MDT reassessment. State clearly that this is stricter than the automatic exception rule for some patients.</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75" w:name="HCC_B1_1c"/>
      <w:r>
        <w:t xml:space="preserve">B1.1c — How should rising AFP below 500 with controlled imaging be handled?</w:t>
      </w:r>
      <w:bookmarkEnd w:id="12075"/>
    </w:p>
    <w:p>
      <w:pPr>
        <w:pStyle w:val="Normal"/>
        <w:widowControl/>
        <w:spacing w:after="120"/>
      </w:pPr>
      <w:r>
        <w:t xml:space="preserve">Proposed position (OPEN): Propose repeat in 2–4 weeks and expedited restaging. AFP at least 200 plus serial rise or confirmed doubling triggers a temporary hold; slope alone is an alert, not a permanent exclusion.</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80" w:name="HCC_B1_1d"/>
      <w:r>
        <w:t xml:space="preserve">B1.1d — What permits release from a biochemical hold?</w:t>
      </w:r>
      <w:bookmarkEnd w:id="12080"/>
    </w:p>
    <w:p>
      <w:pPr>
        <w:pStyle w:val="Normal"/>
        <w:widowControl/>
        <w:spacing w:after="120"/>
      </w:pPr>
      <w:r>
        <w:t xml:space="preserve">Proposed position (OPEN): Propose two stable/falling AFP measurements at least 4 weeks apart below the applicable threshold, reviewed imaging and documented allocation plan. Preserve every longer route-specific observation interval.</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85" w:name="HCC_B1_1e"/>
      <w:r>
        <w:t xml:space="preserve">B1.1e — Can persistent AFP failure ever proceed to LT or LDLT?</w:t>
      </w:r>
      <w:bookmarkEnd w:id="12085"/>
    </w:p>
    <w:p>
      <w:pPr>
        <w:pStyle w:val="Normal"/>
        <w:widowControl/>
        <w:spacing w:after="120"/>
      </w:pPr>
      <w:r>
        <w:t xml:space="preserve">Proposed position (OPEN): No routine bypass. Require individual oncology/transplant review, expected-benefit justification, donor-risk review for LDLT and the appropriate allocation route. Whether to establish a prospective AFP-only study remains OPEN.</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90" w:name="HCC_B1_1f"/>
      <w:r>
        <w:t xml:space="preserve">B1.1f — What must be audited?</w:t>
      </w:r>
      <w:bookmarkEnd w:id="12090"/>
    </w:p>
    <w:p>
      <w:pPr>
        <w:pStyle w:val="Normal"/>
        <w:widowControl/>
        <w:spacing w:after="120"/>
      </w:pPr>
      <w:r>
        <w:t xml:space="preserve">Proposed position (OPEN): Peak and serial AFP with dates; liver inflammation; imaging viability; treatment exposure; reason and duration of hold; exception decision; waitlist dropout; explant viability/MVI; recurrence and post-LT survival. Include all evaluated patients, not only those transplanted.</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280">
        <w:r>
          <w:rPr>
            <w:color w:val="0563C1"/>
            <w:u w:val="single"/>
          </w:rPr>
          <w:t>Source</w:t>
        </w:r>
      </w:hyperlink>
      <w:r>
        <w:t xml:space="preserve"> | </w:t>
      </w:r>
      <w:hyperlink r:id="rId281">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282">
        <w:r>
          <w:rPr>
            <w:color w:val="0563C1"/>
            <w:u w:val="single"/>
          </w:rPr>
          <w:t>Source</w:t>
        </w:r>
      </w:hyperlink>
      <w:r>
        <w:t xml:space="preserve"> | </w:t>
      </w:r>
      <w:hyperlink r:id="rId283">
        <w:r>
          <w:rPr>
            <w:color w:val="0563C1"/>
            <w:u w:val="single"/>
          </w:rPr>
          <w:t>Full-text access</w:t>
        </w:r>
      </w:hyperlink>
    </w:p>
    <w:p>
      <w:pPr>
        <w:pStyle w:val="Normal"/>
        <w:widowControl/>
        <w:spacing w:after="120"/>
      </w:pPr>
      <w:r>
        <w:t xml:space="preserve"/>
      </w:r>
      <w:r>
        <w:t xml:space="preserve">[V12-3] Yao, Francis Y.; Mehta, Neil; Flemming, Jennifer; et al. Downstaging of hepatocellular cancer before liver transplant: Long‐term outcome compared to tumors within Milan criteria. Hepatology. 2015; 61(6):1968-1977. </w:t>
      </w:r>
      <w:hyperlink r:id="rId284">
        <w:r>
          <w:rPr>
            <w:color w:val="0563C1"/>
            <w:u w:val="single"/>
          </w:rPr>
          <w:t>Source</w:t>
        </w:r>
      </w:hyperlink>
      <w:r>
        <w:t xml:space="preserve"> | </w:t>
      </w:r>
      <w:hyperlink r:id="rId285">
        <w:r>
          <w:rPr>
            <w:color w:val="0563C1"/>
            <w:u w:val="single"/>
          </w:rPr>
          <w:t>Full-text access</w:t>
        </w:r>
      </w:hyperlink>
    </w:p>
    <w:p>
      <w:pPr>
        <w:pStyle w:val="Normal"/>
        <w:widowControl/>
        <w:spacing w:after="120"/>
      </w:pPr>
      <w:r>
        <w:t xml:space="preserve"/>
      </w:r>
      <w:r>
        <w:t xml:space="preserve">[V12-4] Mehta, Neil; Frenette, Catherine; Tabrizian, Parissa; et al. Downstaging Outcomes for Hepatocellular Carcinoma: Results From the Multicenter Evaluation of Reduction in Tumor Size before Liver Transplantation (MERITS-LT) Consortium. Gastroenterology. 2021; 161(5):1502-1512. </w:t>
      </w:r>
      <w:hyperlink r:id="rId286">
        <w:r>
          <w:rPr>
            <w:color w:val="0563C1"/>
            <w:u w:val="single"/>
          </w:rPr>
          <w:t>Source</w:t>
        </w:r>
      </w:hyperlink>
      <w:r>
        <w:t xml:space="preserve"> | </w:t>
      </w:r>
      <w:hyperlink r:id="rId287">
        <w:r>
          <w:rPr>
            <w:color w:val="0563C1"/>
            <w:u w:val="single"/>
          </w:rPr>
          <w:t>Full-text access</w:t>
        </w:r>
      </w:hyperlink>
    </w:p>
    <w:p>
      <w:pPr>
        <w:pStyle w:val="Normal"/>
        <w:widowControl/>
        <w:spacing w:after="120"/>
      </w:pPr>
      <w:r>
        <w:t xml:space="preserve"/>
      </w:r>
      <w:r>
        <w:t xml:space="preserve">[V12-5] Sinha, Jasmine; Mehta, Neil; Dodge, Jennifer L.; et al. Are There Upper Limits in Tumor Burden for Down‐Staging of Hepatocellular Carcinoma to Liver Transplant? Analysis of the All‐Comers Protocol. Hepatology. 2019; 70(4):1185-1196. </w:t>
      </w:r>
      <w:hyperlink r:id="rId288">
        <w:r>
          <w:rPr>
            <w:color w:val="0563C1"/>
            <w:u w:val="single"/>
          </w:rPr>
          <w:t>Source</w:t>
        </w:r>
      </w:hyperlink>
      <w:r>
        <w:t xml:space="preserve"> | </w:t>
      </w:r>
      <w:hyperlink r:id="rId289">
        <w:r>
          <w:rPr>
            <w:color w:val="0563C1"/>
            <w:u w:val="single"/>
          </w:rPr>
          <w:t>Full-text access</w:t>
        </w:r>
      </w:hyperlink>
    </w:p>
    <w:p>
      <w:pPr>
        <w:pStyle w:val="Normal"/>
        <w:widowControl/>
        <w:spacing w:after="120"/>
      </w:pPr>
      <w:r>
        <w:t xml:space="preserve"/>
      </w:r>
      <w:r>
        <w:t xml:space="preserve">[V12-6]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 23(11):1771-1780. </w:t>
      </w:r>
      <w:hyperlink r:id="rId290">
        <w:r>
          <w:rPr>
            <w:color w:val="0563C1"/>
            <w:u w:val="single"/>
          </w:rPr>
          <w:t>Source</w:t>
        </w:r>
      </w:hyperlink>
      <w:r>
        <w:t xml:space="preserve"> | </w:t>
      </w:r>
      <w:hyperlink r:id="rId291">
        <w:r>
          <w:rPr>
            <w:color w:val="0563C1"/>
            <w:u w:val="single"/>
          </w:rPr>
          <w:t>Full-text access</w:t>
        </w:r>
      </w:hyperlink>
    </w:p>
    <w:p>
      <w:pPr>
        <w:pStyle w:val="Normal"/>
        <w:widowControl/>
        <w:spacing w:after="120"/>
      </w:pPr>
      <w:r>
        <w:t xml:space="preserve"/>
      </w:r>
      <w:r>
        <w:t xml:space="preserve">[V12-7] Xu, Edison; Tabrizian, Parissa; Gutierrez, Julio; et al. Downstaging of hepatocellular carcinoma before liver transplantation: Results from a national multicenter prospective cohort study. Hepatology (Baltimore, Md.). 2025; 82(3):612-625. </w:t>
      </w:r>
      <w:hyperlink r:id="rId292">
        <w:r>
          <w:rPr>
            <w:color w:val="0563C1"/>
            <w:u w:val="single"/>
          </w:rPr>
          <w:t>Source</w:t>
        </w:r>
      </w:hyperlink>
      <w:r>
        <w:t xml:space="preserve"> | </w:t>
      </w:r>
      <w:hyperlink r:id="rId293">
        <w:r>
          <w:rPr>
            <w:color w:val="0563C1"/>
            <w:u w:val="single"/>
          </w:rPr>
          <w:t>Full-text access</w:t>
        </w:r>
      </w:hyperlink>
    </w:p>
    <w:p>
      <w:pPr>
        <w:pStyle w:val="Normal"/>
        <w:widowControl/>
        <w:spacing w:after="120"/>
      </w:pPr>
      <w:r>
        <w:t xml:space="preserve"/>
      </w:r>
      <w:r>
        <w:t xml:space="preserve">[V12-8] Mazzaferro, Vincenzo; Citterio, Davide; Bhoori, Sherrie; et al. Liver transplantation in hepatocellular carcinoma after tumour downstaging (XXL): a randomised, controlled, phase 2b/3 trial. The Lancet Oncology. 2020; 21(7):947-956. </w:t>
      </w:r>
      <w:hyperlink r:id="rId294">
        <w:r>
          <w:rPr>
            <w:color w:val="0563C1"/>
            <w:u w:val="single"/>
          </w:rPr>
          <w:t>Source</w:t>
        </w:r>
      </w:hyperlink>
      <w:r>
        <w:t xml:space="preserve"> | </w:t>
      </w:r>
      <w:hyperlink r:id="rId295">
        <w:r>
          <w:rPr>
            <w:color w:val="0563C1"/>
            <w:u w:val="single"/>
          </w:rPr>
          <w:t>Full-text access</w:t>
        </w:r>
      </w:hyperlink>
    </w:p>
    <w:p>
      <w:pPr>
        <w:pStyle w:val="Normal"/>
        <w:widowControl/>
        <w:spacing w:after="120"/>
      </w:pPr>
      <w:r>
        <w:t xml:space="preserve"/>
      </w:r>
      <w:r>
        <w:t xml:space="preserve">[V12-9] Huang, Annsa C.; Dodge, Jennifer L.; Yao, Francis Y.; et al. National Experience on Waitlist Outcomes for Down-Staging of Hepatocellular Carcinoma: High Dropout Rate in All-Comers. Clinical Gastroenterology and Hepatology. 2023; 21(6):1581-1589. </w:t>
      </w:r>
      <w:hyperlink r:id="rId296">
        <w:r>
          <w:rPr>
            <w:color w:val="0563C1"/>
            <w:u w:val="single"/>
          </w:rPr>
          <w:t>Source</w:t>
        </w:r>
      </w:hyperlink>
      <w:r>
        <w:t xml:space="preserve"> | </w:t>
      </w:r>
      <w:hyperlink r:id="rId297">
        <w:r>
          <w:rPr>
            <w:color w:val="0563C1"/>
            <w:u w:val="single"/>
          </w:rPr>
          <w:t>Full-text access</w:t>
        </w:r>
      </w:hyperlink>
    </w:p>
    <w:p>
      <w:pPr>
        <w:pStyle w:val="Normal"/>
        <w:widowControl/>
        <w:spacing w:after="120"/>
      </w:pPr>
      <w:r>
        <w:t xml:space="preserve"/>
      </w:r>
      <w:r>
        <w:t xml:space="preserve">[V12-10] Tabrizian, Parissa; Holzner, Matthew L.; Mehta, Neil; et al. Ten-Year Outcomes of Liver Transplant and Downstaging for Hepatocellular Carcinoma. JAMA Surgery. 2022; 157(9):779-788. </w:t>
      </w:r>
      <w:hyperlink r:id="rId298">
        <w:r>
          <w:rPr>
            <w:color w:val="0563C1"/>
            <w:u w:val="single"/>
          </w:rPr>
          <w:t>Source</w:t>
        </w:r>
      </w:hyperlink>
      <w:r>
        <w:t xml:space="preserve"> | </w:t>
      </w:r>
      <w:hyperlink r:id="rId299">
        <w:r>
          <w:rPr>
            <w:color w:val="0563C1"/>
            <w:u w:val="single"/>
          </w:rPr>
          <w:t>Full-text access</w:t>
        </w:r>
      </w:hyperlink>
    </w:p>
    <w:p>
      <w:pPr>
        <w:pStyle w:val="Normal"/>
        <w:widowControl/>
        <w:spacing w:after="120"/>
      </w:pPr>
      <w:r>
        <w:t xml:space="preserve"/>
      </w:r>
      <w:r>
        <w:t xml:space="preserve">[V12-11] Singal, Amit G; Llovet, Josep M; Yarchoan, Mark; et al. AASLD Practice Guidance on prevention, diagnosis, and treatment of hepatocellular carcinoma. Hepatology (Baltimore, Md.). 2023; 78(6):1922-1965. </w:t>
      </w:r>
      <w:hyperlink r:id="rId300">
        <w:r>
          <w:rPr>
            <w:color w:val="0563C1"/>
            <w:u w:val="single"/>
          </w:rPr>
          <w:t>Source</w:t>
        </w:r>
      </w:hyperlink>
      <w:r>
        <w:t xml:space="preserve"> | </w:t>
      </w:r>
      <w:hyperlink r:id="rId301">
        <w:r>
          <w:rPr>
            <w:color w:val="0563C1"/>
            <w:u w:val="single"/>
          </w:rPr>
          <w:t>Full-text access</w:t>
        </w:r>
      </w:hyperlink>
    </w:p>
    <w:p>
      <w:pPr>
        <w:pStyle w:val="Normal"/>
        <w:widowControl/>
        <w:spacing w:after="120"/>
      </w:pPr>
      <w:r>
        <w:t xml:space="preserve"/>
      </w:r>
      <w:r>
        <w:t xml:space="preserve">[V12-12] Llovet, Josep M; Mauro, Ezequiel; Rimassa, Lorenza; et al. Trial design and end points in hepatocellular carcinoma: an EASL-AASLD-ILCA consensus statement. Nature reviews. Clinical oncology. 2026; 23(8):619-647. </w:t>
      </w:r>
      <w:hyperlink r:id="rId302">
        <w:r>
          <w:rPr>
            <w:color w:val="0563C1"/>
            <w:u w:val="single"/>
          </w:rPr>
          <w:t>Source</w:t>
        </w:r>
      </w:hyperlink>
      <w:r>
        <w:t xml:space="preserve"> | </w:t>
      </w:r>
      <w:hyperlink r:id="rId303">
        <w:r>
          <w:rPr>
            <w:color w:val="0563C1"/>
            <w:u w:val="single"/>
          </w:rPr>
          <w:t>Full-text access</w:t>
        </w:r>
      </w:hyperlink>
    </w:p>
    <w:p>
      <w:pPr>
        <w:pStyle w:val="Normal"/>
        <w:widowControl/>
        <w:spacing w:after="120"/>
      </w:pPr>
      <w:r>
        <w:t xml:space="preserve"/>
      </w:r>
      <w:r>
        <w:t xml:space="preserve">[V12-13] Yoon, Young-In; Moon, Deok-Bog; Lee, Sung-Gyu; et al. Living-donor liver transplantation in hepatocellular carcinoma with portal-vein tumor thrombosis. International Journal of Surgery. 2026; 112(3):7259-7270. </w:t>
      </w:r>
      <w:hyperlink r:id="rId304">
        <w:r>
          <w:rPr>
            <w:color w:val="0563C1"/>
            <w:u w:val="single"/>
          </w:rPr>
          <w:t>Source</w:t>
        </w:r>
      </w:hyperlink>
      <w:r>
        <w:t xml:space="preserve"> | </w:t>
      </w:r>
      <w:hyperlink r:id="rId305">
        <w:r>
          <w:rPr>
            <w:color w:val="0563C1"/>
            <w:u w:val="single"/>
          </w:rPr>
          <w:t>Full-text access</w:t>
        </w:r>
      </w:hyperlink>
    </w:p>
    <w:p>
      <w:pPr>
        <w:pStyle w:val="Normal"/>
        <w:widowControl/>
        <w:spacing w:after="120"/>
      </w:pPr>
      <w:r>
        <w:t xml:space="preserve"/>
      </w:r>
      <w:r>
        <w:t xml:space="preserve">[V12-14] Choi, Ho Joong; Kim, Dong Goo; Na, Gun Hyung; et al. The clinical outcomes of patients with portal vein tumor thrombi after living donor liver transplantation. Liver Transplantation. 2017; 23(8):1023-1031. </w:t>
      </w:r>
      <w:hyperlink r:id="rId306">
        <w:r>
          <w:rPr>
            <w:color w:val="0563C1"/>
            <w:u w:val="single"/>
          </w:rPr>
          <w:t>Source</w:t>
        </w:r>
      </w:hyperlink>
      <w:r>
        <w:t xml:space="preserve"> | </w:t>
      </w:r>
      <w:hyperlink r:id="rId307">
        <w:r>
          <w:rPr>
            <w:color w:val="0563C1"/>
            <w:u w:val="single"/>
          </w:rPr>
          <w:t>Full-text access</w:t>
        </w:r>
      </w:hyperlink>
    </w:p>
    <w:p>
      <w:pPr>
        <w:pStyle w:val="Normal"/>
        <w:widowControl/>
        <w:spacing w:after="120"/>
      </w:pPr>
      <w:r>
        <w:t xml:space="preserve"/>
      </w:r>
      <w:r>
        <w:t xml:space="preserve">[V12-15] Yang, Z; Luo, FZ; Wang, S; et al. Alpha-fetoprotein and 18F-FDG standard uptake value predict tumor recurrence after liver transplantation for hepatocellular carcinoma with portal vein tumor thrombosis: Preliminary experience. Hepatobiliary &amp; Pancreatic Diseases International. 2020; 19(3):229-234. </w:t>
      </w:r>
      <w:hyperlink r:id="rId308">
        <w:r>
          <w:rPr>
            <w:color w:val="0563C1"/>
            <w:u w:val="single"/>
          </w:rPr>
          <w:t>Source</w:t>
        </w:r>
      </w:hyperlink>
      <w:r>
        <w:t xml:space="preserve"> | </w:t>
      </w:r>
      <w:hyperlink r:id="rId309">
        <w:r>
          <w:rPr>
            <w:color w:val="0563C1"/>
            <w:u w:val="single"/>
          </w:rPr>
          <w:t>Full-text access</w:t>
        </w:r>
      </w:hyperlink>
    </w:p>
    <w:p>
      <w:pPr>
        <w:pStyle w:val="Normal"/>
        <w:widowControl/>
        <w:spacing w:after="120"/>
      </w:pPr>
      <w:r>
        <w:t xml:space="preserve"/>
      </w:r>
      <w:r>
        <w:t xml:space="preserve">[V12-16] Ye, Zhaodan; Zhuang, Li; Liu, Xiangyan; et al. The clinical outcomes of patients with vascular invasion after deceased donor liver transplantation. Journal of Gastrointestinal Oncology. 2024; 15(4). </w:t>
      </w:r>
      <w:hyperlink r:id="rId310">
        <w:r>
          <w:rPr>
            <w:color w:val="0563C1"/>
            <w:u w:val="single"/>
          </w:rPr>
          <w:t>Source</w:t>
        </w:r>
      </w:hyperlink>
      <w:r>
        <w:t xml:space="preserve"> | </w:t>
      </w:r>
      <w:hyperlink r:id="rId311">
        <w:r>
          <w:rPr>
            <w:color w:val="0563C1"/>
            <w:u w:val="single"/>
          </w:rPr>
          <w:t>Full-text access</w:t>
        </w:r>
      </w:hyperlink>
    </w:p>
    <w:p>
      <w:pPr>
        <w:pStyle w:val="Normal"/>
        <w:widowControl/>
        <w:spacing w:after="120"/>
      </w:pPr>
      <w:r>
        <w:t xml:space="preserve"/>
      </w:r>
      <w:r>
        <w:t xml:space="preserve">[V12-17] Soin, Arvinder S; Bhangui, Prashant; Kataria, Tejinder; et al. Experience With LDLT in Patients With Hepatocellular Carcinoma and Portal Vein Tumor Thrombosis Postdownstaging. Transplantation. 2020; 104(11):2334-2345. </w:t>
      </w:r>
      <w:hyperlink r:id="rId312">
        <w:r>
          <w:rPr>
            <w:color w:val="0563C1"/>
            <w:u w:val="single"/>
          </w:rPr>
          <w:t>Source</w:t>
        </w:r>
      </w:hyperlink>
      <w:r>
        <w:t xml:space="preserve"> | </w:t>
      </w:r>
      <w:hyperlink r:id="rId313">
        <w:r>
          <w:rPr>
            <w:color w:val="0563C1"/>
            <w:u w:val="single"/>
          </w:rPr>
          <w:t>Full-text access</w:t>
        </w:r>
      </w:hyperlink>
    </w:p>
    <w:p>
      <w:pPr>
        <w:pStyle w:val="Normal"/>
        <w:widowControl/>
        <w:spacing w:after="120"/>
      </w:pPr>
      <w:r>
        <w:t xml:space="preserve"/>
      </w:r>
      <w:r>
        <w:t xml:space="preserve">[V12-18] Assalino, Michela; Terraz, Sylvain; Grat, Michal; et al. Liver transplantation for hepatocellular carcinoma after successful treatment of macrovascular invasion – a multi‐center retrospective cohort study. Transplant International. 2020; 33(5):567-575. </w:t>
      </w:r>
      <w:hyperlink r:id="rId314">
        <w:r>
          <w:rPr>
            <w:color w:val="0563C1"/>
            <w:u w:val="single"/>
          </w:rPr>
          <w:t>Source</w:t>
        </w:r>
      </w:hyperlink>
      <w:r>
        <w:t xml:space="preserve"> | </w:t>
      </w:r>
      <w:hyperlink r:id="rId315">
        <w:r>
          <w:rPr>
            <w:color w:val="0563C1"/>
            <w:u w:val="single"/>
          </w:rPr>
          <w:t>Full-text access</w:t>
        </w:r>
      </w:hyperlink>
    </w:p>
    <w:p>
      <w:pPr>
        <w:pStyle w:val="Normal"/>
        <w:widowControl/>
        <w:spacing w:after="120"/>
      </w:pPr>
      <w:r>
        <w:t xml:space="preserve"/>
      </w:r>
      <w:r>
        <w:t xml:space="preserve">[V12-19] Sposito, Carlo; Berardi, Giammauro; Viganò, Mauro; et al. Outcomes of Y90-radioembolization as downstaging to liver transplantation in patients with hepatocellular carcinoma and tumoral portal vein thrombosis. Hepatology. 2026. </w:t>
      </w:r>
      <w:hyperlink r:id="rId316">
        <w:r>
          <w:rPr>
            <w:color w:val="0563C1"/>
            <w:u w:val="single"/>
          </w:rPr>
          <w:t>Source</w:t>
        </w:r>
      </w:hyperlink>
      <w:r>
        <w:t xml:space="preserve"> | </w:t>
      </w:r>
      <w:hyperlink r:id="rId317">
        <w:r>
          <w:rPr>
            <w:color w:val="0563C1"/>
            <w:u w:val="single"/>
          </w:rPr>
          <w:t>Full-text access</w:t>
        </w:r>
      </w:hyperlink>
    </w:p>
    <w:p>
      <w:pPr>
        <w:pStyle w:val="Normal"/>
        <w:widowControl/>
        <w:spacing w:after="120"/>
      </w:pPr>
      <w:r>
        <w:t xml:space="preserve"/>
      </w:r>
      <w:r>
        <w:t xml:space="preserve">[V12-20]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318">
        <w:r>
          <w:rPr>
            <w:color w:val="0563C1"/>
            <w:u w:val="single"/>
          </w:rPr>
          <w:t>Source</w:t>
        </w:r>
      </w:hyperlink>
      <w:r>
        <w:t xml:space="preserve"> | </w:t>
      </w:r>
      <w:hyperlink r:id="rId319">
        <w:r>
          <w:rPr>
            <w:color w:val="0563C1"/>
            <w:u w:val="single"/>
          </w:rPr>
          <w:t>Full-text access</w:t>
        </w:r>
      </w:hyperlink>
    </w:p>
    <w:p>
      <w:pPr>
        <w:pStyle w:val="Normal"/>
        <w:widowControl/>
        <w:spacing w:after="120"/>
      </w:pPr>
      <w:r>
        <w:t xml:space="preserve"/>
      </w:r>
      <w:r>
        <w:t xml:space="preserve">[V12-21] Tabrizian, Parissa; Holzner, Matthew L.; Ajmera, Veeral; et al. Intention-to-treat outcomes of patients with hepatocellular carcinoma receiving immunotherapy before liver transplant: The multicenter VITALITY study. Journal of Hepatology. 2025; 82(3):512-522. </w:t>
      </w:r>
      <w:hyperlink r:id="rId320">
        <w:r>
          <w:rPr>
            <w:color w:val="0563C1"/>
            <w:u w:val="single"/>
          </w:rPr>
          <w:t>Source</w:t>
        </w:r>
      </w:hyperlink>
      <w:r>
        <w:t xml:space="preserve"> | </w:t>
      </w:r>
      <w:hyperlink r:id="rId321">
        <w:r>
          <w:rPr>
            <w:color w:val="0563C1"/>
            <w:u w:val="single"/>
          </w:rPr>
          <w:t>Full-text access</w:t>
        </w:r>
      </w:hyperlink>
    </w:p>
    <w:p>
      <w:pPr>
        <w:pStyle w:val="Normal"/>
        <w:widowControl/>
        <w:spacing w:after="120"/>
      </w:pPr>
      <w:r>
        <w:t xml:space="preserve"/>
      </w:r>
      <w:r>
        <w:t xml:space="preserve">[V12-22] Bhoori, Sherrie; Rivoltini, Licia; Pinato, David J.; et al. Efficacy of liver transplantation after response to atezolizumab-bevacizumab downstaging of intermediate and advanced hepatocellular carcinoma (ImmunoXXL). Journal of Hepatology. 2026; 85(1):117-129. </w:t>
      </w:r>
      <w:hyperlink r:id="rId322">
        <w:r>
          <w:rPr>
            <w:color w:val="0563C1"/>
            <w:u w:val="single"/>
          </w:rPr>
          <w:t>Source</w:t>
        </w:r>
      </w:hyperlink>
      <w:r>
        <w:t xml:space="preserve"> | </w:t>
      </w:r>
      <w:hyperlink r:id="rId323">
        <w:r>
          <w:rPr>
            <w:color w:val="0563C1"/>
            <w:u w:val="single"/>
          </w:rPr>
          <w:t>Full-text access</w:t>
        </w:r>
      </w:hyperlink>
    </w:p>
    <w:p>
      <w:pPr>
        <w:pStyle w:val="Normal"/>
        <w:widowControl/>
        <w:spacing w:after="120"/>
      </w:pPr>
      <w:r>
        <w:t xml:space="preserve"/>
      </w:r>
      <w:r>
        <w:t xml:space="preserve">[V12-23] Moeckli, Beat; Wassmer, Charles-Henri; El Hajji, Sofia; et al. Determining safe washout period for immune checkpoint inhibitors prior to liver transplantation: An international retrospective cohort study. Hepatology. 2025; 82(5):1122-1137. </w:t>
      </w:r>
      <w:hyperlink r:id="rId324">
        <w:r>
          <w:rPr>
            <w:color w:val="0563C1"/>
            <w:u w:val="single"/>
          </w:rPr>
          <w:t>Source</w:t>
        </w:r>
      </w:hyperlink>
      <w:r>
        <w:t xml:space="preserve"> | </w:t>
      </w:r>
      <w:hyperlink r:id="rId325">
        <w:r>
          <w:rPr>
            <w:color w:val="0563C1"/>
            <w:u w:val="single"/>
          </w:rPr>
          <w:t>Full-text access</w:t>
        </w:r>
      </w:hyperlink>
    </w:p>
    <w:p>
      <w:pPr>
        <w:pStyle w:val="Normal"/>
        <w:widowControl/>
        <w:spacing w:after="120"/>
      </w:pPr>
      <w:r>
        <w:t xml:space="preserve"/>
      </w:r>
      <w:r>
        <w:t xml:space="preserve">[V12-24] Rezaee-Zavareh, Mohammad Saeid; Yeo, Yee Hui; Wang, Tielong; et al. Impact of pre-transplant immune checkpoint inhibitor use on post-transplant outcomes in HCC: A systematic review and individual patient data meta-analysis. Journal of Hepatology. 2025; 82(1):107-119. </w:t>
      </w:r>
      <w:hyperlink r:id="rId326">
        <w:r>
          <w:rPr>
            <w:color w:val="0563C1"/>
            <w:u w:val="single"/>
          </w:rPr>
          <w:t>Source</w:t>
        </w:r>
      </w:hyperlink>
      <w:r>
        <w:t xml:space="preserve"> | </w:t>
      </w:r>
      <w:hyperlink r:id="rId327">
        <w:r>
          <w:rPr>
            <w:color w:val="0563C1"/>
            <w:u w:val="single"/>
          </w:rPr>
          <w:t>Full-text access</w:t>
        </w:r>
      </w:hyperlink>
    </w:p>
    <w:p>
      <w:pPr>
        <w:pStyle w:val="Normal"/>
        <w:widowControl/>
        <w:spacing w:after="120"/>
      </w:pPr>
      <w:r>
        <w:t xml:space="preserve"/>
      </w:r>
      <w:r>
        <w:t xml:space="preserve">[V12-25] Fang, Jun; Zhong, Siyi; Wang, Tielong; et al. Immune-related adverse events are a potent predictor of post-transplant rejection in HCC: a multicentre retrospective cohort study. Gut. 2026; 75(6):1201-1210. </w:t>
      </w:r>
      <w:hyperlink r:id="rId328">
        <w:r>
          <w:rPr>
            <w:color w:val="0563C1"/>
            <w:u w:val="single"/>
          </w:rPr>
          <w:t>Source</w:t>
        </w:r>
      </w:hyperlink>
      <w:r>
        <w:t xml:space="preserve"> | </w:t>
      </w:r>
      <w:hyperlink r:id="rId329">
        <w:r>
          <w:rPr>
            <w:color w:val="0563C1"/>
            <w:u w:val="single"/>
          </w:rPr>
          <w:t>Full-text access</w:t>
        </w:r>
      </w:hyperlink>
    </w:p>
    <w:p>
      <w:pPr>
        <w:pStyle w:val="Normal"/>
        <w:widowControl/>
        <w:spacing w:after="120"/>
      </w:pPr>
      <w:r>
        <w:t xml:space="preserve"/>
      </w:r>
      <w:r>
        <w:t xml:space="preserve">[V12-26] Aceituno, L.; Magyar, C.; Tabrizian, P.; et al. Safety of Immune Checkpoint Inhibitors Prior to Liver Transplantation in Hepatocellular Carcinoma. Alimentary Pharmacology &amp; Therapeutics. 2026; 63(10):1369-1379. </w:t>
      </w:r>
      <w:hyperlink r:id="rId330">
        <w:r>
          <w:rPr>
            <w:color w:val="0563C1"/>
            <w:u w:val="single"/>
          </w:rPr>
          <w:t>Source</w:t>
        </w:r>
      </w:hyperlink>
      <w:r>
        <w:t xml:space="preserve"> | </w:t>
      </w:r>
      <w:hyperlink r:id="rId331">
        <w:r>
          <w:rPr>
            <w:color w:val="0563C1"/>
            <w:u w:val="single"/>
          </w:rPr>
          <w:t>Full-text access</w:t>
        </w:r>
      </w:hyperlink>
    </w:p>
    <w:p>
      <w:pPr>
        <w:pStyle w:val="Normal"/>
        <w:widowControl/>
        <w:spacing w:after="120"/>
      </w:pPr>
      <w:r>
        <w:t xml:space="preserve"/>
      </w:r>
      <w:r>
        <w:t xml:space="preserve">[V12-27]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 46(6):e70692. </w:t>
      </w:r>
      <w:hyperlink r:id="rId332">
        <w:r>
          <w:rPr>
            <w:color w:val="0563C1"/>
            <w:u w:val="single"/>
          </w:rPr>
          <w:t>Source</w:t>
        </w:r>
      </w:hyperlink>
      <w:r>
        <w:t xml:space="preserve"> | </w:t>
      </w:r>
      <w:hyperlink r:id="rId333">
        <w:r>
          <w:rPr>
            <w:color w:val="0563C1"/>
            <w:u w:val="single"/>
          </w:rPr>
          <w:t>Full-text access</w:t>
        </w:r>
      </w:hyperlink>
    </w:p>
    <w:p>
      <w:pPr>
        <w:pStyle w:val="Normal"/>
        <w:widowControl/>
        <w:spacing w:after="120"/>
      </w:pPr>
      <w:r>
        <w:t xml:space="preserve"/>
      </w:r>
      <w:r>
        <w:t xml:space="preserve">[V12-28] Ong, Meiching; He, Kang; Wang, Feng; et al. Immune Checkpoint Inhibitor–Based Downstaging Therapy for Hepatocellular Carcinoma. JAMA Oncology. 2026. </w:t>
      </w:r>
      <w:hyperlink r:id="rId334">
        <w:r>
          <w:rPr>
            <w:color w:val="0563C1"/>
            <w:u w:val="single"/>
          </w:rPr>
          <w:t>Source</w:t>
        </w:r>
      </w:hyperlink>
      <w:r>
        <w:t xml:space="preserve"> | </w:t>
      </w:r>
      <w:hyperlink r:id="rId335">
        <w:r>
          <w:rPr>
            <w:color w:val="0563C1"/>
            <w:u w:val="single"/>
          </w:rPr>
          <w:t>Full-text access</w:t>
        </w:r>
      </w:hyperlink>
    </w:p>
    <w:p>
      <w:pPr>
        <w:pStyle w:val="Normal"/>
        <w:widowControl/>
        <w:spacing w:after="120"/>
      </w:pPr>
      <w:r>
        <w:t xml:space="preserve"/>
      </w:r>
      <w:r>
        <w:t xml:space="preserve">[V12-29] Kulkarni, Anand V.; Singal, Amit G.; Reddy, K. Rajender. Review Article: Liver Transplantation for Hepatocellular Carcinoma in the Era of Immune Checkpoint Inhibitors. Alimentary Pharmacology &amp; Therapeutics. 2025; 62(6):585-601. </w:t>
      </w:r>
      <w:hyperlink r:id="rId336">
        <w:r>
          <w:rPr>
            <w:color w:val="0563C1"/>
            <w:u w:val="single"/>
          </w:rPr>
          <w:t>Source</w:t>
        </w:r>
      </w:hyperlink>
      <w:r>
        <w:t xml:space="preserve"> | </w:t>
      </w:r>
      <w:hyperlink r:id="rId337">
        <w:r>
          <w:rPr>
            <w:color w:val="0563C1"/>
            <w:u w:val="single"/>
          </w:rPr>
          <w:t>Full-text access</w:t>
        </w:r>
      </w:hyperlink>
    </w:p>
    <w:p>
      <w:pPr>
        <w:pStyle w:val="Normal"/>
        <w:widowControl/>
        <w:spacing w:after="120"/>
      </w:pPr>
      <w:r>
        <w:t xml:space="preserve"/>
      </w:r>
      <w:r>
        <w:t xml:space="preserve">[V12-30] Demirors, Berkay; Lin, Matthew Yu-Sheng; Spitz, Francis J.; et al. Balancing Tumor Response and Rejection Risk After Pre-Transplant Immunotherapy: A Scoping Review. Cancers. 2026; 18(8):1284. </w:t>
      </w:r>
      <w:hyperlink r:id="rId338">
        <w:r>
          <w:rPr>
            <w:color w:val="0563C1"/>
            <w:u w:val="single"/>
          </w:rPr>
          <w:t>Source</w:t>
        </w:r>
      </w:hyperlink>
      <w:r>
        <w:t xml:space="preserve"> | </w:t>
      </w:r>
      <w:hyperlink r:id="rId339">
        <w:r>
          <w:rPr>
            <w:color w:val="0563C1"/>
            <w:u w:val="single"/>
          </w:rPr>
          <w:t>Full-text access</w:t>
        </w:r>
      </w:hyperlink>
    </w:p>
    <w:p>
      <w:pPr>
        <w:pStyle w:val="Normal"/>
        <w:widowControl/>
        <w:spacing w:after="120"/>
      </w:pPr>
      <w:r>
        <w:t xml:space="preserve"/>
      </w:r>
      <w:r>
        <w:t xml:space="preserve">[V12-31] Liu, Hao; Neckermann, Isabel; Mial‐Anthony, Jason; et al. Optimizing Liver Transplant Allocation for Hepatocellular Carcinoma: Development and Validation of a Survival Benefit‐Based Model. Clinical Transplantation. 2026; 40(3):e70488. </w:t>
      </w:r>
      <w:hyperlink r:id="rId340">
        <w:r>
          <w:rPr>
            <w:color w:val="0563C1"/>
            <w:u w:val="single"/>
          </w:rPr>
          <w:t>Source</w:t>
        </w:r>
      </w:hyperlink>
      <w:r>
        <w:t xml:space="preserve"> | </w:t>
      </w:r>
      <w:hyperlink r:id="rId341">
        <w:r>
          <w:rPr>
            <w:color w:val="0563C1"/>
            <w:u w:val="single"/>
          </w:rPr>
          <w:t>Full-text access</w:t>
        </w:r>
      </w:hyperlink>
    </w:p>
    <w:p>
      <w:pPr>
        <w:pStyle w:val="Normal"/>
        <w:widowControl/>
        <w:spacing w:after="120"/>
      </w:pPr>
      <w:r>
        <w:t xml:space="preserve"/>
      </w:r>
      <w:r>
        <w:t xml:space="preserve">[V12-32] Liu, Hao; Zhang, Wei; Di, Mengyang; et al. Survival benefit associated with liver transplantation for hepatocellular carcinoma based on tumor burden scores at listing. Hepatology Communications. 2025; 9(1):e0619. </w:t>
      </w:r>
      <w:hyperlink r:id="rId342">
        <w:r>
          <w:rPr>
            <w:color w:val="0563C1"/>
            <w:u w:val="single"/>
          </w:rPr>
          <w:t>Source</w:t>
        </w:r>
      </w:hyperlink>
      <w:r>
        <w:t xml:space="preserve"> | </w:t>
      </w:r>
      <w:hyperlink r:id="rId343">
        <w:r>
          <w:rPr>
            <w:color w:val="0563C1"/>
            <w:u w:val="single"/>
          </w:rPr>
          <w:t>Full-text access</w:t>
        </w:r>
      </w:hyperlink>
    </w:p>
    <w:p>
      <w:pPr>
        <w:pStyle w:val="Normal"/>
        <w:widowControl/>
        <w:spacing w:after="120"/>
      </w:pPr>
      <w:r>
        <w:t xml:space="preserve"/>
      </w:r>
      <w:r>
        <w:t xml:space="preserve">[V12-33] Lai, Quirino; Vitale, Alessandro; Iesari, Samuele; et al. Intention-to-Treat Survival Benefit of Liver Transplantation in Patients With Hepatocellular Cancer. Hepatology. 2017; 66(6):1910-1919. </w:t>
      </w:r>
      <w:hyperlink r:id="rId344">
        <w:r>
          <w:rPr>
            <w:color w:val="0563C1"/>
            <w:u w:val="single"/>
          </w:rPr>
          <w:t>Source</w:t>
        </w:r>
      </w:hyperlink>
      <w:r>
        <w:t xml:space="preserve"> | </w:t>
      </w:r>
      <w:hyperlink r:id="rId345">
        <w:r>
          <w:rPr>
            <w:color w:val="0563C1"/>
            <w:u w:val="single"/>
          </w:rPr>
          <w:t>Full-text access</w:t>
        </w:r>
      </w:hyperlink>
    </w:p>
    <w:p>
      <w:pPr>
        <w:pStyle w:val="Normal"/>
        <w:widowControl/>
        <w:spacing w:after="120"/>
      </w:pPr>
      <w:r>
        <w:t xml:space="preserve"/>
      </w:r>
      <w:r>
        <w:t xml:space="preserve">[V12-34] Goudsmit, Ben F.J.; Ilaria Prosepe, ; Tushuizen, Maarten E.; et al. Survival benefit from liver transplantation for patients with and without hepatocellular carcinoma. JHEP Reports. 2023; 5(12):100907. </w:t>
      </w:r>
      <w:hyperlink r:id="rId346">
        <w:r>
          <w:rPr>
            <w:color w:val="0563C1"/>
            <w:u w:val="single"/>
          </w:rPr>
          <w:t>Source</w:t>
        </w:r>
      </w:hyperlink>
      <w:r>
        <w:t xml:space="preserve"> | </w:t>
      </w:r>
      <w:hyperlink r:id="rId347">
        <w:r>
          <w:rPr>
            <w:color w:val="0563C1"/>
            <w:u w:val="single"/>
          </w:rPr>
          <w:t>Full-text access</w:t>
        </w:r>
      </w:hyperlink>
    </w:p>
    <w:p>
      <w:pPr>
        <w:pStyle w:val="Normal"/>
        <w:widowControl/>
        <w:spacing w:after="120"/>
      </w:pPr>
      <w:r>
        <w:t xml:space="preserve"/>
      </w:r>
      <w:r>
        <w:t xml:space="preserve">[V12-35] Allen, Elisa; Taylor, Rhiannon; Gimson, Alexander; et al. Transplant benefit-based offering of deceased donor livers in the United Kingdom. Journal of Hepatology. 2024; 81(3):471-478. </w:t>
      </w:r>
      <w:hyperlink r:id="rId348">
        <w:r>
          <w:rPr>
            <w:color w:val="0563C1"/>
            <w:u w:val="single"/>
          </w:rPr>
          <w:t>Source</w:t>
        </w:r>
      </w:hyperlink>
      <w:r>
        <w:t xml:space="preserve"> | </w:t>
      </w:r>
      <w:hyperlink r:id="rId349">
        <w:r>
          <w:rPr>
            <w:color w:val="0563C1"/>
            <w:u w:val="single"/>
          </w:rPr>
          <w:t>Full-text access</w:t>
        </w:r>
      </w:hyperlink>
    </w:p>
    <w:p>
      <w:pPr>
        <w:pStyle w:val="Normal"/>
        <w:widowControl/>
        <w:spacing w:after="120"/>
      </w:pPr>
      <w:r>
        <w:t xml:space="preserve"/>
      </w:r>
      <w:r>
        <w:t xml:space="preserve">[V12-36] Prosepe, Ilaria; van Geloven, Nan; de Ferrante, Hans; et al. Estimating conditional survival benefit for the allocation of scarce resources. Statistical Methods in Medical Research. 2026; 35(4):812-826. </w:t>
      </w:r>
      <w:hyperlink r:id="rId350">
        <w:r>
          <w:rPr>
            <w:color w:val="0563C1"/>
            <w:u w:val="single"/>
          </w:rPr>
          <w:t>Source</w:t>
        </w:r>
      </w:hyperlink>
      <w:r>
        <w:t xml:space="preserve"> | </w:t>
      </w:r>
      <w:hyperlink r:id="rId351">
        <w:r>
          <w:rPr>
            <w:color w:val="0563C1"/>
            <w:u w:val="single"/>
          </w:rPr>
          <w:t>Full-text access</w:t>
        </w:r>
      </w:hyperlink>
    </w:p>
    <w:p>
      <w:pPr>
        <w:pStyle w:val="Normal"/>
        <w:widowControl/>
        <w:spacing w:after="120"/>
      </w:pPr>
      <w:r>
        <w:t xml:space="preserve"/>
      </w:r>
      <w:r>
        <w:t xml:space="preserve">[V12-37] Mehta N; Dodge JL; Roberts JP; et al. Alpha-Fetoprotein Decrease from &gt; 1,000 to &lt; 500 ng/mL in Patients with Hepatocellular Carcinoma Leads to Improved Posttransplant Outcomes.. Hepatology (Baltimore, Md.). 2019; 69(3):1193-1205. </w:t>
      </w:r>
      <w:hyperlink r:id="rId352">
        <w:r>
          <w:rPr>
            <w:color w:val="0563C1"/>
            <w:u w:val="single"/>
          </w:rPr>
          <w:t>Source</w:t>
        </w:r>
      </w:hyperlink>
      <w:r>
        <w:t xml:space="preserve"> | </w:t>
      </w:r>
      <w:hyperlink r:id="rId353">
        <w:r>
          <w:rPr>
            <w:color w:val="0563C1"/>
            <w:u w:val="single"/>
          </w:rPr>
          <w:t>Full-text access</w:t>
        </w:r>
      </w:hyperlink>
    </w:p>
    <w:p>
      <w:pPr>
        <w:pStyle w:val="Normal"/>
        <w:widowControl/>
        <w:spacing w:after="120"/>
      </w:pPr>
      <w:r>
        <w:t xml:space="preserve"/>
      </w:r>
      <w:r>
        <w:t xml:space="preserve">[V12-38] Halazun KJ; Rosenblatt RE; Mehta N; et al. Dynamic α-Fetoprotein Response and Outcomes After Liver Transplant for Hepatocellular Carcinoma.. JAMA surgery. 2021; 156(6):559-567. </w:t>
      </w:r>
      <w:hyperlink r:id="rId354">
        <w:r>
          <w:rPr>
            <w:color w:val="0563C1"/>
            <w:u w:val="single"/>
          </w:rPr>
          <w:t>Source</w:t>
        </w:r>
      </w:hyperlink>
      <w:r>
        <w:t xml:space="preserve"> | </w:t>
      </w:r>
      <w:hyperlink r:id="rId355">
        <w:r>
          <w:rPr>
            <w:color w:val="0563C1"/>
            <w:u w:val="single"/>
          </w:rPr>
          <w:t>Full-text access</w:t>
        </w:r>
      </w:hyperlink>
    </w:p>
    <w:p>
      <w:pPr>
        <w:pStyle w:val="Normal"/>
        <w:widowControl/>
        <w:spacing w:after="120"/>
      </w:pPr>
      <w:r>
        <w:t xml:space="preserve"/>
      </w:r>
      <w:r>
        <w:t xml:space="preserve">[V12-39] Moriyama M; Tateishi R; Matsushita Y; et al. Management and Prognosis of HCC Patients With Elevated Tumor Markers but no Imaging Recurrence After Radiofrequency Ablation.. Cancer medicine. 2026; 15(4):e71812. </w:t>
      </w:r>
      <w:hyperlink r:id="rId356">
        <w:r>
          <w:rPr>
            <w:color w:val="0563C1"/>
            <w:u w:val="single"/>
          </w:rPr>
          <w:t>Source</w:t>
        </w:r>
      </w:hyperlink>
      <w:r>
        <w:t xml:space="preserve"> | </w:t>
      </w:r>
      <w:hyperlink r:id="rId357">
        <w:r>
          <w:rPr>
            <w:color w:val="0563C1"/>
            <w:u w:val="single"/>
          </w:rPr>
          <w:t>Full-text access</w:t>
        </w:r>
      </w:hyperlink>
    </w:p>
    <w:p>
      <w:pPr>
        <w:pStyle w:val="Normal"/>
        <w:widowControl/>
        <w:spacing w:after="120"/>
      </w:pPr>
      <w:r>
        <w:t xml:space="preserve"/>
      </w:r>
      <w:r>
        <w:t xml:space="preserve">[V12-40]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358">
        <w:r>
          <w:rPr>
            <w:color w:val="0563C1"/>
            <w:u w:val="single"/>
          </w:rPr>
          <w:t>Source</w:t>
        </w:r>
      </w:hyperlink>
      <w:r>
        <w:t xml:space="preserve"> | </w:t>
      </w:r>
      <w:hyperlink r:id="rId359">
        <w:r>
          <w:rPr>
            <w:color w:val="0563C1"/>
            <w:u w:val="single"/>
          </w:rPr>
          <w:t>Full-text access</w:t>
        </w:r>
      </w:hyperlink>
    </w:p>
    <w:p>
      <w:pPr>
        <w:pStyle w:val="Normal"/>
        <w:widowControl/>
        <w:spacing w:after="120"/>
      </w:pPr>
      <w:r>
        <w:t xml:space="preserve"/>
      </w:r>
      <w:r>
        <w:t xml:space="preserve">[V12-41] Giard JM; Mehta N; Dodge JL; et al. Alpha-Fetoprotein Slope &gt;7.5 ng/mL per Month Predicts Microvascular Invasion and Tumor Recurrence After Liver Transplantation for Hepatocellular Carcinoma.. Transplantation. 2018; 102(5):816-822. </w:t>
      </w:r>
      <w:hyperlink r:id="rId360">
        <w:r>
          <w:rPr>
            <w:color w:val="0563C1"/>
            <w:u w:val="single"/>
          </w:rPr>
          <w:t>Source</w:t>
        </w:r>
      </w:hyperlink>
      <w:r>
        <w:t xml:space="preserve"> | </w:t>
      </w:r>
      <w:hyperlink r:id="rId361">
        <w:r>
          <w:rPr>
            <w:color w:val="0563C1"/>
            <w:u w:val="single"/>
          </w:rPr>
          <w:t>Full-text access</w:t>
        </w:r>
      </w:hyperlink>
      <w:r>
        <w:fldChar w:fldCharType="end"/>
      </w:r>
    </w:p>
    <w:p>
      <w:pPr>
        <w:pStyle w:val="Heading1"/>
        <w:widowControl/>
        <w:keepNext/>
      </w:pPr>
      <w:r>
        <w:t xml:space="preserve">Revision history</w:t>
      </w:r>
    </w:p>
    <w:p>
      <w:pPr>
        <w:pStyle w:val="Normal"/>
        <w:widowControl/>
        <w:spacing w:after="120"/>
      </w:pPr>
      <w:r>
        <w:t xml:space="preserve">2026-10-25 04:38 CDT. Problem and correction: The meeting packet lacked a dedicated AFP-only question. Add B1.1a–f with outcome evidence, source wording, proposed positions and blank decision fields. These questions span standard-route AFP discordance and high-risk review; other B decisions remain unchanged.</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bgbdklqbwdpu6srlaphp" Type="http://schemas.openxmlformats.org/officeDocument/2006/relationships/hyperlink" Target="https://pubmed.ncbi.nlm.nih.gov/38831488" TargetMode="External"/><Relationship Id="rIdvqiopdj-dlpf_wuew6sma" Type="http://schemas.openxmlformats.org/officeDocument/2006/relationships/hyperlink" Target="https://onlinelibrary.wiley.com/doi/10.1111/apt.70333" TargetMode="External"/><Relationship Id="rIdsgvtca97b5xentfxnbxwg" Type="http://schemas.openxmlformats.org/officeDocument/2006/relationships/hyperlink" Target="https://pubmed.ncbi.nlm.nih.gov/39808828" TargetMode="External"/><Relationship Id="rId51_v2-vvx5blwv4riwy4l" Type="http://schemas.openxmlformats.org/officeDocument/2006/relationships/hyperlink" Target="https://pubmed.ncbi.nlm.nih.gov/42294332" TargetMode="External"/><Relationship Id="rIduzsxgw8kypuxhw6yrny6c" Type="http://schemas.openxmlformats.org/officeDocument/2006/relationships/hyperlink" Target="https://www.ncbi.nlm.nih.gov/pmc/articles/PMC10663390/" TargetMode="External"/><Relationship Id="rIdjqh792dqvekp8tfse981a" Type="http://schemas.openxmlformats.org/officeDocument/2006/relationships/hyperlink" Target="https://pubmed.ncbi.nlm.nih.gov/39993401" TargetMode="External"/><Relationship Id="rIdqikuaj7ic8ydl5r_ltc8h" Type="http://schemas.openxmlformats.org/officeDocument/2006/relationships/hyperlink" Target="https://doi.org/10.1097/HEP.0000000000001644" TargetMode="External"/><Relationship Id="rId7kp3ps1xdujb6act9y8nu" Type="http://schemas.openxmlformats.org/officeDocument/2006/relationships/hyperlink" Target="https://www.nccn.org/professionals/physician_gls/pdf/hcc.pdf#page=23" TargetMode="External"/><Relationship Id="rId_xaxgzxuvccejmhbxwmdn" Type="http://schemas.openxmlformats.org/officeDocument/2006/relationships/hyperlink" Target="https://pubmed.ncbi.nlm.nih.gov/41490475" TargetMode="External"/><Relationship Id="rId23b4a3igkc_5hbkr63vol" Type="http://schemas.openxmlformats.org/officeDocument/2006/relationships/hyperlink" Target="https://meetings.asco.org/abstracts-presentations/249709" TargetMode="External"/><Relationship Id="rIdmg_eyoyiojukfxknuoio9" Type="http://schemas.openxmlformats.org/officeDocument/2006/relationships/hyperlink" Target="https://pubmed.ncbi.nlm.nih.gov/42073607" TargetMode="External"/><Relationship Id="rIdhr5wllefnif2_6by1e6j2" Type="http://schemas.openxmlformats.org/officeDocument/2006/relationships/hyperlink" Target="https://www.fda.gov/drugs/drug-approvals-and-databases/approved-drug-products-therapeutic-equivalence-evaluations-orange-book" TargetMode="External"/><Relationship Id="rIdzkqorrjwgzr4cgmfgq3j7" Type="http://schemas.openxmlformats.org/officeDocument/2006/relationships/hyperlink" Target="https://pubmed.ncbi.nlm.nih.gov/38996924" TargetMode="External"/><Relationship Id="rIdsje1ai0t758rlttuqqcgv" Type="http://schemas.openxmlformats.org/officeDocument/2006/relationships/hyperlink" Target="https://pubmed.ncbi.nlm.nih.gov/41855385" TargetMode="External"/><Relationship Id="rIdrer_whzoq7ihici8g5kja" Type="http://schemas.openxmlformats.org/officeDocument/2006/relationships/hyperlink" Target="https://pubmed.ncbi.nlm.nih.gov/41193174" TargetMode="External"/><Relationship Id="rIddbrlhyagrkgmbfflldyuc" Type="http://schemas.openxmlformats.org/officeDocument/2006/relationships/hyperlink" Target="https://pubmed.ncbi.nlm.nih.gov/38253289" TargetMode="External"/><Relationship Id="rIdxl57ukzeuicog554_kmok" Type="http://schemas.openxmlformats.org/officeDocument/2006/relationships/hyperlink" Target="https://onlinelibrary.wiley.com/doi/10.1111/apt.70528" TargetMode="External"/><Relationship Id="rIdernyecji2ykbls1cfotvh" Type="http://schemas.openxmlformats.org/officeDocument/2006/relationships/hyperlink" Target="https://doi.org/10.1097/LVT.0000000000000715" TargetMode="External"/><Relationship Id="rIdfblbaisctpslptrrqxqoi" Type="http://schemas.openxmlformats.org/officeDocument/2006/relationships/hyperlink" Target="https://pubmed.ncbi.nlm.nih.gov/41622628" TargetMode="External"/><Relationship Id="rIdpetrdyo4wmnge9u_ch6jo" Type="http://schemas.openxmlformats.org/officeDocument/2006/relationships/hyperlink" Target="https://pubmed.ncbi.nlm.nih.gov/30568386" TargetMode="External"/><Relationship Id="rIdcodunqyocaipzgbzse7i8" Type="http://schemas.openxmlformats.org/officeDocument/2006/relationships/hyperlink" Target="https://pubmed.ncbi.nlm.nih.gov/36160651" TargetMode="External"/><Relationship Id="rIdvtp-3y5ihff9zrxhzwnil" Type="http://schemas.openxmlformats.org/officeDocument/2006/relationships/hyperlink" Target="https://pubmed.ncbi.nlm.nih.gov/42073605" TargetMode="External"/><Relationship Id="rIdkex91tmzz_vlvwq1bv-7u" Type="http://schemas.openxmlformats.org/officeDocument/2006/relationships/hyperlink" Target="https://pubmed.ncbi.nlm.nih.gov/22047762" TargetMode="External"/><Relationship Id="rId29" Type="http://schemas.openxmlformats.org/officeDocument/2006/relationships/fontTable" Target="fontTable.xml"/><Relationship Id="rId30" Type="http://schemas.openxmlformats.org/officeDocument/2006/relationships/hyperlink" Target="https://drliuhao.github.io/mh-liver-pathways/evidence/2026-10-25/docs/01_HCC_High_Risk_Protocol_v12.docx" TargetMode="External"/><Relationship Id="rId31" Type="http://schemas.openxmlformats.org/officeDocument/2006/relationships/hyperlink" Target="https://doi.org/10.1002/hep.27752" TargetMode="External"/><Relationship Id="rId32" Type="http://schemas.openxmlformats.org/officeDocument/2006/relationships/hyperlink" Target="https://libkey.io/libraries/480/10.1002/hep.27752" TargetMode="External"/><Relationship Id="rId33" Type="http://schemas.openxmlformats.org/officeDocument/2006/relationships/hyperlink" Target="https://doi.org/10.1053/j.gastro.2021.07.033" TargetMode="External"/><Relationship Id="rId34" Type="http://schemas.openxmlformats.org/officeDocument/2006/relationships/hyperlink" Target="https://libkey.io/libraries/480/10.1053/j.gastro.2021.07.033" TargetMode="External"/><Relationship Id="rId35" Type="http://schemas.openxmlformats.org/officeDocument/2006/relationships/hyperlink" Target="https://doi.org/10.1002/hep.30570" TargetMode="External"/><Relationship Id="rId36" Type="http://schemas.openxmlformats.org/officeDocument/2006/relationships/hyperlink" Target="https://libkey.io/libraries/480/10.1002/hep.30570" TargetMode="External"/><Relationship Id="rId37" Type="http://schemas.openxmlformats.org/officeDocument/2006/relationships/hyperlink" Target="https://doi.org/10.1016/j.ajt.2023.07.021" TargetMode="External"/><Relationship Id="rId38" Type="http://schemas.openxmlformats.org/officeDocument/2006/relationships/hyperlink" Target="https://libkey.io/libraries/480/10.1016/j.ajt.2023.07.021" TargetMode="External"/><Relationship Id="rId39" Type="http://schemas.openxmlformats.org/officeDocument/2006/relationships/hyperlink" Target="https://doi.org/10.1097/HEP.0000000000001231" TargetMode="External"/><Relationship Id="rId40" Type="http://schemas.openxmlformats.org/officeDocument/2006/relationships/hyperlink" Target="https://libkey.io/libraries/480/10.1097/HEP.0000000000001231" TargetMode="External"/><Relationship Id="rId41" Type="http://schemas.openxmlformats.org/officeDocument/2006/relationships/hyperlink" Target="https://doi.org/10.1016/S1470-2045(20)30224-2" TargetMode="External"/><Relationship Id="rId42" Type="http://schemas.openxmlformats.org/officeDocument/2006/relationships/hyperlink" Target="https://libkey.io/libraries/480/10.1016/S1470-2045(20)30224-2" TargetMode="External"/><Relationship Id="rId43" Type="http://schemas.openxmlformats.org/officeDocument/2006/relationships/hyperlink" Target="https://doi.org/10.1016/j.cgh.2022.08.023" TargetMode="External"/><Relationship Id="rId44" Type="http://schemas.openxmlformats.org/officeDocument/2006/relationships/hyperlink" Target="https://libkey.io/libraries/480/10.1016/j.cgh.2022.08.023" TargetMode="External"/><Relationship Id="rId45" Type="http://schemas.openxmlformats.org/officeDocument/2006/relationships/hyperlink" Target="https://doi.org/10.1001/jamasurg.2022.2800" TargetMode="External"/><Relationship Id="rId46" Type="http://schemas.openxmlformats.org/officeDocument/2006/relationships/hyperlink" Target="https://libkey.io/libraries/480/10.1001/jamasurg.2022.2800" TargetMode="External"/><Relationship Id="rId47" Type="http://schemas.openxmlformats.org/officeDocument/2006/relationships/hyperlink" Target="https://doi.org/10.1097/HEP.0000000000001231" TargetMode="External"/><Relationship Id="rId48" Type="http://schemas.openxmlformats.org/officeDocument/2006/relationships/hyperlink" Target="https://libkey.io/libraries/480/10.1097/HEP.0000000000001231" TargetMode="External"/><Relationship Id="rId49" Type="http://schemas.openxmlformats.org/officeDocument/2006/relationships/hyperlink" Target="https://doi.org/10.1097/HEP.0000000000001231" TargetMode="External"/><Relationship Id="rId50" Type="http://schemas.openxmlformats.org/officeDocument/2006/relationships/hyperlink" Target="https://libkey.io/libraries/480/10.1097/HEP.0000000000001231" TargetMode="External"/><Relationship Id="rId51" Type="http://schemas.openxmlformats.org/officeDocument/2006/relationships/hyperlink" Target="https://doi.org/10.1097/HEP.0000000000000466" TargetMode="External"/><Relationship Id="rId52" Type="http://schemas.openxmlformats.org/officeDocument/2006/relationships/hyperlink" Target="https://libkey.io/libraries/480/10.1097/HEP.0000000000000466" TargetMode="External"/><Relationship Id="rId53" Type="http://schemas.openxmlformats.org/officeDocument/2006/relationships/hyperlink" Target="https://drliuhao.github.io/mh-liver-pathways/evidence/2026-10-25/docs/01_HCC_High_Risk_Protocol_v12.docx" TargetMode="External"/><Relationship Id="rId54" Type="http://schemas.openxmlformats.org/officeDocument/2006/relationships/hyperlink" Target="https://doi.org/10.1097/JS9.0000000000004077" TargetMode="External"/><Relationship Id="rId55" Type="http://schemas.openxmlformats.org/officeDocument/2006/relationships/hyperlink" Target="https://libkey.io/libraries/480/10.1097/JS9.0000000000004077" TargetMode="External"/><Relationship Id="rId56" Type="http://schemas.openxmlformats.org/officeDocument/2006/relationships/hyperlink" Target="https://doi.org/10.1002/lt.24782" TargetMode="External"/><Relationship Id="rId57" Type="http://schemas.openxmlformats.org/officeDocument/2006/relationships/hyperlink" Target="https://libkey.io/libraries/480/10.1002/lt.24782" TargetMode="External"/><Relationship Id="rId58" Type="http://schemas.openxmlformats.org/officeDocument/2006/relationships/hyperlink" Target="https://doi.org/10.1016/j.hbpd.2020.03.009" TargetMode="External"/><Relationship Id="rId59" Type="http://schemas.openxmlformats.org/officeDocument/2006/relationships/hyperlink" Target="https://libkey.io/libraries/480/10.1016/j.hbpd.2020.03.009" TargetMode="External"/><Relationship Id="rId60" Type="http://schemas.openxmlformats.org/officeDocument/2006/relationships/hyperlink" Target="https://doi.org/10.21037/jgo-24-328" TargetMode="External"/><Relationship Id="rId61" Type="http://schemas.openxmlformats.org/officeDocument/2006/relationships/hyperlink" Target="https://libkey.io/libraries/480/10.21037/jgo-24-328" TargetMode="External"/><Relationship Id="rId62" Type="http://schemas.openxmlformats.org/officeDocument/2006/relationships/hyperlink" Target="https://doi.org/10.1097/TP.0000000000003162" TargetMode="External"/><Relationship Id="rId63" Type="http://schemas.openxmlformats.org/officeDocument/2006/relationships/hyperlink" Target="https://libkey.io/libraries/480/10.1097/TP.0000000000003162" TargetMode="External"/><Relationship Id="rId64" Type="http://schemas.openxmlformats.org/officeDocument/2006/relationships/hyperlink" Target="https://doi.org/10.1111/tri.13586" TargetMode="External"/><Relationship Id="rId65" Type="http://schemas.openxmlformats.org/officeDocument/2006/relationships/hyperlink" Target="https://libkey.io/libraries/480/10.1111/tri.13586" TargetMode="External"/><Relationship Id="rId66" Type="http://schemas.openxmlformats.org/officeDocument/2006/relationships/hyperlink" Target="https://doi.org/10.1097/HEP.0000000000001801" TargetMode="External"/><Relationship Id="rId67" Type="http://schemas.openxmlformats.org/officeDocument/2006/relationships/hyperlink" Target="https://libkey.io/libraries/480/10.1097/HEP.0000000000001801" TargetMode="External"/><Relationship Id="rId68" Type="http://schemas.openxmlformats.org/officeDocument/2006/relationships/hyperlink" Target="https://doi.org/10.1097/JS9.0000000000004077" TargetMode="External"/><Relationship Id="rId69" Type="http://schemas.openxmlformats.org/officeDocument/2006/relationships/hyperlink" Target="https://libkey.io/libraries/480/10.1097/JS9.0000000000004077" TargetMode="External"/><Relationship Id="rId70" Type="http://schemas.openxmlformats.org/officeDocument/2006/relationships/hyperlink" Target="https://doi.org/10.1002/lt.24782" TargetMode="External"/><Relationship Id="rId71" Type="http://schemas.openxmlformats.org/officeDocument/2006/relationships/hyperlink" Target="https://libkey.io/libraries/480/10.1002/lt.24782" TargetMode="External"/><Relationship Id="rId72" Type="http://schemas.openxmlformats.org/officeDocument/2006/relationships/hyperlink" Target="https://doi.org/10.1016/j.hbpd.2020.03.009" TargetMode="External"/><Relationship Id="rId73" Type="http://schemas.openxmlformats.org/officeDocument/2006/relationships/hyperlink" Target="https://libkey.io/libraries/480/10.1016/j.hbpd.2020.03.009" TargetMode="External"/><Relationship Id="rId74" Type="http://schemas.openxmlformats.org/officeDocument/2006/relationships/hyperlink" Target="https://doi.org/10.21037/jgo-24-328" TargetMode="External"/><Relationship Id="rId75" Type="http://schemas.openxmlformats.org/officeDocument/2006/relationships/hyperlink" Target="https://libkey.io/libraries/480/10.21037/jgo-24-328" TargetMode="External"/><Relationship Id="rId76" Type="http://schemas.openxmlformats.org/officeDocument/2006/relationships/hyperlink" Target="https://doi.org/10.1097/TP.0000000000003162" TargetMode="External"/><Relationship Id="rId77" Type="http://schemas.openxmlformats.org/officeDocument/2006/relationships/hyperlink" Target="https://libkey.io/libraries/480/10.1097/TP.0000000000003162" TargetMode="External"/><Relationship Id="rId78" Type="http://schemas.openxmlformats.org/officeDocument/2006/relationships/hyperlink" Target="https://doi.org/10.1097/JS9.0000000000004077" TargetMode="External"/><Relationship Id="rId79" Type="http://schemas.openxmlformats.org/officeDocument/2006/relationships/hyperlink" Target="https://libkey.io/libraries/480/10.1097/JS9.0000000000004077" TargetMode="External"/><Relationship Id="rId80" Type="http://schemas.openxmlformats.org/officeDocument/2006/relationships/hyperlink" Target="https://doi.org/10.1097/JS9.0000000000004077" TargetMode="External"/><Relationship Id="rId81" Type="http://schemas.openxmlformats.org/officeDocument/2006/relationships/hyperlink" Target="https://libkey.io/libraries/480/10.1097/JS9.0000000000004077" TargetMode="External"/><Relationship Id="rId82" Type="http://schemas.openxmlformats.org/officeDocument/2006/relationships/hyperlink" Target="https://doi.org/10.21037/jgo-24-328" TargetMode="External"/><Relationship Id="rId83" Type="http://schemas.openxmlformats.org/officeDocument/2006/relationships/hyperlink" Target="https://libkey.io/libraries/480/10.21037/jgo-24-328" TargetMode="External"/><Relationship Id="rId84" Type="http://schemas.openxmlformats.org/officeDocument/2006/relationships/hyperlink" Target="https://doi.org/10.1002/lt.24782" TargetMode="External"/><Relationship Id="rId85" Type="http://schemas.openxmlformats.org/officeDocument/2006/relationships/hyperlink" Target="https://libkey.io/libraries/480/10.1002/lt.24782" TargetMode="External"/><Relationship Id="rId86" Type="http://schemas.openxmlformats.org/officeDocument/2006/relationships/hyperlink" Target="https://doi.org/10.1016/j.hbpd.2020.03.009" TargetMode="External"/><Relationship Id="rId87" Type="http://schemas.openxmlformats.org/officeDocument/2006/relationships/hyperlink" Target="https://libkey.io/libraries/480/10.1016/j.hbpd.2020.03.009" TargetMode="External"/><Relationship Id="rId88" Type="http://schemas.openxmlformats.org/officeDocument/2006/relationships/hyperlink" Target="https://doi.org/10.1097/TP.0000000000003162" TargetMode="External"/><Relationship Id="rId89" Type="http://schemas.openxmlformats.org/officeDocument/2006/relationships/hyperlink" Target="https://libkey.io/libraries/480/10.1097/TP.0000000000003162" TargetMode="External"/><Relationship Id="rId90" Type="http://schemas.openxmlformats.org/officeDocument/2006/relationships/hyperlink" Target="https://doi.org/10.1097/HEP.0000000000001801" TargetMode="External"/><Relationship Id="rId91" Type="http://schemas.openxmlformats.org/officeDocument/2006/relationships/hyperlink" Target="https://libkey.io/libraries/480/10.1097/HEP.0000000000001801" TargetMode="External"/><Relationship Id="rId92" Type="http://schemas.openxmlformats.org/officeDocument/2006/relationships/hyperlink" Target="https://doi.org/10.1097/JS9.0000000000004077" TargetMode="External"/><Relationship Id="rId93" Type="http://schemas.openxmlformats.org/officeDocument/2006/relationships/hyperlink" Target="https://libkey.io/libraries/480/10.1097/JS9.0000000000004077" TargetMode="External"/><Relationship Id="rId94" Type="http://schemas.openxmlformats.org/officeDocument/2006/relationships/hyperlink" Target="https://doi.org/10.1097/JS9.0000000000004077" TargetMode="External"/><Relationship Id="rId95" Type="http://schemas.openxmlformats.org/officeDocument/2006/relationships/hyperlink" Target="https://libkey.io/libraries/480/10.1097/JS9.0000000000004077" TargetMode="External"/><Relationship Id="rId96" Type="http://schemas.openxmlformats.org/officeDocument/2006/relationships/hyperlink" Target="https://doi.org/10.21037/jgo-24-328" TargetMode="External"/><Relationship Id="rId97" Type="http://schemas.openxmlformats.org/officeDocument/2006/relationships/hyperlink" Target="https://libkey.io/libraries/480/10.21037/jgo-24-328" TargetMode="External"/><Relationship Id="rId98" Type="http://schemas.openxmlformats.org/officeDocument/2006/relationships/hyperlink" Target="https://www.hrsa.gov/sites/default/files/hrsa/optn/adult-meld-exception-transplant-oncology-review-guidance.pdf" TargetMode="External"/><Relationship Id="rId99" Type="http://schemas.openxmlformats.org/officeDocument/2006/relationships/hyperlink" Target="https://drliuhao.github.io/mh-liver-pathways/evidence/2026-10-25/" TargetMode="External"/><Relationship Id="rId100" Type="http://schemas.openxmlformats.org/officeDocument/2006/relationships/hyperlink" Target="https://doi.org/10.1097/HEP.0000000000001801" TargetMode="External"/><Relationship Id="rId101" Type="http://schemas.openxmlformats.org/officeDocument/2006/relationships/hyperlink" Target="https://libkey.io/libraries/480/10.1097/HEP.0000000000001801" TargetMode="External"/><Relationship Id="rId102" Type="http://schemas.openxmlformats.org/officeDocument/2006/relationships/hyperlink" Target="https://doi.org/10.1097/HEP.0000000000001801" TargetMode="External"/><Relationship Id="rId103" Type="http://schemas.openxmlformats.org/officeDocument/2006/relationships/hyperlink" Target="https://libkey.io/libraries/480/10.1097/HEP.0000000000001801" TargetMode="External"/><Relationship Id="rId104" Type="http://schemas.openxmlformats.org/officeDocument/2006/relationships/hyperlink" Target="https://drliuhao.github.io/mh-liver-pathways/evidence/2026-10-25/docs/01_HCC_High_Risk_Protocol_v12.docx" TargetMode="External"/><Relationship Id="rId105" Type="http://schemas.openxmlformats.org/officeDocument/2006/relationships/hyperlink" Target="https://doi.org/10.1016/j.jhep.2024.09.003" TargetMode="External"/><Relationship Id="rId106" Type="http://schemas.openxmlformats.org/officeDocument/2006/relationships/hyperlink" Target="https://libkey.io/libraries/480/10.1016/j.jhep.2024.09.003" TargetMode="External"/><Relationship Id="rId107" Type="http://schemas.openxmlformats.org/officeDocument/2006/relationships/hyperlink" Target="https://doi.org/10.1016/j.jhep.2026.02.019" TargetMode="External"/><Relationship Id="rId108" Type="http://schemas.openxmlformats.org/officeDocument/2006/relationships/hyperlink" Target="https://libkey.io/libraries/480/10.1016/j.jhep.2026.02.019" TargetMode="External"/><Relationship Id="rId109" Type="http://schemas.openxmlformats.org/officeDocument/2006/relationships/hyperlink" Target="https://doi.org/10.1097/HEP.0000000000001289" TargetMode="External"/><Relationship Id="rId110" Type="http://schemas.openxmlformats.org/officeDocument/2006/relationships/hyperlink" Target="https://libkey.io/libraries/480/10.1097/HEP.0000000000001289" TargetMode="External"/><Relationship Id="rId111" Type="http://schemas.openxmlformats.org/officeDocument/2006/relationships/hyperlink" Target="https://doi.org/10.1016/j.jhep.2024.06.042" TargetMode="External"/><Relationship Id="rId112" Type="http://schemas.openxmlformats.org/officeDocument/2006/relationships/hyperlink" Target="https://libkey.io/libraries/480/10.1016/j.jhep.2024.06.042" TargetMode="External"/><Relationship Id="rId113" Type="http://schemas.openxmlformats.org/officeDocument/2006/relationships/hyperlink" Target="https://doi.org/10.1136/gutjnl-2025-336719" TargetMode="External"/><Relationship Id="rId114" Type="http://schemas.openxmlformats.org/officeDocument/2006/relationships/hyperlink" Target="https://libkey.io/libraries/480/10.1136/gutjnl-2025-336719" TargetMode="External"/><Relationship Id="rId115" Type="http://schemas.openxmlformats.org/officeDocument/2006/relationships/hyperlink" Target="https://doi.org/10.1111/apt.70528" TargetMode="External"/><Relationship Id="rId116" Type="http://schemas.openxmlformats.org/officeDocument/2006/relationships/hyperlink" Target="https://libkey.io/libraries/480/10.1111/apt.70528" TargetMode="External"/><Relationship Id="rId117" Type="http://schemas.openxmlformats.org/officeDocument/2006/relationships/hyperlink" Target="https://doi.org/10.1111/liv.70692" TargetMode="External"/><Relationship Id="rId118" Type="http://schemas.openxmlformats.org/officeDocument/2006/relationships/hyperlink" Target="https://libkey.io/libraries/480/10.1111/liv.70692" TargetMode="External"/><Relationship Id="rId119" Type="http://schemas.openxmlformats.org/officeDocument/2006/relationships/hyperlink" Target="https://doi.org/10.1001/jamaoncol.2026.3901" TargetMode="External"/><Relationship Id="rId120" Type="http://schemas.openxmlformats.org/officeDocument/2006/relationships/hyperlink" Target="https://libkey.io/libraries/480/10.1001/jamaoncol.2026.3901" TargetMode="External"/><Relationship Id="rId121" Type="http://schemas.openxmlformats.org/officeDocument/2006/relationships/hyperlink" Target="https://onlinelibrary.wiley.com/doi/10.1111/apt.70333" TargetMode="External"/><Relationship Id="rId122" Type="http://schemas.openxmlformats.org/officeDocument/2006/relationships/hyperlink" Target="https://libkey.io/libraries/480/10.1111/apt.70333" TargetMode="External"/><Relationship Id="rId123" Type="http://schemas.openxmlformats.org/officeDocument/2006/relationships/hyperlink" Target="https://pubmed.ncbi.nlm.nih.gov/42073607" TargetMode="External"/><Relationship Id="rId124" Type="http://schemas.openxmlformats.org/officeDocument/2006/relationships/hyperlink" Target="https://libkey.io/libraries/480/10.3390/cancers18081284" TargetMode="External"/><Relationship Id="rId125" Type="http://schemas.openxmlformats.org/officeDocument/2006/relationships/hyperlink" Target="https://doi.org/10.1016/j.jhep.2024.06.042" TargetMode="External"/><Relationship Id="rId126" Type="http://schemas.openxmlformats.org/officeDocument/2006/relationships/hyperlink" Target="https://libkey.io/libraries/480/10.1016/j.jhep.2024.06.042" TargetMode="External"/><Relationship Id="rId127" Type="http://schemas.openxmlformats.org/officeDocument/2006/relationships/hyperlink" Target="https://doi.org/10.1136/gutjnl-2025-336719" TargetMode="External"/><Relationship Id="rId128" Type="http://schemas.openxmlformats.org/officeDocument/2006/relationships/hyperlink" Target="https://libkey.io/libraries/480/10.1136/gutjnl-2025-336719" TargetMode="External"/><Relationship Id="rId129" Type="http://schemas.openxmlformats.org/officeDocument/2006/relationships/hyperlink" Target="https://drliuhao.github.io/mh-liver-pathways/evidence/2026-10-25/docs/01_HCC_High_Risk_Protocol_v12.docx" TargetMode="External"/><Relationship Id="rId130" Type="http://schemas.openxmlformats.org/officeDocument/2006/relationships/hyperlink" Target="https://doi.org/10.1111/ctr.70488" TargetMode="External"/><Relationship Id="rId131" Type="http://schemas.openxmlformats.org/officeDocument/2006/relationships/hyperlink" Target="https://libkey.io/libraries/480/10.1111/ctr.70488" TargetMode="External"/><Relationship Id="rId132" Type="http://schemas.openxmlformats.org/officeDocument/2006/relationships/hyperlink" Target="https://doi.org/10.1097/HC9.0000000000000619" TargetMode="External"/><Relationship Id="rId133" Type="http://schemas.openxmlformats.org/officeDocument/2006/relationships/hyperlink" Target="https://libkey.io/libraries/480/10.1097/HC9.0000000000000619" TargetMode="External"/><Relationship Id="rId134" Type="http://schemas.openxmlformats.org/officeDocument/2006/relationships/hyperlink" Target="https://doi.org/10.1002/hep.29342" TargetMode="External"/><Relationship Id="rId135" Type="http://schemas.openxmlformats.org/officeDocument/2006/relationships/hyperlink" Target="https://libkey.io/libraries/480/10.1002/hep.29342" TargetMode="External"/><Relationship Id="rId136" Type="http://schemas.openxmlformats.org/officeDocument/2006/relationships/hyperlink" Target="https://doi.org/10.1016/j.jhepr.2023.100907" TargetMode="External"/><Relationship Id="rId137" Type="http://schemas.openxmlformats.org/officeDocument/2006/relationships/hyperlink" Target="https://libkey.io/libraries/480/10.1016/j.jhepr.2023.100907" TargetMode="External"/><Relationship Id="rId138" Type="http://schemas.openxmlformats.org/officeDocument/2006/relationships/hyperlink" Target="https://doi.org/10.1016/j.jhep.2024.03.020" TargetMode="External"/><Relationship Id="rId139" Type="http://schemas.openxmlformats.org/officeDocument/2006/relationships/hyperlink" Target="https://libkey.io/libraries/480/10.1016/j.jhep.2024.03.020" TargetMode="External"/><Relationship Id="rId140" Type="http://schemas.openxmlformats.org/officeDocument/2006/relationships/hyperlink" Target="https://doi.org/10.1177/09622802261420699" TargetMode="External"/><Relationship Id="rId141" Type="http://schemas.openxmlformats.org/officeDocument/2006/relationships/hyperlink" Target="https://libkey.io/libraries/480/10.1177/09622802261420699" TargetMode="External"/><Relationship Id="rId142" Type="http://schemas.openxmlformats.org/officeDocument/2006/relationships/hyperlink" Target="https://doi.org/10.1111/ctr.70488" TargetMode="External"/><Relationship Id="rId143" Type="http://schemas.openxmlformats.org/officeDocument/2006/relationships/hyperlink" Target="https://libkey.io/libraries/480/10.1111/ctr.70488" TargetMode="External"/><Relationship Id="rId144" Type="http://schemas.openxmlformats.org/officeDocument/2006/relationships/hyperlink" Target="https://doi.org/10.1111/ctr.70488" TargetMode="External"/><Relationship Id="rId145" Type="http://schemas.openxmlformats.org/officeDocument/2006/relationships/hyperlink" Target="https://libkey.io/libraries/480/10.1111/ctr.70488" TargetMode="External"/><Relationship Id="rId146" Type="http://schemas.openxmlformats.org/officeDocument/2006/relationships/hyperlink" Target="https://drliuhao.github.io/mh-liver-pathways/evidence/2026-10-25/" TargetMode="External"/><Relationship Id="rId147" Type="http://schemas.openxmlformats.org/officeDocument/2006/relationships/hyperlink" Target="https://drliuhao.github.io/mh-liver-pathways/evidence/2026-10-25/" TargetMode="External"/><Relationship Id="rId148" Type="http://schemas.openxmlformats.org/officeDocument/2006/relationships/hyperlink" Target="https://www.hrsa.gov/sites/default/files/hrsa/optn/optn_policies.pdf" TargetMode="External"/><Relationship Id="rId149" Type="http://schemas.openxmlformats.org/officeDocument/2006/relationships/hyperlink" Target="https://drliuhao.github.io/mh-liver-pathways/evidence/2026-10-25/" TargetMode="External"/><Relationship Id="rId150" Type="http://schemas.openxmlformats.org/officeDocument/2006/relationships/hyperlink" Target="https://www.hrsa.gov/sites/default/files/hrsa/optn/adult-meld-exception-transplant-oncology-review-guidance.pdf" TargetMode="External"/><Relationship Id="rId151" Type="http://schemas.openxmlformats.org/officeDocument/2006/relationships/hyperlink" Target="https://drliuhao.github.io/mh-liver-pathways/evidence/2026-10-25/" TargetMode="External"/><Relationship Id="rId152" Type="http://schemas.openxmlformats.org/officeDocument/2006/relationships/hyperlink" Target="https://doi.org/10.1002/hep.27752" TargetMode="External"/><Relationship Id="rId153" Type="http://schemas.openxmlformats.org/officeDocument/2006/relationships/hyperlink" Target="https://libkey.io/libraries/480/10.1002/hep.27752" TargetMode="External"/><Relationship Id="rId154" Type="http://schemas.openxmlformats.org/officeDocument/2006/relationships/hyperlink" Target="https://doi.org/10.1053/j.gastro.2021.07.033" TargetMode="External"/><Relationship Id="rId155" Type="http://schemas.openxmlformats.org/officeDocument/2006/relationships/hyperlink" Target="https://libkey.io/libraries/480/10.1053/j.gastro.2021.07.033" TargetMode="External"/><Relationship Id="rId156" Type="http://schemas.openxmlformats.org/officeDocument/2006/relationships/hyperlink" Target="https://doi.org/10.1002/hep.30570" TargetMode="External"/><Relationship Id="rId157" Type="http://schemas.openxmlformats.org/officeDocument/2006/relationships/hyperlink" Target="https://libkey.io/libraries/480/10.1002/hep.30570" TargetMode="External"/><Relationship Id="rId158" Type="http://schemas.openxmlformats.org/officeDocument/2006/relationships/hyperlink" Target="https://doi.org/10.1016/j.ajt.2023.07.021" TargetMode="External"/><Relationship Id="rId159" Type="http://schemas.openxmlformats.org/officeDocument/2006/relationships/hyperlink" Target="https://libkey.io/libraries/480/10.1016/j.ajt.2023.07.021" TargetMode="External"/><Relationship Id="rId160" Type="http://schemas.openxmlformats.org/officeDocument/2006/relationships/hyperlink" Target="https://doi.org/10.1097/HEP.0000000000001231" TargetMode="External"/><Relationship Id="rId161" Type="http://schemas.openxmlformats.org/officeDocument/2006/relationships/hyperlink" Target="https://libkey.io/libraries/480/10.1097/HEP.0000000000001231" TargetMode="External"/><Relationship Id="rId162" Type="http://schemas.openxmlformats.org/officeDocument/2006/relationships/hyperlink" Target="https://doi.org/10.1016/S1470-2045(20)30224-2" TargetMode="External"/><Relationship Id="rId163" Type="http://schemas.openxmlformats.org/officeDocument/2006/relationships/hyperlink" Target="https://libkey.io/libraries/480/10.1016/S1470-2045(20)30224-2" TargetMode="External"/><Relationship Id="rId164" Type="http://schemas.openxmlformats.org/officeDocument/2006/relationships/hyperlink" Target="https://doi.org/10.1016/j.cgh.2022.08.023" TargetMode="External"/><Relationship Id="rId165" Type="http://schemas.openxmlformats.org/officeDocument/2006/relationships/hyperlink" Target="https://libkey.io/libraries/480/10.1016/j.cgh.2022.08.023" TargetMode="External"/><Relationship Id="rId166" Type="http://schemas.openxmlformats.org/officeDocument/2006/relationships/hyperlink" Target="https://doi.org/10.1001/jamasurg.2022.2800" TargetMode="External"/><Relationship Id="rId167" Type="http://schemas.openxmlformats.org/officeDocument/2006/relationships/hyperlink" Target="https://libkey.io/libraries/480/10.1001/jamasurg.2022.2800" TargetMode="External"/><Relationship Id="rId168" Type="http://schemas.openxmlformats.org/officeDocument/2006/relationships/hyperlink" Target="https://doi.org/10.1097/HEP.0000000000000466" TargetMode="External"/><Relationship Id="rId169" Type="http://schemas.openxmlformats.org/officeDocument/2006/relationships/hyperlink" Target="https://libkey.io/libraries/480/10.1097/HEP.0000000000000466" TargetMode="External"/><Relationship Id="rId170" Type="http://schemas.openxmlformats.org/officeDocument/2006/relationships/hyperlink" Target="https://doi.org/10.1038/s41571-026-01160-z" TargetMode="External"/><Relationship Id="rId171" Type="http://schemas.openxmlformats.org/officeDocument/2006/relationships/hyperlink" Target="https://libkey.io/libraries/480/10.1038/s41571-026-01160-z" TargetMode="External"/><Relationship Id="rId172" Type="http://schemas.openxmlformats.org/officeDocument/2006/relationships/hyperlink" Target="https://doi.org/10.1097/JS9.0000000000004077" TargetMode="External"/><Relationship Id="rId173" Type="http://schemas.openxmlformats.org/officeDocument/2006/relationships/hyperlink" Target="https://libkey.io/libraries/480/10.1097/JS9.0000000000004077" TargetMode="External"/><Relationship Id="rId174" Type="http://schemas.openxmlformats.org/officeDocument/2006/relationships/hyperlink" Target="https://doi.org/10.1002/lt.24782" TargetMode="External"/><Relationship Id="rId175" Type="http://schemas.openxmlformats.org/officeDocument/2006/relationships/hyperlink" Target="https://libkey.io/libraries/480/10.1002/lt.24782" TargetMode="External"/><Relationship Id="rId176" Type="http://schemas.openxmlformats.org/officeDocument/2006/relationships/hyperlink" Target="https://doi.org/10.1016/j.hbpd.2020.03.009" TargetMode="External"/><Relationship Id="rId177" Type="http://schemas.openxmlformats.org/officeDocument/2006/relationships/hyperlink" Target="https://libkey.io/libraries/480/10.1016/j.hbpd.2020.03.009" TargetMode="External"/><Relationship Id="rId178" Type="http://schemas.openxmlformats.org/officeDocument/2006/relationships/hyperlink" Target="https://doi.org/10.21037/jgo-24-328" TargetMode="External"/><Relationship Id="rId179" Type="http://schemas.openxmlformats.org/officeDocument/2006/relationships/hyperlink" Target="https://libkey.io/libraries/480/10.21037/jgo-24-328" TargetMode="External"/><Relationship Id="rId180" Type="http://schemas.openxmlformats.org/officeDocument/2006/relationships/hyperlink" Target="https://doi.org/10.1097/TP.0000000000003162" TargetMode="External"/><Relationship Id="rId181" Type="http://schemas.openxmlformats.org/officeDocument/2006/relationships/hyperlink" Target="https://libkey.io/libraries/480/10.1097/TP.0000000000003162" TargetMode="External"/><Relationship Id="rId182" Type="http://schemas.openxmlformats.org/officeDocument/2006/relationships/hyperlink" Target="https://doi.org/10.1111/tri.13586" TargetMode="External"/><Relationship Id="rId183" Type="http://schemas.openxmlformats.org/officeDocument/2006/relationships/hyperlink" Target="https://libkey.io/libraries/480/10.1111/tri.13586" TargetMode="External"/><Relationship Id="rId184" Type="http://schemas.openxmlformats.org/officeDocument/2006/relationships/hyperlink" Target="https://doi.org/10.1097/HEP.0000000000001801" TargetMode="External"/><Relationship Id="rId185" Type="http://schemas.openxmlformats.org/officeDocument/2006/relationships/hyperlink" Target="https://libkey.io/libraries/480/10.1097/HEP.0000000000001801" TargetMode="External"/><Relationship Id="rId186" Type="http://schemas.openxmlformats.org/officeDocument/2006/relationships/hyperlink" Target="https://doi.org/10.1097/LVT.0000000000000589" TargetMode="External"/><Relationship Id="rId187" Type="http://schemas.openxmlformats.org/officeDocument/2006/relationships/hyperlink" Target="https://libkey.io/libraries/480/10.1097/LVT.0000000000000589" TargetMode="External"/><Relationship Id="rId188" Type="http://schemas.openxmlformats.org/officeDocument/2006/relationships/hyperlink" Target="https://doi.org/10.1016/j.jhep.2024.09.003" TargetMode="External"/><Relationship Id="rId189" Type="http://schemas.openxmlformats.org/officeDocument/2006/relationships/hyperlink" Target="https://libkey.io/libraries/480/10.1016/j.jhep.2024.09.003" TargetMode="External"/><Relationship Id="rId190" Type="http://schemas.openxmlformats.org/officeDocument/2006/relationships/hyperlink" Target="https://doi.org/10.1016/j.jhep.2026.02.019" TargetMode="External"/><Relationship Id="rId191" Type="http://schemas.openxmlformats.org/officeDocument/2006/relationships/hyperlink" Target="https://libkey.io/libraries/480/10.1016/j.jhep.2026.02.019" TargetMode="External"/><Relationship Id="rId192" Type="http://schemas.openxmlformats.org/officeDocument/2006/relationships/hyperlink" Target="https://doi.org/10.1097/HEP.0000000000001289" TargetMode="External"/><Relationship Id="rId193" Type="http://schemas.openxmlformats.org/officeDocument/2006/relationships/hyperlink" Target="https://libkey.io/libraries/480/10.1097/HEP.0000000000001289" TargetMode="External"/><Relationship Id="rId194" Type="http://schemas.openxmlformats.org/officeDocument/2006/relationships/hyperlink" Target="https://doi.org/10.1016/j.jhep.2024.06.042" TargetMode="External"/><Relationship Id="rId195" Type="http://schemas.openxmlformats.org/officeDocument/2006/relationships/hyperlink" Target="https://libkey.io/libraries/480/10.1016/j.jhep.2024.06.042" TargetMode="External"/><Relationship Id="rId196" Type="http://schemas.openxmlformats.org/officeDocument/2006/relationships/hyperlink" Target="https://doi.org/10.1136/gutjnl-2025-336719" TargetMode="External"/><Relationship Id="rId197" Type="http://schemas.openxmlformats.org/officeDocument/2006/relationships/hyperlink" Target="https://libkey.io/libraries/480/10.1136/gutjnl-2025-336719" TargetMode="External"/><Relationship Id="rId198" Type="http://schemas.openxmlformats.org/officeDocument/2006/relationships/hyperlink" Target="https://doi.org/10.1111/apt.70528" TargetMode="External"/><Relationship Id="rId199" Type="http://schemas.openxmlformats.org/officeDocument/2006/relationships/hyperlink" Target="https://libkey.io/libraries/480/10.1111/apt.70528" TargetMode="External"/><Relationship Id="rId200" Type="http://schemas.openxmlformats.org/officeDocument/2006/relationships/hyperlink" Target="https://doi.org/10.1111/liv.70692" TargetMode="External"/><Relationship Id="rId201" Type="http://schemas.openxmlformats.org/officeDocument/2006/relationships/hyperlink" Target="https://libkey.io/libraries/480/10.1111/liv.70692" TargetMode="External"/><Relationship Id="rId202" Type="http://schemas.openxmlformats.org/officeDocument/2006/relationships/hyperlink" Target="https://doi.org/10.1001/jamaoncol.2026.3901" TargetMode="External"/><Relationship Id="rId203" Type="http://schemas.openxmlformats.org/officeDocument/2006/relationships/hyperlink" Target="https://libkey.io/libraries/480/10.1001/jamaoncol.2026.3901" TargetMode="External"/><Relationship Id="rId204" Type="http://schemas.openxmlformats.org/officeDocument/2006/relationships/hyperlink" Target="https://onlinelibrary.wiley.com/doi/10.1111/apt.70333" TargetMode="External"/><Relationship Id="rId205" Type="http://schemas.openxmlformats.org/officeDocument/2006/relationships/hyperlink" Target="https://libkey.io/libraries/480/10.1111/apt.70333" TargetMode="External"/><Relationship Id="rId206" Type="http://schemas.openxmlformats.org/officeDocument/2006/relationships/hyperlink" Target="https://pubmed.ncbi.nlm.nih.gov/42073607" TargetMode="External"/><Relationship Id="rId207" Type="http://schemas.openxmlformats.org/officeDocument/2006/relationships/hyperlink" Target="https://libkey.io/libraries/480/10.3390/cancers18081284" TargetMode="External"/><Relationship Id="rId208" Type="http://schemas.openxmlformats.org/officeDocument/2006/relationships/hyperlink" Target="https://doi.org/10.1111/ctr.70488" TargetMode="External"/><Relationship Id="rId209" Type="http://schemas.openxmlformats.org/officeDocument/2006/relationships/hyperlink" Target="https://libkey.io/libraries/480/10.1111/ctr.70488" TargetMode="External"/><Relationship Id="rId210" Type="http://schemas.openxmlformats.org/officeDocument/2006/relationships/hyperlink" Target="https://doi.org/10.1097/HC9.0000000000000619" TargetMode="External"/><Relationship Id="rId211" Type="http://schemas.openxmlformats.org/officeDocument/2006/relationships/hyperlink" Target="https://libkey.io/libraries/480/10.1097/HC9.0000000000000619" TargetMode="External"/><Relationship Id="rId212" Type="http://schemas.openxmlformats.org/officeDocument/2006/relationships/hyperlink" Target="https://doi.org/10.1002/hep.29342" TargetMode="External"/><Relationship Id="rId213" Type="http://schemas.openxmlformats.org/officeDocument/2006/relationships/hyperlink" Target="https://libkey.io/libraries/480/10.1002/hep.29342" TargetMode="External"/><Relationship Id="rId214" Type="http://schemas.openxmlformats.org/officeDocument/2006/relationships/hyperlink" Target="https://doi.org/10.1016/j.jhepr.2023.100907" TargetMode="External"/><Relationship Id="rId215" Type="http://schemas.openxmlformats.org/officeDocument/2006/relationships/hyperlink" Target="https://libkey.io/libraries/480/10.1016/j.jhepr.2023.100907" TargetMode="External"/><Relationship Id="rId216" Type="http://schemas.openxmlformats.org/officeDocument/2006/relationships/hyperlink" Target="https://doi.org/10.1016/j.jhep.2024.03.020" TargetMode="External"/><Relationship Id="rId217" Type="http://schemas.openxmlformats.org/officeDocument/2006/relationships/hyperlink" Target="https://libkey.io/libraries/480/10.1016/j.jhep.2024.03.020" TargetMode="External"/><Relationship Id="rId218" Type="http://schemas.openxmlformats.org/officeDocument/2006/relationships/hyperlink" Target="https://doi.org/10.1177/09622802261420699" TargetMode="External"/><Relationship Id="rId219" Type="http://schemas.openxmlformats.org/officeDocument/2006/relationships/hyperlink" Target="https://libkey.io/libraries/480/10.1177/09622802261420699" TargetMode="External"/><Relationship Id="rId220" Type="http://schemas.openxmlformats.org/officeDocument/2006/relationships/hyperlink" Target="https://www.hrsa.gov/sites/default/files/hrsa/optn/optn_policies.pdf" TargetMode="External"/><Relationship Id="rId221" Type="http://schemas.openxmlformats.org/officeDocument/2006/relationships/hyperlink" Target="https://drliuhao.github.io/mh-liver-pathways/evidence/2026-10-25/" TargetMode="External"/><Relationship Id="rId222" Type="http://schemas.openxmlformats.org/officeDocument/2006/relationships/hyperlink" Target="https://www.hrsa.gov/sites/default/files/hrsa/optn/adult-meld-exception-transplant-oncology-review-guidance.pdf" TargetMode="External"/><Relationship Id="rId223" Type="http://schemas.openxmlformats.org/officeDocument/2006/relationships/hyperlink" Target="https://drliuhao.github.io/mh-liver-pathways/evidence/2026-10-25/" TargetMode="External"/><Relationship Id="rId224" Type="http://schemas.openxmlformats.org/officeDocument/2006/relationships/hyperlink" Target="https://doi.org/10.1002/hep.30413" TargetMode="External"/><Relationship Id="rId225" Type="http://schemas.openxmlformats.org/officeDocument/2006/relationships/hyperlink" Target="https://libkey.io/libraries/480/10.1002/hep.30413" TargetMode="External"/><Relationship Id="rId226" Type="http://schemas.openxmlformats.org/officeDocument/2006/relationships/hyperlink" Target="https://doi.org/10.1001/jamasurg.2021.0954" TargetMode="External"/><Relationship Id="rId227" Type="http://schemas.openxmlformats.org/officeDocument/2006/relationships/hyperlink" Target="https://libkey.io/libraries/480/10.1001/jamasurg.2021.0954" TargetMode="External"/><Relationship Id="rId228" Type="http://schemas.openxmlformats.org/officeDocument/2006/relationships/hyperlink" Target="https://doi.org/10.1097/HEP.0000000000000466" TargetMode="External"/><Relationship Id="rId229" Type="http://schemas.openxmlformats.org/officeDocument/2006/relationships/hyperlink" Target="https://libkey.io/libraries/480/10.1097/HEP.0000000000000466" TargetMode="External"/><Relationship Id="rId230" Type="http://schemas.openxmlformats.org/officeDocument/2006/relationships/hyperlink" Target="https://doi.org/10.1002/cam4.71812" TargetMode="External"/><Relationship Id="rId231" Type="http://schemas.openxmlformats.org/officeDocument/2006/relationships/hyperlink" Target="https://libkey.io/libraries/480/10.1002/cam4.71812" TargetMode="External"/><Relationship Id="rId232" Type="http://schemas.openxmlformats.org/officeDocument/2006/relationships/hyperlink" Target="https://www.hrsa.gov/sites/default/files/hrsa/optn/optn_policies.pdf" TargetMode="External"/><Relationship Id="rId233" Type="http://schemas.openxmlformats.org/officeDocument/2006/relationships/hyperlink" Target="https://drliuhao.github.io/mh-liver-pathways/evidence/2026-10-25/" TargetMode="External"/><Relationship Id="rId234" Type="http://schemas.openxmlformats.org/officeDocument/2006/relationships/hyperlink" Target="https://www.hrsa.gov/sites/default/files/hrsa/optn/adult-meld-exception-transplant-oncology-review-guidance.pdf" TargetMode="External"/><Relationship Id="rId235" Type="http://schemas.openxmlformats.org/officeDocument/2006/relationships/hyperlink" Target="https://drliuhao.github.io/mh-liver-pathways/evidence/2026-10-25/" TargetMode="External"/><Relationship Id="rId236" Type="http://schemas.openxmlformats.org/officeDocument/2006/relationships/hyperlink" Target="https://doi.org/10.1002/hep.30413" TargetMode="External"/><Relationship Id="rId237" Type="http://schemas.openxmlformats.org/officeDocument/2006/relationships/hyperlink" Target="https://libkey.io/libraries/480/10.1002/hep.30413" TargetMode="External"/><Relationship Id="rId238" Type="http://schemas.openxmlformats.org/officeDocument/2006/relationships/hyperlink" Target="https://doi.org/10.1002/lt.26392" TargetMode="External"/><Relationship Id="rId239" Type="http://schemas.openxmlformats.org/officeDocument/2006/relationships/hyperlink" Target="https://libkey.io/libraries/480/10.1002/lt.26392" TargetMode="External"/><Relationship Id="rId240" Type="http://schemas.openxmlformats.org/officeDocument/2006/relationships/hyperlink" Target="https://doi.org/10.1097/TP.0000000000002094" TargetMode="External"/><Relationship Id="rId241" Type="http://schemas.openxmlformats.org/officeDocument/2006/relationships/hyperlink" Target="https://libkey.io/libraries/480/10.1097/TP.0000000000002094" TargetMode="External"/><Relationship Id="rId242" Type="http://schemas.openxmlformats.org/officeDocument/2006/relationships/hyperlink" Target="https://doi.org/10.1001/jamasurg.2021.0954" TargetMode="External"/><Relationship Id="rId243" Type="http://schemas.openxmlformats.org/officeDocument/2006/relationships/hyperlink" Target="https://libkey.io/libraries/480/10.1001/jamasurg.2021.0954" TargetMode="External"/><Relationship Id="rId244" Type="http://schemas.openxmlformats.org/officeDocument/2006/relationships/hyperlink" Target="https://doi.org/10.1002/cam4.71812" TargetMode="External"/><Relationship Id="rId245" Type="http://schemas.openxmlformats.org/officeDocument/2006/relationships/hyperlink" Target="https://libkey.io/libraries/480/10.1002/cam4.71812" TargetMode="External"/><Relationship Id="rId246" Type="http://schemas.openxmlformats.org/officeDocument/2006/relationships/hyperlink" Target="https://www.hrsa.gov/sites/default/files/hrsa/optn/optn_policies.pdf" TargetMode="External"/><Relationship Id="rId247" Type="http://schemas.openxmlformats.org/officeDocument/2006/relationships/hyperlink" Target="https://drliuhao.github.io/mh-liver-pathways/evidence/2026-10-25/" TargetMode="External"/><Relationship Id="rId248" Type="http://schemas.openxmlformats.org/officeDocument/2006/relationships/hyperlink" Target="https://www.hrsa.gov/sites/default/files/hrsa/optn/adult-meld-exception-transplant-oncology-review-guidance.pdf" TargetMode="External"/><Relationship Id="rId249" Type="http://schemas.openxmlformats.org/officeDocument/2006/relationships/hyperlink" Target="https://drliuhao.github.io/mh-liver-pathways/evidence/2026-10-25/" TargetMode="External"/><Relationship Id="rId250" Type="http://schemas.openxmlformats.org/officeDocument/2006/relationships/hyperlink" Target="https://doi.org/10.1097/TP.0000000000002094" TargetMode="External"/><Relationship Id="rId251" Type="http://schemas.openxmlformats.org/officeDocument/2006/relationships/hyperlink" Target="https://libkey.io/libraries/480/10.1097/TP.0000000000002094" TargetMode="External"/><Relationship Id="rId252" Type="http://schemas.openxmlformats.org/officeDocument/2006/relationships/hyperlink" Target="https://doi.org/10.1097/HEP.0000000000000466" TargetMode="External"/><Relationship Id="rId253" Type="http://schemas.openxmlformats.org/officeDocument/2006/relationships/hyperlink" Target="https://libkey.io/libraries/480/10.1097/HEP.0000000000000466" TargetMode="External"/><Relationship Id="rId254" Type="http://schemas.openxmlformats.org/officeDocument/2006/relationships/hyperlink" Target="https://doi.org/10.1097/HEP.0000000000000466" TargetMode="External"/><Relationship Id="rId255" Type="http://schemas.openxmlformats.org/officeDocument/2006/relationships/hyperlink" Target="https://libkey.io/libraries/480/10.1097/HEP.0000000000000466" TargetMode="External"/><Relationship Id="rId256" Type="http://schemas.openxmlformats.org/officeDocument/2006/relationships/hyperlink" Target="https://doi.org/10.1097/HEP.0000000000000466" TargetMode="External"/><Relationship Id="rId257" Type="http://schemas.openxmlformats.org/officeDocument/2006/relationships/hyperlink" Target="https://libkey.io/libraries/480/10.1097/HEP.0000000000000466" TargetMode="External"/><Relationship Id="rId258" Type="http://schemas.openxmlformats.org/officeDocument/2006/relationships/hyperlink" Target="https://www.hrsa.gov/sites/default/files/hrsa/optn/optn_policies.pdf" TargetMode="External"/><Relationship Id="rId259" Type="http://schemas.openxmlformats.org/officeDocument/2006/relationships/hyperlink" Target="https://drliuhao.github.io/mh-liver-pathways/evidence/2026-10-25/" TargetMode="External"/><Relationship Id="rId260" Type="http://schemas.openxmlformats.org/officeDocument/2006/relationships/hyperlink" Target="https://www.hrsa.gov/sites/default/files/hrsa/optn/adult-meld-exception-transplant-oncology-review-guidance.pdf" TargetMode="External"/><Relationship Id="rId261" Type="http://schemas.openxmlformats.org/officeDocument/2006/relationships/hyperlink" Target="https://drliuhao.github.io/mh-liver-pathways/evidence/2026-10-25/" TargetMode="External"/><Relationship Id="rId262" Type="http://schemas.openxmlformats.org/officeDocument/2006/relationships/hyperlink" Target="https://www.hrsa.gov/sites/default/files/hrsa/optn/optn_policies.pdf" TargetMode="External"/><Relationship Id="rId263" Type="http://schemas.openxmlformats.org/officeDocument/2006/relationships/hyperlink" Target="https://drliuhao.github.io/mh-liver-pathways/evidence/2026-10-25/" TargetMode="External"/><Relationship Id="rId264" Type="http://schemas.openxmlformats.org/officeDocument/2006/relationships/hyperlink" Target="https://www.hrsa.gov/sites/default/files/hrsa/optn/adult-meld-exception-transplant-oncology-review-guidance.pdf" TargetMode="External"/><Relationship Id="rId265" Type="http://schemas.openxmlformats.org/officeDocument/2006/relationships/hyperlink" Target="https://drliuhao.github.io/mh-liver-pathways/evidence/2026-10-25/" TargetMode="External"/><Relationship Id="rId266" Type="http://schemas.openxmlformats.org/officeDocument/2006/relationships/hyperlink" Target="https://doi.org/10.1002/lt.26392" TargetMode="External"/><Relationship Id="rId267" Type="http://schemas.openxmlformats.org/officeDocument/2006/relationships/hyperlink" Target="https://libkey.io/libraries/480/10.1002/lt.26392" TargetMode="External"/><Relationship Id="rId268" Type="http://schemas.openxmlformats.org/officeDocument/2006/relationships/hyperlink" Target="https://doi.org/10.1097/HEP.0000000000000466" TargetMode="External"/><Relationship Id="rId269" Type="http://schemas.openxmlformats.org/officeDocument/2006/relationships/hyperlink" Target="https://libkey.io/libraries/480/10.1097/HEP.0000000000000466" TargetMode="External"/><Relationship Id="rId270" Type="http://schemas.openxmlformats.org/officeDocument/2006/relationships/hyperlink" Target="https://doi.org/10.1097/TP.0000000000002094" TargetMode="External"/><Relationship Id="rId271" Type="http://schemas.openxmlformats.org/officeDocument/2006/relationships/hyperlink" Target="https://libkey.io/libraries/480/10.1097/TP.0000000000002094" TargetMode="External"/><Relationship Id="rId272" Type="http://schemas.openxmlformats.org/officeDocument/2006/relationships/hyperlink" Target="https://doi.org/10.1097/TP.0000000000002094" TargetMode="External"/><Relationship Id="rId273" Type="http://schemas.openxmlformats.org/officeDocument/2006/relationships/hyperlink" Target="https://libkey.io/libraries/480/10.1097/TP.0000000000002094" TargetMode="External"/><Relationship Id="rId274" Type="http://schemas.openxmlformats.org/officeDocument/2006/relationships/hyperlink" Target="https://doi.org/10.1002/hep.30413" TargetMode="External"/><Relationship Id="rId275" Type="http://schemas.openxmlformats.org/officeDocument/2006/relationships/hyperlink" Target="https://libkey.io/libraries/480/10.1002/hep.30413" TargetMode="External"/><Relationship Id="rId276" Type="http://schemas.openxmlformats.org/officeDocument/2006/relationships/hyperlink" Target="https://doi.org/10.1002/lt.26392" TargetMode="External"/><Relationship Id="rId277" Type="http://schemas.openxmlformats.org/officeDocument/2006/relationships/hyperlink" Target="https://libkey.io/libraries/480/10.1002/lt.26392" TargetMode="External"/><Relationship Id="rId278" Type="http://schemas.openxmlformats.org/officeDocument/2006/relationships/hyperlink" Target="https://doi.org/10.1097/HEP.0000000000000466" TargetMode="External"/><Relationship Id="rId279" Type="http://schemas.openxmlformats.org/officeDocument/2006/relationships/hyperlink" Target="https://libkey.io/libraries/480/10.1097/HEP.0000000000000466" TargetMode="External"/><Relationship Id="rId280" Type="http://schemas.openxmlformats.org/officeDocument/2006/relationships/hyperlink" Target="https://www.hrsa.gov/sites/default/files/hrsa/optn/optn_policies.pdf" TargetMode="External"/><Relationship Id="rId281" Type="http://schemas.openxmlformats.org/officeDocument/2006/relationships/hyperlink" Target="https://drliuhao.github.io/mh-liver-pathways/evidence/2026-10-25/" TargetMode="External"/><Relationship Id="rId282" Type="http://schemas.openxmlformats.org/officeDocument/2006/relationships/hyperlink" Target="https://www.hrsa.gov/sites/default/files/hrsa/optn/adult-meld-exception-transplant-oncology-review-guidance.pdf" TargetMode="External"/><Relationship Id="rId283" Type="http://schemas.openxmlformats.org/officeDocument/2006/relationships/hyperlink" Target="https://drliuhao.github.io/mh-liver-pathways/evidence/2026-10-25/" TargetMode="External"/><Relationship Id="rId284" Type="http://schemas.openxmlformats.org/officeDocument/2006/relationships/hyperlink" Target="https://doi.org/10.1002/hep.27752" TargetMode="External"/><Relationship Id="rId285" Type="http://schemas.openxmlformats.org/officeDocument/2006/relationships/hyperlink" Target="https://libkey.io/libraries/480/10.1002/hep.27752" TargetMode="External"/><Relationship Id="rId286" Type="http://schemas.openxmlformats.org/officeDocument/2006/relationships/hyperlink" Target="https://doi.org/10.1053/j.gastro.2021.07.033" TargetMode="External"/><Relationship Id="rId287" Type="http://schemas.openxmlformats.org/officeDocument/2006/relationships/hyperlink" Target="https://libkey.io/libraries/480/10.1053/j.gastro.2021.07.033" TargetMode="External"/><Relationship Id="rId288" Type="http://schemas.openxmlformats.org/officeDocument/2006/relationships/hyperlink" Target="https://doi.org/10.1002/hep.30570" TargetMode="External"/><Relationship Id="rId289" Type="http://schemas.openxmlformats.org/officeDocument/2006/relationships/hyperlink" Target="https://libkey.io/libraries/480/10.1002/hep.30570" TargetMode="External"/><Relationship Id="rId290" Type="http://schemas.openxmlformats.org/officeDocument/2006/relationships/hyperlink" Target="https://doi.org/10.1016/j.ajt.2023.07.021" TargetMode="External"/><Relationship Id="rId291" Type="http://schemas.openxmlformats.org/officeDocument/2006/relationships/hyperlink" Target="https://libkey.io/libraries/480/10.1016/j.ajt.2023.07.021" TargetMode="External"/><Relationship Id="rId292" Type="http://schemas.openxmlformats.org/officeDocument/2006/relationships/hyperlink" Target="https://doi.org/10.1097/HEP.0000000000001231" TargetMode="External"/><Relationship Id="rId293" Type="http://schemas.openxmlformats.org/officeDocument/2006/relationships/hyperlink" Target="https://libkey.io/libraries/480/10.1097/HEP.0000000000001231" TargetMode="External"/><Relationship Id="rId294" Type="http://schemas.openxmlformats.org/officeDocument/2006/relationships/hyperlink" Target="https://doi.org/10.1016/S1470-2045(20)30224-2" TargetMode="External"/><Relationship Id="rId295" Type="http://schemas.openxmlformats.org/officeDocument/2006/relationships/hyperlink" Target="https://libkey.io/libraries/480/10.1016/S1470-2045(20)30224-2" TargetMode="External"/><Relationship Id="rId296" Type="http://schemas.openxmlformats.org/officeDocument/2006/relationships/hyperlink" Target="https://doi.org/10.1016/j.cgh.2022.08.023" TargetMode="External"/><Relationship Id="rId297" Type="http://schemas.openxmlformats.org/officeDocument/2006/relationships/hyperlink" Target="https://libkey.io/libraries/480/10.1016/j.cgh.2022.08.023" TargetMode="External"/><Relationship Id="rId298" Type="http://schemas.openxmlformats.org/officeDocument/2006/relationships/hyperlink" Target="https://doi.org/10.1001/jamasurg.2022.2800" TargetMode="External"/><Relationship Id="rId299" Type="http://schemas.openxmlformats.org/officeDocument/2006/relationships/hyperlink" Target="https://libkey.io/libraries/480/10.1001/jamasurg.2022.2800" TargetMode="External"/><Relationship Id="rId300" Type="http://schemas.openxmlformats.org/officeDocument/2006/relationships/hyperlink" Target="https://doi.org/10.1097/HEP.0000000000000466" TargetMode="External"/><Relationship Id="rId301" Type="http://schemas.openxmlformats.org/officeDocument/2006/relationships/hyperlink" Target="https://libkey.io/libraries/480/10.1097/HEP.0000000000000466" TargetMode="External"/><Relationship Id="rId302" Type="http://schemas.openxmlformats.org/officeDocument/2006/relationships/hyperlink" Target="https://doi.org/10.1038/s41571-026-01160-z" TargetMode="External"/><Relationship Id="rId303" Type="http://schemas.openxmlformats.org/officeDocument/2006/relationships/hyperlink" Target="https://libkey.io/libraries/480/10.1038/s41571-026-01160-z" TargetMode="External"/><Relationship Id="rId304" Type="http://schemas.openxmlformats.org/officeDocument/2006/relationships/hyperlink" Target="https://doi.org/10.1097/JS9.0000000000004077" TargetMode="External"/><Relationship Id="rId305" Type="http://schemas.openxmlformats.org/officeDocument/2006/relationships/hyperlink" Target="https://libkey.io/libraries/480/10.1097/JS9.0000000000004077" TargetMode="External"/><Relationship Id="rId306" Type="http://schemas.openxmlformats.org/officeDocument/2006/relationships/hyperlink" Target="https://doi.org/10.1002/lt.24782" TargetMode="External"/><Relationship Id="rId307" Type="http://schemas.openxmlformats.org/officeDocument/2006/relationships/hyperlink" Target="https://libkey.io/libraries/480/10.1002/lt.24782" TargetMode="External"/><Relationship Id="rId308" Type="http://schemas.openxmlformats.org/officeDocument/2006/relationships/hyperlink" Target="https://doi.org/10.1016/j.hbpd.2020.03.009" TargetMode="External"/><Relationship Id="rId309" Type="http://schemas.openxmlformats.org/officeDocument/2006/relationships/hyperlink" Target="https://libkey.io/libraries/480/10.1016/j.hbpd.2020.03.009" TargetMode="External"/><Relationship Id="rId310" Type="http://schemas.openxmlformats.org/officeDocument/2006/relationships/hyperlink" Target="https://doi.org/10.21037/jgo-24-328" TargetMode="External"/><Relationship Id="rId311" Type="http://schemas.openxmlformats.org/officeDocument/2006/relationships/hyperlink" Target="https://libkey.io/libraries/480/10.21037/jgo-24-328" TargetMode="External"/><Relationship Id="rId312" Type="http://schemas.openxmlformats.org/officeDocument/2006/relationships/hyperlink" Target="https://doi.org/10.1097/TP.0000000000003162" TargetMode="External"/><Relationship Id="rId313" Type="http://schemas.openxmlformats.org/officeDocument/2006/relationships/hyperlink" Target="https://libkey.io/libraries/480/10.1097/TP.0000000000003162" TargetMode="External"/><Relationship Id="rId314" Type="http://schemas.openxmlformats.org/officeDocument/2006/relationships/hyperlink" Target="https://doi.org/10.1111/tri.13586" TargetMode="External"/><Relationship Id="rId315" Type="http://schemas.openxmlformats.org/officeDocument/2006/relationships/hyperlink" Target="https://libkey.io/libraries/480/10.1111/tri.13586" TargetMode="External"/><Relationship Id="rId316" Type="http://schemas.openxmlformats.org/officeDocument/2006/relationships/hyperlink" Target="https://doi.org/10.1097/HEP.0000000000001801" TargetMode="External"/><Relationship Id="rId317" Type="http://schemas.openxmlformats.org/officeDocument/2006/relationships/hyperlink" Target="https://libkey.io/libraries/480/10.1097/HEP.0000000000001801" TargetMode="External"/><Relationship Id="rId318" Type="http://schemas.openxmlformats.org/officeDocument/2006/relationships/hyperlink" Target="https://doi.org/10.1097/LVT.0000000000000589" TargetMode="External"/><Relationship Id="rId319" Type="http://schemas.openxmlformats.org/officeDocument/2006/relationships/hyperlink" Target="https://libkey.io/libraries/480/10.1097/LVT.0000000000000589" TargetMode="External"/><Relationship Id="rId320" Type="http://schemas.openxmlformats.org/officeDocument/2006/relationships/hyperlink" Target="https://doi.org/10.1016/j.jhep.2024.09.003" TargetMode="External"/><Relationship Id="rId321" Type="http://schemas.openxmlformats.org/officeDocument/2006/relationships/hyperlink" Target="https://libkey.io/libraries/480/10.1016/j.jhep.2024.09.003" TargetMode="External"/><Relationship Id="rId322" Type="http://schemas.openxmlformats.org/officeDocument/2006/relationships/hyperlink" Target="https://doi.org/10.1016/j.jhep.2026.02.019" TargetMode="External"/><Relationship Id="rId323" Type="http://schemas.openxmlformats.org/officeDocument/2006/relationships/hyperlink" Target="https://libkey.io/libraries/480/10.1016/j.jhep.2026.02.019" TargetMode="External"/><Relationship Id="rId324" Type="http://schemas.openxmlformats.org/officeDocument/2006/relationships/hyperlink" Target="https://doi.org/10.1097/HEP.0000000000001289" TargetMode="External"/><Relationship Id="rId325" Type="http://schemas.openxmlformats.org/officeDocument/2006/relationships/hyperlink" Target="https://libkey.io/libraries/480/10.1097/HEP.0000000000001289" TargetMode="External"/><Relationship Id="rId326" Type="http://schemas.openxmlformats.org/officeDocument/2006/relationships/hyperlink" Target="https://doi.org/10.1016/j.jhep.2024.06.042" TargetMode="External"/><Relationship Id="rId327" Type="http://schemas.openxmlformats.org/officeDocument/2006/relationships/hyperlink" Target="https://libkey.io/libraries/480/10.1016/j.jhep.2024.06.042" TargetMode="External"/><Relationship Id="rId328" Type="http://schemas.openxmlformats.org/officeDocument/2006/relationships/hyperlink" Target="https://doi.org/10.1136/gutjnl-2025-336719" TargetMode="External"/><Relationship Id="rId329" Type="http://schemas.openxmlformats.org/officeDocument/2006/relationships/hyperlink" Target="https://libkey.io/libraries/480/10.1136/gutjnl-2025-336719" TargetMode="External"/><Relationship Id="rId330" Type="http://schemas.openxmlformats.org/officeDocument/2006/relationships/hyperlink" Target="https://doi.org/10.1111/apt.70528" TargetMode="External"/><Relationship Id="rId331" Type="http://schemas.openxmlformats.org/officeDocument/2006/relationships/hyperlink" Target="https://libkey.io/libraries/480/10.1111/apt.70528" TargetMode="External"/><Relationship Id="rId332" Type="http://schemas.openxmlformats.org/officeDocument/2006/relationships/hyperlink" Target="https://doi.org/10.1111/liv.70692" TargetMode="External"/><Relationship Id="rId333" Type="http://schemas.openxmlformats.org/officeDocument/2006/relationships/hyperlink" Target="https://libkey.io/libraries/480/10.1111/liv.70692" TargetMode="External"/><Relationship Id="rId334" Type="http://schemas.openxmlformats.org/officeDocument/2006/relationships/hyperlink" Target="https://doi.org/10.1001/jamaoncol.2026.3901" TargetMode="External"/><Relationship Id="rId335" Type="http://schemas.openxmlformats.org/officeDocument/2006/relationships/hyperlink" Target="https://libkey.io/libraries/480/10.1001/jamaoncol.2026.3901" TargetMode="External"/><Relationship Id="rId336" Type="http://schemas.openxmlformats.org/officeDocument/2006/relationships/hyperlink" Target="https://onlinelibrary.wiley.com/doi/10.1111/apt.70333" TargetMode="External"/><Relationship Id="rId337" Type="http://schemas.openxmlformats.org/officeDocument/2006/relationships/hyperlink" Target="https://libkey.io/libraries/480/10.1111/apt.70333" TargetMode="External"/><Relationship Id="rId338" Type="http://schemas.openxmlformats.org/officeDocument/2006/relationships/hyperlink" Target="https://pubmed.ncbi.nlm.nih.gov/42073607" TargetMode="External"/><Relationship Id="rId339" Type="http://schemas.openxmlformats.org/officeDocument/2006/relationships/hyperlink" Target="https://libkey.io/libraries/480/10.3390/cancers18081284" TargetMode="External"/><Relationship Id="rId340" Type="http://schemas.openxmlformats.org/officeDocument/2006/relationships/hyperlink" Target="https://doi.org/10.1111/ctr.70488" TargetMode="External"/><Relationship Id="rId341" Type="http://schemas.openxmlformats.org/officeDocument/2006/relationships/hyperlink" Target="https://libkey.io/libraries/480/10.1111/ctr.70488" TargetMode="External"/><Relationship Id="rId342" Type="http://schemas.openxmlformats.org/officeDocument/2006/relationships/hyperlink" Target="https://doi.org/10.1097/HC9.0000000000000619" TargetMode="External"/><Relationship Id="rId343" Type="http://schemas.openxmlformats.org/officeDocument/2006/relationships/hyperlink" Target="https://libkey.io/libraries/480/10.1097/HC9.0000000000000619" TargetMode="External"/><Relationship Id="rId344" Type="http://schemas.openxmlformats.org/officeDocument/2006/relationships/hyperlink" Target="https://doi.org/10.1002/hep.29342" TargetMode="External"/><Relationship Id="rId345" Type="http://schemas.openxmlformats.org/officeDocument/2006/relationships/hyperlink" Target="https://libkey.io/libraries/480/10.1002/hep.29342" TargetMode="External"/><Relationship Id="rId346" Type="http://schemas.openxmlformats.org/officeDocument/2006/relationships/hyperlink" Target="https://doi.org/10.1016/j.jhepr.2023.100907" TargetMode="External"/><Relationship Id="rId347" Type="http://schemas.openxmlformats.org/officeDocument/2006/relationships/hyperlink" Target="https://libkey.io/libraries/480/10.1016/j.jhepr.2023.100907" TargetMode="External"/><Relationship Id="rId348" Type="http://schemas.openxmlformats.org/officeDocument/2006/relationships/hyperlink" Target="https://doi.org/10.1016/j.jhep.2024.03.020" TargetMode="External"/><Relationship Id="rId349" Type="http://schemas.openxmlformats.org/officeDocument/2006/relationships/hyperlink" Target="https://libkey.io/libraries/480/10.1016/j.jhep.2024.03.020" TargetMode="External"/><Relationship Id="rId350" Type="http://schemas.openxmlformats.org/officeDocument/2006/relationships/hyperlink" Target="https://doi.org/10.1177/09622802261420699" TargetMode="External"/><Relationship Id="rId351" Type="http://schemas.openxmlformats.org/officeDocument/2006/relationships/hyperlink" Target="https://libkey.io/libraries/480/10.1177/09622802261420699" TargetMode="External"/><Relationship Id="rId352" Type="http://schemas.openxmlformats.org/officeDocument/2006/relationships/hyperlink" Target="https://doi.org/10.1002/hep.30413" TargetMode="External"/><Relationship Id="rId353" Type="http://schemas.openxmlformats.org/officeDocument/2006/relationships/hyperlink" Target="https://libkey.io/libraries/480/10.1002/hep.30413" TargetMode="External"/><Relationship Id="rId354" Type="http://schemas.openxmlformats.org/officeDocument/2006/relationships/hyperlink" Target="https://doi.org/10.1001/jamasurg.2021.0954" TargetMode="External"/><Relationship Id="rId355" Type="http://schemas.openxmlformats.org/officeDocument/2006/relationships/hyperlink" Target="https://libkey.io/libraries/480/10.1001/jamasurg.2021.0954" TargetMode="External"/><Relationship Id="rId356" Type="http://schemas.openxmlformats.org/officeDocument/2006/relationships/hyperlink" Target="https://doi.org/10.1002/cam4.71812" TargetMode="External"/><Relationship Id="rId357" Type="http://schemas.openxmlformats.org/officeDocument/2006/relationships/hyperlink" Target="https://libkey.io/libraries/480/10.1002/cam4.71812" TargetMode="External"/><Relationship Id="rId358" Type="http://schemas.openxmlformats.org/officeDocument/2006/relationships/hyperlink" Target="https://doi.org/10.1002/lt.26392" TargetMode="External"/><Relationship Id="rId359" Type="http://schemas.openxmlformats.org/officeDocument/2006/relationships/hyperlink" Target="https://libkey.io/libraries/480/10.1002/lt.26392" TargetMode="External"/><Relationship Id="rId360" Type="http://schemas.openxmlformats.org/officeDocument/2006/relationships/hyperlink" Target="https://doi.org/10.1097/TP.0000000000002094" TargetMode="External"/><Relationship Id="rId361" Type="http://schemas.openxmlformats.org/officeDocument/2006/relationships/hyperlink" Target="https://libkey.io/libraries/480/10.1097/TP.000000000000209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2026-07-15T23:23:12.542Z</dcterms:created>
  <dcterms:modified xsi:type="dcterms:W3CDTF">2026-10-25T09:38:07Z</dcterms:modified>
  <dc:title>HCC — Evidence, Alignment and Meeting Decisions V8</dc:title>
  <dc:subject>Investigational HCC pathway outside standardized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