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HCC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pStyle w:val="Normal"/>
        <w:widowControl/>
      </w:pPr>
      <w:r>
        <w:t xml:space="preserve">Version 12 | Focused treatment-to-transplant interface | Revised 2026-10-25 04:54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STANDARDIZED EXCEPTION PATHWAY. HCC is standardized only when the candidate satisfies OPTN Policy 9.5.I, including the initial assessment, Class 5/T2 or qualifying downstaging criteria, imaging requirements, and AFP rules. Cases outside those criteria require NLRB review and have no automatic exception entitlement.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This file is a clinical-operational draft and must be approved through UTHealth transplant governance before activation.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1. Purpose and Scope</w:t>
      </w:r>
    </w:p>
    <w:p>
      <w:pPr>
        <w:pStyle w:val="Normal"/>
        <w:widowControl/>
      </w:pPr>
      <w:r>
        <w:t xml:space="preserve">This protocol establishes the standard clinical pathway for evaluation, listing, bridging therapy, transplantation, and post-transplant surveillance of patients with hepatocellular carcinoma (HCC) at UTHealth Houston. It is grounded in current UNOS policy, NCCN HCC Guidelines v2.2026 (14 August 2026), and AASLD Practice Guidance (2023/2025).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Heading2"/>
        <w:keepNext/>
        <w:widowControl/>
      </w:pPr>
      <w:r>
        <w:t xml:space="preserve">2. Multidisciplinary Team</w:t>
      </w:r>
    </w:p>
    <w:p>
      <w:pPr>
        <w:pStyle w:val="Normal"/>
        <w:widowControl/>
      </w:pPr>
      <w:r>
        <w:t xml:space="preserve">All patients with HCC must be evaluated by a multidisciplinary team (MDT) including hepatologists, transplant surgeons, medical oncologists, diagnostic and interventional radiologists, radiation oncologists, and pathologists with HCC expertise. MDT conference review is required prior to listing, initiation of bridging/downstaging therapy, and at each restaging interval.</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2"/>
        <w:keepNext/>
        <w:widowControl/>
      </w:pPr>
      <w:r>
        <w:t xml:space="preserve">3. Patient Selection Criteria</w:t>
      </w:r>
    </w:p>
    <w:p>
      <w:pPr>
        <w:pStyle w:val="Heading3"/>
        <w:keepNext/>
        <w:widowControl/>
      </w:pPr>
      <w:r>
        <w:t xml:space="preserve">3.1 Transplant candidacy (center listing decision)</w:t>
      </w:r>
    </w:p>
    <w:p>
      <w:pPr>
        <w:pStyle w:val="Normal"/>
        <w:widowControl/>
      </w:pPr>
      <w:r>
        <w:t xml:space="preserve">Transplant candidacy is determined by the transplant selection committee and is independent of MELD-exception eligibility. Requirements: histologic or OPTN Class 5 imaging diagnosis of HCC; no extrahepatic disease; no active tumor macrovascular invasion, including portal branches; distinguish bland thrombus and route historical treated tumor thrombus to separate nonstandard review; tumour burden judged acceptable by MDT after consideration of Milan criteria, downstaging potential and tumour biology; medically fit for major surgery (adequate cardiopulmonary reserve, acceptable performance status); and no absolute transplant contraindication per Section 3.4b. There is no minimum lesion size for transplant candidacy.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Heading3"/>
        <w:keepNext/>
        <w:widowControl/>
      </w:pPr>
      <w:r>
        <w:t xml:space="preserve">3.1b Standardized MELD-exception eligibility (OPTN Policy 9.5.I)</w:t>
      </w:r>
    </w:p>
    <w:p>
      <w:pPr>
        <w:pStyle w:val="Normal"/>
        <w:widowControl/>
      </w:pPr>
      <w:r>
        <w:t xml:space="preserve">Separate from candidacy, and assessed only after candidacy is established. To qualify for the standardized exception the candidate must satisfy every element of Policy 9.5.I, including the imaging requirements, the AFP rules in Section 3.2, and the Class 5/T2 criteria below:</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Single lesion ≥2 cm and ≤5 cm, OR 2–3 lesions each ≥1 cm and ≤3 cm</w:t>
      </w:r>
    </w:p>
    <w:p>
      <w:pPr>
        <w:pStyle w:val="Normal"/>
        <w:widowControl/>
        <w:numPr>
          <w:ilvl w:val="0"/>
          <w:numId w:val="3"/>
        </w:numPr>
      </w:pPr>
      <w:r>
        <w:t xml:space="preserve">AFP ≤1,000 ng/mL</w:t>
      </w:r>
    </w:p>
    <w:p>
      <w:pPr>
        <w:pStyle w:val="Normal"/>
        <w:widowControl/>
        <w:numPr>
          <w:ilvl w:val="0"/>
          <w:numId w:val="3"/>
        </w:numPr>
      </w:pPr>
      <w:r>
        <w:t xml:space="preserve">No macrovascular invasion on cross-sectional imaging</w:t>
      </w:r>
    </w:p>
    <w:p>
      <w:pPr>
        <w:pStyle w:val="Normal"/>
        <w:widowControl/>
        <w:numPr>
          <w:ilvl w:val="0"/>
          <w:numId w:val="3"/>
        </w:numPr>
      </w:pPr>
      <w:r>
        <w:t xml:space="preserve">No extrahepatic disease</w:t>
      </w:r>
    </w:p>
    <w:p>
      <w:pPr>
        <w:pStyle w:val="Normal"/>
        <w:widowControl/>
      </w:pPr>
      <w:r>
        <w:t xml:space="preserve">Candidates who are transplant candidates but do not meet Policy 9.5.I are listed at their calculated current calculated MELD score, are reassessed at each restaging interval, and may be submitted to the NLRB as a non-standard request. Failure to meet Policy 9.5.I is never by itself a reason to decline candidacy or to remove a patient from the waitlist.</w:t>
      </w:r>
    </w:p>
    <w:p>
      <w:pPr>
        <w:pStyle w:val="Heading3"/>
        <w:keepNext/>
        <w:widowControl/>
      </w:pPr>
      <w:r>
        <w:t xml:space="preserve">3.2 AFP Requirements</w:t>
      </w:r>
    </w:p>
    <w:p>
      <w:pPr>
        <w:pStyle w:val="Normal"/>
        <w:widowControl/>
        <w:numPr>
          <w:ilvl w:val="0"/>
          <w:numId w:val="3"/>
        </w:numPr>
      </w:pPr>
      <w:r>
        <w:t xml:space="preserve">AFP must be ≤1,000 ng/mL for T2 standardized-exception eligibility.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If AFP has ever exceeded 1,000 ng/mL, it must fall below 500 ng/mL after locoregional therapy and remain below 500 ng/mL; any subsequent AFP ≥500 ng/mL requires NLRB review.</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Candidates with AFP greater than 1,000 ng/mL who do not respond to treatment with a fall below 500 ng/mL are not eligible for the standardized exception and must be reviewed by the Adult Transplant Oncology Review Board. The guidance states that such candidates are in general not suitable for an HCC MELD exception, though some may be appropriate; the justification narrative must address this directly.</w:t>
      </w:r>
    </w:p>
    <w:p>
      <w:pPr>
        <w:pStyle w:val="Heading3"/>
        <w:widowControl/>
        <w:keepNext/>
      </w:pPr>
      <w:bookmarkStart w:id="12001" w:name="HCC_B1_1"/>
      <w:r>
        <w:t xml:space="preserve">HCC B1.1 — AFP-only failure / imaging discordance — OPEN</w:t>
      </w:r>
      <w:bookmarkEnd w:id="12001"/>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HCC B1.1 addresses AFP-only failure or discordance between AFP and imaging. It should be a distinct biological-risk question, not an automatic extension of B1 beyond-UNOS-DS enrollment. A patient within Milan may have an AFP problem without having expanded tumor burden. The proposed B1 AFP below 100 ng/mL entry rule must not silently become a universal rule for standard HCC.</w:t>
      </w:r>
    </w:p>
    <w:p>
      <w:pPr>
        <w:pStyle w:val="Normal"/>
        <w:widowControl/>
        <w:spacing w:after="120"/>
      </w:pPr>
      <w:r>
        <w:t xml:space="preserve">Status: OPEN local decision, not activated policy. This entry applies to both standard anatomical candidates and high-risk review. B1 expanded-burden AFP &lt;100 is a separate proposal; it must not become a universal within-Milan requirement.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Allocation threshold failure</w:t>
            </w:r>
          </w:p>
        </w:tc>
        <w:tc>
          <w:tcPr>
            <w:tcW w:w="3582" w:type="dxa"/>
            <w:vAlign w:val="top"/>
            <w:shd w:fill="F1F5F8"/>
          </w:tcPr>
          <w:p>
            <w:pPr>
              <w:pStyle w:val="Normal"/>
              <w:widowControl/>
              <w:spacing w:after="55" w:line="240" w:lineRule="auto"/>
              <w:keepNext w:val="0"/>
              <w:keepLines/>
            </w:pPr>
            <w:r>
              <w:rPr>
                <w:sz w:val="21"/>
                <w:szCs w:val="21"/>
              </w:rPr>
              <w:t xml:space="preserve">Prior AFP greater than 1000 ng/mL, followed by failure to fall below 500 or a return to 500 or above. This changes the standardized exception route even when imaging is controlled.</w:t>
            </w:r>
          </w:p>
        </w:tc>
        <w:tc>
          <w:tcPr>
            <w:tcW w:w="3743" w:type="dxa"/>
            <w:vAlign w:val="top"/>
            <w:shd w:fill="F1F5F8"/>
          </w:tcPr>
          <w:p>
            <w:pPr>
              <w:pStyle w:val="Normal"/>
              <w:widowControl/>
              <w:spacing w:after="55" w:line="240" w:lineRule="auto"/>
              <w:keepNext w:val="0"/>
              <w:keepLines/>
            </w:pPr>
            <w:r>
              <w:rPr>
                <w:sz w:val="21"/>
                <w:szCs w:val="21"/>
              </w:rPr>
              <w:t xml:space="preserve">Current OPTN allocation policy. Nonstandard review and clinical candidacy remain separate; the policy is not a universal prohibition on every LT or LDLT.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423">
              <w:r>
                <w:rPr>
                  <w:color w:val="0563C1"/>
                  <w:u w:val="single"/>
                </w:rPr>
                <w:t>Source</w:t>
              </w:r>
            </w:hyperlink>
            <w:r>
              <w:t xml:space="preserve"> · </w:t>
            </w:r>
            <w:hyperlink r:id="rId424">
              <w:r>
                <w:rPr>
                  <w:color w:val="0563C1"/>
                  <w:u w:val="single"/>
                </w:rPr>
                <w:t>PDF</w:t>
              </w:r>
            </w:hyperlink>
            <w:r>
              <w:br/>
            </w:r>
            <w:hyperlink r:id="rId425">
              <w:r>
                <w:rPr>
                  <w:color w:val="0563C1"/>
                  <w:u w:val="single"/>
                </w:rPr>
                <w:t>Source</w:t>
              </w:r>
            </w:hyperlink>
            <w:r>
              <w:t xml:space="preserve"> · </w:t>
            </w:r>
            <w:hyperlink r:id="rId426">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Biochemical nonresponse</w:t>
            </w:r>
          </w:p>
        </w:tc>
        <w:tc>
          <w:tcPr>
            <w:tcW w:w="3582" w:type="dxa"/>
            <w:vAlign w:val="top"/>
            <w:shd w:fill="FFFFFF"/>
          </w:tcPr>
          <w:p>
            <w:pPr>
              <w:pStyle w:val="Normal"/>
              <w:widowControl/>
              <w:spacing w:after="55" w:line="240" w:lineRule="auto"/>
              <w:keepNext w:val="0"/>
              <w:keepLines/>
            </w:pPr>
            <w:r>
              <w:rPr>
                <w:sz w:val="21"/>
                <w:szCs w:val="21"/>
              </w:rPr>
              <w:t xml:space="preserve">Persistently high or rising AFP after treatment, interpreted with the pretreatment level, treatment timing, liver inflammation and serial imaging.</w:t>
            </w:r>
          </w:p>
        </w:tc>
        <w:tc>
          <w:tcPr>
            <w:tcW w:w="3743" w:type="dxa"/>
            <w:vAlign w:val="top"/>
            <w:shd w:fill="FFFFFF"/>
          </w:tcPr>
          <w:p>
            <w:pPr>
              <w:pStyle w:val="Normal"/>
              <w:widowControl/>
              <w:spacing w:after="55" w:line="240" w:lineRule="auto"/>
              <w:keepNext w:val="0"/>
              <w:keepLines/>
            </w:pPr>
            <w:r>
              <w:rPr>
                <w:sz w:val="21"/>
                <w:szCs w:val="21"/>
              </w:rPr>
              <w:t xml:space="preserve">An adverse biological signal, not a universally standardized binary definition of treatment failure. A percentage decline alone cannot replace absolute AFP or imaging.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</w:fldData>
              </w:fldChar>
            </w:r>
            <w:r>
              <w:instrText xml:space="preserve"> ADDIN EN.CITE.DATA </w:instrText>
            </w:r>
            <w:r>
              <w:fldChar w:fldCharType="end"/>
            </w:r>
            <w:r>
              <w:fldChar w:fldCharType="separate"/>
            </w:r>
            <w:r>
              <w:t xml:space="preserve">[V12-8]</w:t>
            </w:r>
            <w:r>
              <w:fldChar w:fldCharType="end"/>
            </w:r>
            <w:r>
              <w:br/>
            </w:r>
            <w:hyperlink r:id="rId427">
              <w:r>
                <w:rPr>
                  <w:color w:val="0563C1"/>
                  <w:u w:val="single"/>
                </w:rPr>
                <w:t>Source</w:t>
              </w:r>
            </w:hyperlink>
            <w:r>
              <w:t xml:space="preserve"> · </w:t>
            </w:r>
            <w:hyperlink r:id="rId428">
              <w:r>
                <w:rPr>
                  <w:color w:val="0563C1"/>
                  <w:u w:val="single"/>
                </w:rPr>
                <w:t>PDF</w:t>
              </w:r>
            </w:hyperlink>
            <w:r>
              <w:br/>
            </w:r>
            <w:hyperlink r:id="rId429">
              <w:r>
                <w:rPr>
                  <w:color w:val="0563C1"/>
                  <w:u w:val="single"/>
                </w:rPr>
                <w:t>Source</w:t>
              </w:r>
            </w:hyperlink>
            <w:r>
              <w:t xml:space="preserve"> · </w:t>
            </w:r>
            <w:hyperlink r:id="rId430">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Isolated AFP rise</w:t>
            </w:r>
          </w:p>
        </w:tc>
        <w:tc>
          <w:tcPr>
            <w:tcW w:w="3582" w:type="dxa"/>
            <w:vAlign w:val="top"/>
            <w:shd w:fill="F1F5F8"/>
          </w:tcPr>
          <w:p>
            <w:pPr>
              <w:pStyle w:val="Normal"/>
              <w:widowControl/>
              <w:spacing w:after="55" w:line="240" w:lineRule="auto"/>
              <w:keepNext w:val="0"/>
              <w:keepLines/>
            </w:pPr>
            <w:r>
              <w:rPr>
                <w:sz w:val="21"/>
                <w:szCs w:val="21"/>
              </w:rPr>
              <w:t xml:space="preserve">Rising AFP without definite viable or progressive tumor on technically adequate imaging.</w:t>
            </w:r>
          </w:p>
        </w:tc>
        <w:tc>
          <w:tcPr>
            <w:tcW w:w="3743" w:type="dxa"/>
            <w:vAlign w:val="top"/>
            <w:shd w:fill="F1F5F8"/>
          </w:tcPr>
          <w:p>
            <w:pPr>
              <w:pStyle w:val="Normal"/>
              <w:widowControl/>
              <w:spacing w:after="55" w:line="240" w:lineRule="auto"/>
              <w:keepNext w:val="0"/>
              <w:keepLines/>
            </w:pPr>
            <w:r>
              <w:rPr>
                <w:sz w:val="21"/>
                <w:szCs w:val="21"/>
              </w:rPr>
              <w:t xml:space="preserve">Requires verification and a search for occult disease or a nonmalignant source. AFP alone does not diagnose HCC progression or create a target for treatment.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fldChar w:fldCharType="begin"/>
            </w:r>
            <w:r>
              <w:instrText xml:space="preserve"> ADDIN EN.CITE </w:instrText>
            </w:r>
            <w:r>
              <w:fldChar w:fldCharType="begin">
                <w:fldData>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r>
              <w:br/>
            </w:r>
            <w:hyperlink r:id="rId431">
              <w:r>
                <w:rPr>
                  <w:color w:val="0563C1"/>
                  <w:u w:val="single"/>
                </w:rPr>
                <w:t>Source</w:t>
              </w:r>
            </w:hyperlink>
            <w:r>
              <w:t xml:space="preserve"> · </w:t>
            </w:r>
            <w:hyperlink r:id="rId432">
              <w:r>
                <w:rPr>
                  <w:color w:val="0563C1"/>
                  <w:u w:val="single"/>
                </w:rPr>
                <w:t>PDF</w:t>
              </w:r>
            </w:hyperlink>
            <w:r>
              <w:br/>
            </w:r>
            <w:hyperlink r:id="rId433">
              <w:r>
                <w:rPr>
                  <w:color w:val="0563C1"/>
                  <w:u w:val="single"/>
                </w:rPr>
                <w:t>Source</w:t>
              </w:r>
            </w:hyperlink>
            <w:r>
              <w:t xml:space="preserve"> · </w:t>
            </w:r>
            <w:hyperlink r:id="rId434">
              <w:r>
                <w:rPr>
                  <w:color w:val="0563C1"/>
                  <w:u w:val="single"/>
                </w:rPr>
                <w:t>PDF</w:t>
              </w:r>
            </w:hyperlink>
          </w:p>
        </w:tc>
      </w:tr>
    </w:tbl>
    <w:p>
      <w:pPr>
        <w:pStyle w:val="Normal"/>
        <w:widowControl/>
        <w:spacing w:after="120"/>
      </w:pPr>
      <w:r>
        <w:t xml:space="preserve">Current allocation rule: after any prior AFP &gt;1000 ng/mL, AFP must fall below 500 and remain below 500 for the standardized exception route. Exactly 500 does not satisfy &lt;500. Failure requires individualized NLRB review, not an automatic prohibition of all clinical LT/LDLT. NLRB guidance is nonbinding and is not an approval guarantee.</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435">
        <w:r>
          <w:rPr>
            <w:color w:val="0563C1"/>
            <w:u w:val="single"/>
          </w:rPr>
          <w:t>Source</w:t>
        </w:r>
      </w:hyperlink>
      <w:r>
        <w:t xml:space="preserve"> · </w:t>
      </w:r>
      <w:hyperlink r:id="rId436">
        <w:r>
          <w:rPr>
            <w:color w:val="0563C1"/>
            <w:u w:val="single"/>
          </w:rPr>
          <w:t>PDF</w:t>
        </w:r>
      </w:hyperlink>
      <w:r>
        <w:br/>
      </w:r>
      <w:hyperlink r:id="rId437">
        <w:r>
          <w:rPr>
            <w:color w:val="0563C1"/>
            <w:u w:val="single"/>
          </w:rPr>
          <w:t>Source</w:t>
        </w:r>
      </w:hyperlink>
      <w:r>
        <w:t xml:space="preserve"> · </w:t>
      </w:r>
      <w:hyperlink r:id="rId438">
        <w:r>
          <w:rPr>
            <w:color w:val="0563C1"/>
            <w:u w:val="single"/>
          </w:rPr>
          <w:t>PDF</w:t>
        </w:r>
      </w:hyperlink>
    </w:p>
    <w:p>
      <w:pPr>
        <w:pStyle w:val="Heading4"/>
        <w:widowControl/>
        <w:keepNext/>
      </w:pPr>
      <w:r>
        <w:t xml:space="preserve">Order now</w:t>
      </w:r>
    </w:p>
    <w:p>
      <w:pPr>
        <w:pStyle w:val="Normal"/>
        <w:widowControl/>
        <w:spacing w:after="120"/>
        <w:numPr>
          <w:ilvl w:val="0"/>
          <w:numId w:val="6"/>
        </w:numPr>
      </w:pPr>
      <w:r>
        <w:t xml:space="preserve">Confirm the AFP result and trend</w:t>
      </w:r>
    </w:p>
    <w:p>
      <w:pPr>
        <w:pStyle w:val="Normal"/>
        <w:widowControl/>
        <w:spacing w:after="120"/>
        <w:numPr>
          <w:ilvl w:val="1"/>
          <w:numId w:val="6"/>
        </w:numPr>
      </w:pPr>
      <w:r>
        <w:t xml:space="preserve">Repeat AFP using the same laboratory/assay in 2–4 weeks, sooner for a major jump or clinical concern. Review all dated prior values, baseline and peak AFP, treatment dates and the current response scan. The 2–4 week interval is an OPEN local operational proposal.</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br/>
      </w:r>
      <w:hyperlink r:id="rId439">
        <w:r>
          <w:rPr>
            <w:color w:val="0563C1"/>
            <w:u w:val="single"/>
          </w:rPr>
          <w:t>Source</w:t>
        </w:r>
      </w:hyperlink>
      <w:r>
        <w:t xml:space="preserve"> · </w:t>
      </w:r>
      <w:hyperlink r:id="rId440">
        <w:r>
          <w:rPr>
            <w:color w:val="0563C1"/>
            <w:u w:val="single"/>
          </w:rPr>
          <w:t>PDF</w:t>
        </w:r>
      </w:hyperlink>
    </w:p>
    <w:p>
      <w:pPr>
        <w:pStyle w:val="Normal"/>
        <w:widowControl/>
        <w:spacing w:after="120"/>
        <w:numPr>
          <w:ilvl w:val="1"/>
          <w:numId w:val="6"/>
        </w:numPr>
      </w:pPr>
      <w:r>
        <w:t xml:space="preserve">Check ALT/AST, bilirubin and active viral hepatitis or other plausible hepatic inflammation. Consider assay interference or an extrahepatic AFP source when clinically indicated; do not order indiscriminate tests without a differential diagnosis.</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br/>
      </w:r>
      <w:hyperlink r:id="rId441">
        <w:r>
          <w:rPr>
            <w:color w:val="0563C1"/>
            <w:u w:val="single"/>
          </w:rPr>
          <w:t>Source</w:t>
        </w:r>
      </w:hyperlink>
      <w:r>
        <w:t xml:space="preserve"> · </w:t>
      </w:r>
      <w:hyperlink r:id="rId442">
        <w:r>
          <w:rPr>
            <w:color w:val="0563C1"/>
            <w:u w:val="single"/>
          </w:rPr>
          <w:t>PDF</w:t>
        </w:r>
      </w:hyperlink>
    </w:p>
    <w:p>
      <w:pPr>
        <w:pStyle w:val="Normal"/>
        <w:widowControl/>
        <w:spacing w:after="120"/>
        <w:numPr>
          <w:ilvl w:val="1"/>
          <w:numId w:val="6"/>
        </w:numPr>
      </w:pPr>
      <w:r>
        <w:t xml:space="preserve">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br/>
      </w:r>
      <w:hyperlink r:id="rId443">
        <w:r>
          <w:rPr>
            <w:color w:val="0563C1"/>
            <w:u w:val="single"/>
          </w:rPr>
          <w:t>Source</w:t>
        </w:r>
      </w:hyperlink>
      <w:r>
        <w:t xml:space="preserve"> · </w:t>
      </w:r>
      <w:hyperlink r:id="rId444">
        <w:r>
          <w:rPr>
            <w:color w:val="0563C1"/>
            <w:u w:val="single"/>
          </w:rPr>
          <w:t>PDF</w:t>
        </w:r>
      </w:hyperlink>
    </w:p>
    <w:p>
      <w:pPr>
        <w:pStyle w:val="Heading4"/>
        <w:widowControl/>
        <w:keepNext/>
      </w:pPr>
      <w:r>
        <w:t xml:space="preserve">Advance only when</w:t>
      </w:r>
    </w:p>
    <w:p>
      <w:pPr>
        <w:pStyle w:val="Normal"/>
        <w:widowControl/>
        <w:spacing w:after="120"/>
        <w:numPr>
          <w:ilvl w:val="0"/>
          <w:numId w:val="6"/>
        </w:numPr>
      </w:pPr>
      <w:r>
        <w:t xml:space="preserve">For an AFP-only candidate otherwise inside the accepted anatomical route</w:t>
      </w:r>
    </w:p>
    <w:p>
      <w:pPr>
        <w:pStyle w:val="Normal"/>
        <w:widowControl/>
        <w:spacing w:after="120"/>
        <w:numPr>
          <w:ilvl w:val="1"/>
          <w:numId w:val="6"/>
        </w:numPr>
      </w:pPr>
      <w:r>
        <w:t xml:space="preserve">The governing allocation rule is met, or an individual review outcome is documented; technically adequate imaging shows no exclusionary progression, vascular invasion or extrahepatic disease; no unresolved alternative cause or unexplained accelerating AFP remains.</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445">
        <w:r>
          <w:rPr>
            <w:color w:val="0563C1"/>
            <w:u w:val="single"/>
          </w:rPr>
          <w:t>Source</w:t>
        </w:r>
      </w:hyperlink>
      <w:r>
        <w:t xml:space="preserve"> · </w:t>
      </w:r>
      <w:hyperlink r:id="rId446">
        <w:r>
          <w:rPr>
            <w:color w:val="0563C1"/>
            <w:u w:val="single"/>
          </w:rPr>
          <w:t>PDF</w:t>
        </w:r>
      </w:hyperlink>
      <w:r>
        <w:br/>
      </w:r>
      <w:hyperlink r:id="rId447">
        <w:r>
          <w:rPr>
            <w:color w:val="0563C1"/>
            <w:u w:val="single"/>
          </w:rPr>
          <w:t>Source</w:t>
        </w:r>
      </w:hyperlink>
      <w:r>
        <w:t xml:space="preserve"> · </w:t>
      </w:r>
      <w:hyperlink r:id="rId448">
        <w:r>
          <w:rPr>
            <w:color w:val="0563C1"/>
            <w:u w:val="single"/>
          </w:rPr>
          <w:t>PDF</w:t>
        </w:r>
      </w:hyperlink>
    </w:p>
    <w:p>
      <w:pPr>
        <w:pStyle w:val="Normal"/>
        <w:widowControl/>
        <w:spacing w:after="120"/>
        <w:numPr>
          <w:ilvl w:val="1"/>
          <w:numId w:val="6"/>
        </w:numPr>
      </w:pPr>
      <w:r>
        <w:t xml:space="preserve">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pStyle w:val="Normal"/>
        <w:widowControl/>
        <w:spacing w:after="120"/>
        <w:numPr>
          <w:ilvl w:val="1"/>
          <w:numId w:val="6"/>
        </w:numPr>
      </w:pPr>
      <w:r>
        <w:t xml:space="preserve">All other observation requirements remain in force. B1 expanded-burden patients retain the separately proposed AFP below 100 and longer biology observation; satisfying B1.1 does not shorten B1, ICI washout, or OPTN waiting requirements.</w:t>
      </w:r>
    </w:p>
    <w:p>
      <w:pPr>
        <w:pStyle w:val="Heading4"/>
        <w:widowControl/>
        <w:keepNext/>
      </w:pPr>
      <w:r>
        <w:t xml:space="preserve">Hold and reassess</w:t>
      </w:r>
    </w:p>
    <w:p>
      <w:pPr>
        <w:pStyle w:val="Normal"/>
        <w:widowControl/>
        <w:spacing w:after="120"/>
        <w:numPr>
          <w:ilvl w:val="0"/>
          <w:numId w:val="6"/>
        </w:numPr>
      </w:pPr>
      <w:r>
        <w:t xml:space="preserve">Separate the mandatory allocation issue from the proposed clinical hold</w:t>
      </w:r>
    </w:p>
    <w:p>
      <w:pPr>
        <w:pStyle w:val="Normal"/>
        <w:widowControl/>
        <w:spacing w:after="120"/>
        <w:numPr>
          <w:ilvl w:val="1"/>
          <w:numId w:val="6"/>
        </w:numPr>
      </w:pPr>
      <w:r>
        <w:t xml:space="preserve">POLICY: after any prior AFP above 1000, AFP at least 500 after treatment prevents automatic advancement through the standardized exception route and requires NLRB consideration. The team should not promise exception approval.</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449">
        <w:r>
          <w:rPr>
            <w:color w:val="0563C1"/>
            <w:u w:val="single"/>
          </w:rPr>
          <w:t>Source</w:t>
        </w:r>
      </w:hyperlink>
      <w:r>
        <w:t xml:space="preserve"> · </w:t>
      </w:r>
      <w:hyperlink r:id="rId450">
        <w:r>
          <w:rPr>
            <w:color w:val="0563C1"/>
            <w:u w:val="single"/>
          </w:rPr>
          <w:t>PDF</w:t>
        </w:r>
      </w:hyperlink>
      <w:r>
        <w:br/>
      </w:r>
      <w:hyperlink r:id="rId451">
        <w:r>
          <w:rPr>
            <w:color w:val="0563C1"/>
            <w:u w:val="single"/>
          </w:rPr>
          <w:t>Source</w:t>
        </w:r>
      </w:hyperlink>
      <w:r>
        <w:t xml:space="preserve"> · </w:t>
      </w:r>
      <w:hyperlink r:id="rId452">
        <w:r>
          <w:rPr>
            <w:color w:val="0563C1"/>
            <w:u w:val="single"/>
          </w:rPr>
          <w:t>PDF</w:t>
        </w:r>
      </w:hyperlink>
    </w:p>
    <w:p>
      <w:pPr>
        <w:pStyle w:val="Normal"/>
        <w:widowControl/>
        <w:spacing w:after="120"/>
        <w:numPr>
          <w:ilvl w:val="1"/>
          <w:numId w:val="6"/>
        </w:numPr>
      </w:pPr>
      <w:r>
        <w:t xml:space="preserve">OPEN clinical proposal: confirmed AFP at least 500 is a high-risk LT hold pending biological and allocation review even if AFP never exceeded 1000. This deliberately conservative local rule is supported by retrospective outcomes, not mandated by OPTN for every candidate.</w:t>
      </w:r>
      <w:r>
        <w:t xml:space="preserve"> </w:t>
      </w:r>
      <w:r>
        <w:fldChar w:fldCharType="begin"/>
      </w:r>
      <w:r>
        <w:instrText xml:space="preserve"> ADDIN EN.CITE </w:instrText>
      </w:r>
      <w:r>
        <w:fldChar w:fldCharType="begin">
          <w:fldData>PEVuZE5vdGU+PENpdGU+PEF1dGhvcj5Hb2xkbWFuIE1MPC9BdXRob3I+PFllYXI+MjAyMjwvWWVhcj48UmVjTnVtPjEwPC9SZWNOdW0+PERpc3BsYXlUZXh0PltWMTItMTBdPC9EaXNwbGF5VGV4dD48cmVjb3JkPjxyZWMtbnVtYmVyPjEwPC9yZWMtbnVtYmVyPjxmb3JlaWduLWtleXM+PGtleSBhcHA9IkVOIiBkYi1pZD0iMTJjZDExNmYtZmRmMS01N2RmLTlmNjctZjE0ZGUxNGZlMzc5IiB0aW1lc3RhbXA9IjE3OTI5MjEwODMiPjEw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br/>
      </w:r>
      <w:hyperlink r:id="rId453">
        <w:r>
          <w:rPr>
            <w:color w:val="0563C1"/>
            <w:u w:val="single"/>
          </w:rPr>
          <w:t>Source</w:t>
        </w:r>
      </w:hyperlink>
      <w:r>
        <w:t xml:space="preserve"> · </w:t>
      </w:r>
      <w:hyperlink r:id="rId454">
        <w:r>
          <w:rPr>
            <w:color w:val="0563C1"/>
            <w:u w:val="single"/>
          </w:rPr>
          <w:t>PDF</w:t>
        </w:r>
      </w:hyperlink>
    </w:p>
    <w:p>
      <w:pPr>
        <w:pStyle w:val="Normal"/>
        <w:widowControl/>
        <w:spacing w:after="120"/>
        <w:numPr>
          <w:ilvl w:val="1"/>
          <w:numId w:val="6"/>
        </w:numPr>
      </w:pPr>
      <w:r>
        <w:t xml:space="preserve">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fldChar w:fldCharType="begin"/>
      </w:r>
      <w:r>
        <w:instrText xml:space="preserve"> ADDIN EN.CITE </w:instrText>
      </w:r>
      <w:r>
        <w:fldChar w:fldCharType="begin">
          <w:fldData>PEVuZE5vdGU+PENpdGU+PEF1dGhvcj5HaWFyZCBKTTwvQXV0aG9yPjxZZWFyPjIwMTg8L1llYXI+PFJlY051bT4xMTwvUmVjTnVtPjxEaXNwbGF5VGV4dD5bVjEyLTExXTwvRGlzcGxheVRleHQ+PHJlY29yZD48cmVjLW51bWJlcj4xMTwvcmVjLW51bWJlcj48Zm9yZWlnbi1rZXlzPjxrZXkgYXBwPSJFTiIgZGItaWQ9IjEyY2QxMTZmLWZkZjEtNTdkZi05ZjY3LWYxNGRlMTRmZTM3OSIgdGltZXN0YW1wPSIxNzkyOTIxMDgzIj4xMT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[V12-11]</w:t>
      </w:r>
      <w:r>
        <w:fldChar w:fldCharType="end"/>
      </w:r>
      <w:r>
        <w:br/>
      </w:r>
      <w:hyperlink r:id="rId455">
        <w:r>
          <w:rPr>
            <w:color w:val="0563C1"/>
            <w:u w:val="single"/>
          </w:rPr>
          <w:t>Source</w:t>
        </w:r>
      </w:hyperlink>
      <w:r>
        <w:t xml:space="preserve"> · </w:t>
      </w:r>
      <w:hyperlink r:id="rId456">
        <w:r>
          <w:rPr>
            <w:color w:val="0563C1"/>
            <w:u w:val="single"/>
          </w:rPr>
          <w:t>PDF</w:t>
        </w:r>
      </w:hyperlink>
      <w:r>
        <w:br/>
      </w:r>
      <w:hyperlink r:id="rId457">
        <w:r>
          <w:rPr>
            <w:color w:val="0563C1"/>
            <w:u w:val="single"/>
          </w:rPr>
          <w:t>Source</w:t>
        </w:r>
      </w:hyperlink>
      <w:r>
        <w:t xml:space="preserve"> · </w:t>
      </w:r>
      <w:hyperlink r:id="rId458">
        <w:r>
          <w:rPr>
            <w:color w:val="0563C1"/>
            <w:u w:val="single"/>
          </w:rPr>
          <w:t>PDF</w:t>
        </w:r>
      </w:hyperlink>
    </w:p>
    <w:p>
      <w:pPr>
        <w:pStyle w:val="Normal"/>
        <w:widowControl/>
        <w:spacing w:after="120"/>
        <w:numPr>
          <w:ilvl w:val="1"/>
          <w:numId w:val="6"/>
        </w:numPr>
      </w:pPr>
      <w:r>
        <w:t xml:space="preserve">A fitted slope above 7.5 ng/mL per month is an additional warning, not a stand-alone stop. Review multiple dated values, timing of LRT and inflammation; do not extrapolate a long-term slope model from two closely spaced noisy measurements.</w:t>
      </w:r>
      <w:r>
        <w:t xml:space="preserve"> </w:t>
      </w:r>
      <w:r>
        <w:fldChar w:fldCharType="begin"/>
      </w:r>
      <w:r>
        <w:instrText xml:space="preserve"> ADDIN EN.CITE </w:instrText>
      </w:r>
      <w:r>
        <w:fldChar w:fldCharType="begin">
          <w:fldData>PEVuZE5vdGU+PENpdGU+PEF1dGhvcj5HaWFyZCBKTTwvQXV0aG9yPjxZZWFyPjIwMTg8L1llYXI+PFJlY051bT4xMTwvUmVjTnVtPjxEaXNwbGF5VGV4dD5bVjEyLTExXTwvRGlzcGxheVRleHQ+PHJlY29yZD48cmVjLW51bWJlcj4xMTwvcmVjLW51bWJlcj48Zm9yZWlnbi1rZXlzPjxrZXkgYXBwPSJFTiIgZGItaWQ9IjEyY2QxMTZmLWZkZjEtNTdkZi05ZjY3LWYxNGRlMTRmZTM3OSIgdGltZXN0YW1wPSIxNzkyOTIxMDgzIj4xMT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[V12-11]</w:t>
      </w:r>
      <w:r>
        <w:fldChar w:fldCharType="end"/>
      </w:r>
      <w:r>
        <w:br/>
      </w:r>
      <w:hyperlink r:id="rId459">
        <w:r>
          <w:rPr>
            <w:color w:val="0563C1"/>
            <w:u w:val="single"/>
          </w:rPr>
          <w:t>Source</w:t>
        </w:r>
      </w:hyperlink>
      <w:r>
        <w:t xml:space="preserve"> · </w:t>
      </w:r>
      <w:hyperlink r:id="rId460">
        <w:r>
          <w:rPr>
            <w:color w:val="0563C1"/>
            <w:u w:val="single"/>
          </w:rPr>
          <w:t>PDF</w:t>
        </w:r>
      </w:hyperlink>
    </w:p>
    <w:p>
      <w:pPr>
        <w:pStyle w:val="Heading4"/>
        <w:widowControl/>
        <w:keepNext/>
      </w:pPr>
      <w:r>
        <w:t xml:space="preserve">Do not do</w:t>
      </w:r>
    </w:p>
    <w:p>
      <w:pPr>
        <w:pStyle w:val="Normal"/>
        <w:widowControl/>
        <w:spacing w:after="120"/>
        <w:numPr>
          <w:ilvl w:val="0"/>
          <w:numId w:val="6"/>
        </w:numPr>
      </w:pPr>
      <w:r>
        <w:t xml:space="preserve">Avoid irreversible or unproven responses to a biomarker alone</w:t>
      </w:r>
    </w:p>
    <w:p>
      <w:pPr>
        <w:pStyle w:val="Normal"/>
        <w:widowControl/>
        <w:spacing w:after="120"/>
        <w:numPr>
          <w:ilvl w:val="1"/>
          <w:numId w:val="6"/>
        </w:numPr>
      </w:pPr>
      <w:r>
        <w:t xml:space="preserve">Do not permanently exclude for one AFP result. Persistent biochemical nonresponse after adequate evaluation may lead the group to decline the current transplant plan, but the rationale and possibility of reassessment must be documented.</w:t>
      </w:r>
      <w:r>
        <w:t xml:space="preserve"> </w:t>
      </w:r>
      <w:r>
        <w:fldChar w:fldCharType="begin"/>
      </w:r>
      <w:r>
        <w:instrText xml:space="preserve"> ADDIN EN.CITE </w:instrText>
      </w:r>
      <w:r>
        <w:fldChar w:fldCharType="begin">
          <w:fldData>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Hb2xkbWFuIE1MPC9BdXRob3I+PFllYXI+MjAyMjwvWWVhcj48UmVjTnVtPjEwPC9SZWNOdW0+PERpc3BsYXlUZXh0PltWMTItMTBdPC9EaXNwbGF5VGV4dD48cmVjb3JkPjxyZWMtbnVtYmVyPjEwPC9yZWMtbnVtYmVyPjxmb3JlaWduLWtleXM+PGtleSBhcHA9IkVOIiBkYi1pZD0iMTJjZDExNmYtZmRmMS01N2RmLTlmNjctZjE0ZGUxNGZlMzc5IiB0aW1lc3RhbXA9IjE3OTI5MjEwODMiPjEw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br/>
      </w:r>
      <w:hyperlink r:id="rId461">
        <w:r>
          <w:rPr>
            <w:color w:val="0563C1"/>
            <w:u w:val="single"/>
          </w:rPr>
          <w:t>Source</w:t>
        </w:r>
      </w:hyperlink>
      <w:r>
        <w:t xml:space="preserve"> · </w:t>
      </w:r>
      <w:hyperlink r:id="rId462">
        <w:r>
          <w:rPr>
            <w:color w:val="0563C1"/>
            <w:u w:val="single"/>
          </w:rPr>
          <w:t>PDF</w:t>
        </w:r>
      </w:hyperlink>
      <w:r>
        <w:br/>
      </w:r>
      <w:hyperlink r:id="rId463">
        <w:r>
          <w:rPr>
            <w:color w:val="0563C1"/>
            <w:u w:val="single"/>
          </w:rPr>
          <w:t>Source</w:t>
        </w:r>
      </w:hyperlink>
      <w:r>
        <w:t xml:space="preserve"> · </w:t>
      </w:r>
      <w:hyperlink r:id="rId464">
        <w:r>
          <w:rPr>
            <w:color w:val="0563C1"/>
            <w:u w:val="single"/>
          </w:rPr>
          <w:t>PDF</w:t>
        </w:r>
      </w:hyperlink>
    </w:p>
    <w:p>
      <w:pPr>
        <w:pStyle w:val="Normal"/>
        <w:widowControl/>
        <w:spacing w:after="120"/>
        <w:numPr>
          <w:ilvl w:val="1"/>
          <w:numId w:val="6"/>
        </w:numPr>
      </w:pPr>
      <w:r>
        <w:t xml:space="preserve">Do not call AFP-only rise RECIST or LI-RADS treatment progression. Do not give empiric LRT without an identified target, or add systemic therapy solely to make the AFP cross an allocation threshold without a justified oncologic indication.</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br/>
      </w:r>
      <w:hyperlink r:id="rId465">
        <w:r>
          <w:rPr>
            <w:color w:val="0563C1"/>
            <w:u w:val="single"/>
          </w:rPr>
          <w:t>Source</w:t>
        </w:r>
      </w:hyperlink>
      <w:r>
        <w:t xml:space="preserve"> · </w:t>
      </w:r>
      <w:hyperlink r:id="rId466">
        <w:r>
          <w:rPr>
            <w:color w:val="0563C1"/>
            <w:u w:val="single"/>
          </w:rPr>
          <w:t>PDF</w:t>
        </w:r>
      </w:hyperlink>
    </w:p>
    <w:p>
      <w:pPr>
        <w:pStyle w:val="Normal"/>
        <w:widowControl/>
        <w:spacing w:after="120"/>
        <w:numPr>
          <w:ilvl w:val="1"/>
          <w:numId w:val="6"/>
        </w:numPr>
      </w:pPr>
      <w:r>
        <w:t xml:space="preserve">Do not treat LDLT as an automatic escape from unfavorable tumor biology. Donor risk, recipient benefit and recurrence must be reviewed independently. New ICI use requires the separate B3 transplant safety decision.</w:t>
      </w:r>
    </w:p>
    <w:p>
      <w:pPr>
        <w:pStyle w:val="Normal"/>
        <w:widowControl/>
        <w:spacing w:after="120"/>
      </w:pPr>
      <w:r>
        <w:t xml:space="preserve">Full evidence and meeting fields: </w:t>
      </w:r>
      <w:hyperlink r:id="rId421">
        <w:r>
          <w:rPr>
            <w:color w:val="0563C1"/>
            <w:u w:val="single"/>
          </w:rPr>
          <w:t>HCC B1.1 record</w:t>
        </w:r>
      </w:hyperlink>
    </w:p>
    <w:p>
      <w:pPr>
        <w:pStyle w:val="Normal"/>
        <w:widowControl/>
        <w:spacing w:after="120"/>
      </w:pPr>
      <w:r>
        <w:t xml:space="preserve">Treatment comparisons and detailed regimen evidence: </w:t>
      </w:r>
      <w:hyperlink r:id="rId422">
        <w:r>
          <w:rPr>
            <w:color w:val="0563C1"/>
            <w:u w:val="single"/>
          </w:rPr>
          <w:t>Cross-tumor systemic matrix</w:t>
        </w:r>
      </w:hyperlink>
    </w:p>
    <w:p>
      <w:pPr>
        <w:pStyle w:val="Heading3"/>
        <w:keepNext/>
        <w:widowControl/>
      </w:pPr>
      <w:r>
        <w:t xml:space="preserve">3.3 Liver Function Assessment</w:t>
      </w:r>
    </w:p>
    <w:p>
      <w:pPr>
        <w:pStyle w:val="Normal"/>
        <w:widowControl/>
        <w:numPr>
          <w:ilvl w:val="0"/>
          <w:numId w:val="3"/>
        </w:numPr>
      </w:pPr>
      <w:r>
        <w:t xml:space="preserve">Child-Turcotte-Pugh (CTP) classification and current calculated MELD score</w:t>
      </w:r>
    </w:p>
    <w:p>
      <w:pPr>
        <w:pStyle w:val="Normal"/>
        <w:widowControl/>
        <w:numPr>
          <w:ilvl w:val="0"/>
          <w:numId w:val="3"/>
        </w:numPr>
      </w:pPr>
      <w:r>
        <w:t xml:space="preserve">Assessment for portal hypertension (varices, splenomegaly, thrombocytopenia)</w:t>
      </w:r>
    </w:p>
    <w:p>
      <w:pPr>
        <w:pStyle w:val="Normal"/>
        <w:widowControl/>
        <w:numPr>
          <w:ilvl w:val="0"/>
          <w:numId w:val="3"/>
        </w:numPr>
      </w:pPr>
      <w:r>
        <w:t xml:space="preserve">Patients with CTP Class A who are both resectable and transplantable should be discussed at MDT for individualized decision-making regarding resection vs. transplant.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3"/>
        <w:keepNext/>
        <w:widowControl/>
      </w:pPr>
      <w:r>
        <w:t xml:space="preserve">3.4a Contraindications to the standardized HCC MELD exception (Policy 9.5.I / NLRB guidance)</w:t>
      </w:r>
    </w:p>
    <w:p>
      <w:pPr>
        <w:pStyle w:val="Normal"/>
        <w:widowControl/>
        <w:numPr>
          <w:ilvl w:val="0"/>
          <w:numId w:val="3"/>
        </w:numPr>
      </w:pPr>
      <w:r>
        <w:t xml:space="preserve">HCC exception-specific contraindications in the December 2025 guidance include T1 HCC, ruptured HCC, extrahepatic metastatic disease, and macrovascular invasion of the main portal vein or hepatic vein.</w:t>
      </w:r>
    </w:p>
    <w:p>
      <w:pPr>
        <w:pStyle w:val="Normal"/>
        <w:widowControl/>
        <w:numPr>
          <w:ilvl w:val="0"/>
          <w:numId w:val="3"/>
        </w:numPr>
      </w:pPr>
      <w:r>
        <w:t xml:space="preserve">Primary portal-vein branch invasion or ruptured HCC may be considered only through a non-standard request after treatment and at least 12 months of documented stability; neither is automatically eligible.</w:t>
      </w:r>
    </w:p>
    <w:p>
      <w:pPr>
        <w:pStyle w:val="Normal"/>
        <w:widowControl/>
      </w:pPr>
      <w:r>
        <w:t xml:space="preserve">These are exception-ineligibility criteria. They do not by themselves determine transplant candidacy: a candidate with T1 HCC is not exception-eligible but may be an appropriate transplant candidate at calculated MELD.</w:t>
      </w:r>
    </w:p>
    <w:p>
      <w:pPr>
        <w:pStyle w:val="Heading3"/>
        <w:keepNext/>
        <w:widowControl/>
      </w:pPr>
      <w:r>
        <w:t xml:space="preserve">3.4b Contraindications to liver transplantation (center criteria)</w:t>
      </w:r>
    </w:p>
    <w:p>
      <w:pPr>
        <w:pStyle w:val="Normal"/>
        <w:widowControl/>
        <w:numPr>
          <w:ilvl w:val="0"/>
          <w:numId w:val="3"/>
        </w:numPr>
      </w:pPr>
      <w:r>
        <w:t xml:space="preserve">Extrahepatic metastatic disease</w:t>
      </w:r>
    </w:p>
    <w:p>
      <w:pPr>
        <w:pStyle w:val="Normal"/>
        <w:widowControl/>
        <w:numPr>
          <w:ilvl w:val="0"/>
          <w:numId w:val="3"/>
        </w:numPr>
      </w:pPr>
      <w:r>
        <w:t xml:space="preserve">Active tumor macrovascular invasion at any level, including portal branches, excludes the standard route. Distinguish bland thrombus and separately review treated historical vascular invasion through the high-risk/nonstandard pathway.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Evidence boundary — Sposito 2026 Y90/PVTT cohort: 37 of 240 treated patients reached LT; five-year recipient OS was 61.6%, with four perioperative deaths and six recurrences among 37 recipients. The reported 79.3% RFS censors deaths without recurrence and is not survival alive and recurrence-free. This selected, heterogeneous retrospective experience does not enlarge standard HCC eligibility. Historical treated branch PVTT requires the separate OPEN HCC-B2 high-risk/nonstandard review; main-trunk and hepatic-vein involvement were excluded from this study.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Infiltrative tumor growth pattern</w:t>
      </w:r>
    </w:p>
    <w:p>
      <w:pPr>
        <w:pStyle w:val="Normal"/>
        <w:widowControl/>
        <w:numPr>
          <w:ilvl w:val="0"/>
          <w:numId w:val="3"/>
        </w:numPr>
      </w:pPr>
      <w:r>
        <w:t xml:space="preserve">Active uncontrolled infection or sepsis</w:t>
      </w:r>
    </w:p>
    <w:p>
      <w:pPr>
        <w:pStyle w:val="Normal"/>
        <w:widowControl/>
        <w:numPr>
          <w:ilvl w:val="0"/>
          <w:numId w:val="3"/>
        </w:numPr>
      </w:pPr>
      <w:r>
        <w:t xml:space="preserve">Severe cardiopulmonary disease precluding major surgery</w:t>
      </w:r>
    </w:p>
    <w:p>
      <w:pPr>
        <w:pStyle w:val="Normal"/>
        <w:widowControl/>
        <w:numPr>
          <w:ilvl w:val="0"/>
          <w:numId w:val="3"/>
        </w:numPr>
      </w:pPr>
      <w:r>
        <w:t xml:space="preserve">Active substance abuse (per institutional policy)</w:t>
      </w:r>
    </w:p>
    <w:p>
      <w:pPr>
        <w:pStyle w:val="Heading2"/>
        <w:keepNext/>
        <w:widowControl/>
      </w:pPr>
      <w:r>
        <w:t xml:space="preserve">4. Pre-Transplant Workup</w:t>
      </w:r>
    </w:p>
    <w:p>
      <w:pPr>
        <w:pStyle w:val="Heading3"/>
        <w:keepNext/>
        <w:widowControl/>
      </w:pPr>
      <w:r>
        <w:t xml:space="preserve">4.1 Imaging</w:t>
      </w:r>
    </w:p>
    <w:p>
      <w:pPr>
        <w:pStyle w:val="Normal"/>
        <w:widowControl/>
        <w:numPr>
          <w:ilvl w:val="0"/>
          <w:numId w:val="3"/>
        </w:numPr>
      </w:pPr>
      <w:r>
        <w:t xml:space="preserve">Multiphasic contrast-enhanced abdominal MRI (preferred) or multiphase CT with interpretation at the transplant center</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CEUS may establish Class 5 under current Policy 9.5.I.vi. Required staging remains contrast-enhanced multiphasic CT/MRI; use CT/MRI for post-downstaging tumor-burden assessment. Record modality, lesion-specific diagnostic features and expert radiologist interpretation.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CT chest for thoracic staging</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Bone scan if clinically indicated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Imaging should conform to LI-RADS criteria</w:t>
      </w:r>
    </w:p>
    <w:p>
      <w:pPr>
        <w:pStyle w:val="Heading3"/>
        <w:keepNext/>
        <w:widowControl/>
      </w:pPr>
      <w:r>
        <w:t xml:space="preserve">4.2 Laboratory Studies</w:t>
      </w:r>
    </w:p>
    <w:p>
      <w:pPr>
        <w:pStyle w:val="Normal"/>
        <w:widowControl/>
        <w:numPr>
          <w:ilvl w:val="0"/>
          <w:numId w:val="3"/>
        </w:numPr>
      </w:pPr>
      <w:r>
        <w:t xml:space="preserve">AFP (baseline and serial)</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Complete hepatitis panel (HBsAg, HBcAb IgG, HCV Ab with reflex RNA/genotype)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Bilirubin, transaminases, alkaline phosphatase, albumin</w:t>
      </w:r>
    </w:p>
    <w:p>
      <w:pPr>
        <w:pStyle w:val="Normal"/>
        <w:widowControl/>
        <w:numPr>
          <w:ilvl w:val="0"/>
          <w:numId w:val="3"/>
        </w:numPr>
      </w:pPr>
      <w:r>
        <w:t xml:space="preserve">PT/INR, CBC with platelets</w:t>
      </w:r>
    </w:p>
    <w:p>
      <w:pPr>
        <w:pStyle w:val="Normal"/>
        <w:widowControl/>
        <w:numPr>
          <w:ilvl w:val="0"/>
          <w:numId w:val="3"/>
        </w:numPr>
      </w:pPr>
      <w:r>
        <w:t xml:space="preserve">BUN, creatinine</w:t>
      </w:r>
    </w:p>
    <w:p>
      <w:pPr>
        <w:pStyle w:val="Normal"/>
        <w:widowControl/>
        <w:numPr>
          <w:ilvl w:val="0"/>
          <w:numId w:val="3"/>
        </w:numPr>
      </w:pPr>
      <w:r>
        <w:t xml:space="preserve">current calculated MELD calculation</w:t>
      </w:r>
    </w:p>
    <w:p>
      <w:pPr>
        <w:pStyle w:val="Heading3"/>
        <w:keepNext/>
        <w:widowControl/>
      </w:pPr>
      <w:r>
        <w:t xml:space="preserve">4.3 Restaging While on Waitlist</w:t>
      </w:r>
    </w:p>
    <w:p>
      <w:pPr>
        <w:pStyle w:val="Normal"/>
        <w:widowControl/>
        <w:numPr>
          <w:ilvl w:val="0"/>
          <w:numId w:val="3"/>
        </w:numPr>
      </w:pPr>
      <w:r>
        <w:t xml:space="preserve">Abdominal imaging (multiphasic MRI or CT) every 3 months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CT chest every 6–12 months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AFP every 3 months</w:t>
      </w:r>
    </w:p>
    <w:p>
      <w:pPr>
        <w:pStyle w:val="Heading2"/>
        <w:keepNext/>
        <w:widowControl/>
      </w:pPr>
      <w:r>
        <w:t xml:space="preserve">5. UNOS Listing and MELD Exception</w:t>
      </w:r>
    </w:p>
    <w:p>
      <w:pPr>
        <w:pStyle w:val="Normal"/>
        <w:widowControl/>
        <w:numPr>
          <w:ilvl w:val="0"/>
          <w:numId w:val="3"/>
        </w:numPr>
      </w:pPr>
      <w:r>
        <w:t xml:space="preserve">Adults who meet Policy 9.5.I criteria may receive a standardized exception pathway. The initial request and first extension use calculated MELD; qualifying extensions after the first receive MMaT-3, which generally produces an approximately 6-month delay before exception priority.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Exception score: MMaT-3 (3 points below the median MELD at transplant for the distribution area).</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Recurrence pathway (guidance). A candidate who presented with stage T2 HCC (LI-RADS 5 or biopsy proven) that was treated by locoregional therapy or resected, and who then develops T1 or T2 (LI-RADS 5 or biopsy proven) recurrence, is eligible for a MELD exception without the six-month waiting period when the program is requesting an INITIAL HCC exception more than 6 months but less than 60 months following the initial treatment or resection. All three conditions apply: original presentation at stage T2; treatment by locoregional therapy or resection; and an initial exception request. Current guidance reviewed; reconfirm this recurrence category and the submission dates with allocation staff before requesting.</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Heading1"/>
        <w:widowControl/>
        <w:keepNext/>
      </w:pPr>
      <w:r>
        <w:t xml:space="preserve">6. Bridging and treatment-to-transplant interface</w:t>
      </w:r>
    </w:p>
    <w:p>
      <w:pPr>
        <w:pStyle w:val="Normal"/>
        <w:widowControl/>
        <w:spacing w:after="120"/>
      </w:pPr>
      <w:r>
        <w:t xml:space="preserve">Purpose: select treatment that controls disease while preserving liver function and the planned transplant route. This section is not a general HCC regimen catalogue. All selection criteria, allocation rules and high-risk meeting decisions elsewhere in this protocol remain in force.</w:t>
      </w:r>
    </w:p>
    <w:p>
      <w:pPr>
        <w:pStyle w:val="Normal"/>
        <w:widowControl/>
        <w:spacing w:after="120"/>
      </w:pPr>
      <w:r>
        <w:t xml:space="preserve">Treatment comparisons and regimen details: </w:t>
      </w:r>
      <w:hyperlink r:id="rId323">
        <w:r>
          <w:rPr>
            <w:color w:val="0563C1"/>
            <w:u w:val="single"/>
          </w:rPr>
          <w:t>HCC cancer roadmap — liver-directed and systemic matrices</w:t>
        </w:r>
      </w:hyperlink>
      <w:r>
        <w:t xml:space="preserve"> | </w:t>
      </w:r>
      <w:hyperlink r:id="rId324">
        <w:r>
          <w:rPr>
            <w:color w:val="0563C1"/>
            <w:u w:val="single"/>
          </w:rPr>
          <w:t>Systemic matrix extract</w:t>
        </w:r>
      </w:hyperlink>
    </w:p>
    <w:p>
      <w:pPr>
        <w:pStyle w:val="Heading2"/>
        <w:widowControl/>
        <w:keepNext/>
      </w:pPr>
      <w:r>
        <w:t xml:space="preserve">Before treatment</w:t>
      </w:r>
    </w:p>
    <w:p>
      <w:pPr>
        <w:pStyle w:val="Normal"/>
        <w:widowControl/>
        <w:spacing w:after="120"/>
        <w:numPr>
          <w:ilvl w:val="0"/>
          <w:numId w:val="5"/>
        </w:numPr>
      </w:pPr>
      <w:r>
        <w:t xml:space="preserve">Record the objective: bridging within the accepted route, downstaging toward an explicitly defined route, or nontransplant disease control. Record pretreatment tumor sites and dimensions, vascular/extrahepatic status, AFP trend, Child-Pugh, performance status and the expected waiting period.</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after="120"/>
        <w:numPr>
          <w:ilvl w:val="0"/>
          <w:numId w:val="5"/>
        </w:numPr>
      </w:pPr>
      <w:r>
        <w:t xml:space="preserve">MDT selects among thermal ablation, arterial embolization, radioembolization and external beam radiation according to anatomy, liver reserve, portal flow, prior treatment, local expertise and feasibility. No modality is universally the preferred bridge. A selective technical plan and the reserve needed for the next step must be documented.</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I8L1JlY051bT48RGlzcGxheVRleHQ+W1YxMi0xMl08L0Rpc3BsYXlUZXh0PjxyZWNvcmQ+PHJlYy1udW1iZXI+MTI8L3JlYy1udW1iZXI+PGZvcmVpZ24ta2V5cz48a2V5IGFwcD0iRU4iIGRiLWlkPSIxMmNkMTE2Zi1mZGYxLTU3ZGYtOWY2Ny1mMTRkZTE0ZmUzNzkiIHRpbWVzdGFtcD0iMTc5MjkyMTA4MyI+MTI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TM8L1JlY051bT48RGlzcGxheVRleHQ+W1YxMi0xM108L0Rpc3BsYXlUZXh0PjxyZWNvcmQ+PHJlYy1udW1iZXI+MTM8L3JlYy1udW1iZXI+PGZvcmVpZ24ta2V5cz48a2V5IGFwcD0iRU4iIGRiLWlkPSIxMmNkMTE2Zi1mZGYxLTU3ZGYtOWY2Ny1mMTRkZTE0ZmUzNzkiIHRpbWVzdGFtcD0iMTc5MjkyMTA4MyI+MTM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[V12-13]</w:t>
      </w:r>
      <w:r>
        <w:fldChar w:fldCharType="end"/>
      </w:r>
    </w:p>
    <w:p>
      <w:pPr>
        <w:pStyle w:val="Normal"/>
        <w:widowControl/>
        <w:spacing w:after="120"/>
        <w:numPr>
          <w:ilvl w:val="0"/>
          <w:numId w:val="5"/>
        </w:numPr>
      </w:pPr>
      <w:r>
        <w:t xml:space="preserve">Do not proceed with an elective treatment plan until decompensation, infection, bleeding, biliary obstruction and procedure-specific nontarget risks have been evaluated and addressed. An unresolved safety problem requires reconsideration of treatment, not automatic exclusion from every transplant pathway.</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2"/>
        <w:widowControl/>
        <w:keepNext/>
      </w:pPr>
      <w:r>
        <w:t xml:space="preserve">Response and the next transplant decision</w:t>
      </w:r>
    </w:p>
    <w:p>
      <w:pPr>
        <w:pStyle w:val="Normal"/>
        <w:widowControl/>
        <w:spacing w:after="120"/>
        <w:numPr>
          <w:ilvl w:val="0"/>
          <w:numId w:val="5"/>
        </w:numPr>
      </w:pPr>
      <w:r>
        <w:t xml:space="preserve">Obtain multiphasic contrast CT or MRI with AFP and liver-function reassessment. Typical first imaging assessment is about 6 weeks after TACE and about 12 weeks after radioembolization or external beam radiation; obtain earlier imaging for a clinical concern. Tailor timing to the modality and the protocol observation window.</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spacing w:after="120"/>
        <w:numPr>
          <w:ilvl w:val="0"/>
          <w:numId w:val="5"/>
        </w:numPr>
      </w:pPr>
      <w:r>
        <w:t xml:space="preserve">Use treatment-specific response interpretation. Persistent but stable or decreasing enhancement after radiation can be nonprogressing; do not call failure or mandate retreatment on enhancement alone. New or increasing masslike enhancement, a rising biomarker, or clinical deterioration requires joint radiology/MDT review.</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xNDwvUmVjTnVtPjxEaXNwbGF5VGV4dD5bVjEyLTE0XTwvRGlzcGxheVRleHQ+PHJlY29yZD48cmVjLW51bWJlcj4xNDwvcmVjLW51bWJlcj48Zm9yZWlnbi1rZXlzPjxrZXkgYXBwPSJFTiIgZGItaWQ9IjEyY2QxMTZmLWZkZjEtNTdkZi05ZjY3LWYxNGRlMTRmZTM3OSIgdGltZXN0YW1wPSIxNzkyOTIxMDgzIj4xN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[V12-14]</w:t>
      </w:r>
      <w:r>
        <w:fldChar w:fldCharType="end"/>
      </w:r>
    </w:p>
    <w:p>
      <w:pPr>
        <w:pStyle w:val="Normal"/>
        <w:widowControl/>
        <w:spacing w:after="120"/>
        <w:numPr>
          <w:ilvl w:val="0"/>
          <w:numId w:val="5"/>
        </w:numPr>
      </w:pPr>
      <w:r>
        <w:t xml:space="preserve">Advance only after the selected route’s tumor-burden, response, reserve, observation and allocation conditions are documented. Cancer control and eligibility for an allocation exception are separate conclusions. Repeat treatment only when residual/progressive disease and expected benefit justify the reserve and toxicity cost.</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after="120"/>
        <w:numPr>
          <w:ilvl w:val="0"/>
          <w:numId w:val="5"/>
        </w:numPr>
      </w:pPr>
      <w:r>
        <w:t xml:space="preserve">Restage while waiting, generally at approximately 3-month intervals, with earlier review for progression or toxicity and any shorter protocol-specific surveillance requirement. Document viable disease and AFP rather than reclassifying treated scars as new untreated tumors.</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Heading2"/>
        <w:widowControl/>
        <w:keepNext/>
      </w:pPr>
      <w:r>
        <w:t xml:space="preserve">Systemic exposure and operative safety</w:t>
      </w:r>
    </w:p>
    <w:p>
      <w:pPr>
        <w:pStyle w:val="Normal"/>
        <w:widowControl/>
        <w:spacing w:after="120"/>
        <w:numPr>
          <w:ilvl w:val="0"/>
          <w:numId w:val="5"/>
        </w:numPr>
      </w:pPr>
      <w:r>
        <w:t xml:space="preserve">Do not add systemic therapy routinely just because transplantation is planned. If needed for disease control, oncology selects a regimen using the cancer roadmap and records its intent, evidence, anticipated benefit and transplant implications before the first dose.</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I8L1JlY051bT48RGlzcGxheVRleHQ+W1YxMi0xMl08L0Rpc3BsYXlUZXh0PjxyZWNvcmQ+PHJlYy1udW1iZXI+MTI8L3JlYy1udW1iZXI+PGZvcmVpZ24ta2V5cz48a2V5IGFwcD0iRU4iIGRiLWlkPSIxMmNkMTE2Zi1mZGYxLTU3ZGYtOWY2Ny1mMTRkZTE0ZmUzNzkiIHRpbWVzdGFtcD0iMTc5MjkyMTA4MyI+MTI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p>
    <w:p>
      <w:pPr>
        <w:pStyle w:val="Normal"/>
        <w:widowControl/>
        <w:spacing w:after="120"/>
        <w:numPr>
          <w:ilvl w:val="0"/>
          <w:numId w:val="5"/>
        </w:numPr>
      </w:pPr>
      <w:r>
        <w:t xml:space="preserve">Before any immune checkpoint inhibitor in an LT-intent patient, obtain prospective transplant/oncology review and a documented stop, reassessment and washout plan. Follow the protocol’s existing ICI decision and meeting record. No single interval guarantees freedom from rejection; the proposed local threshold is not a validated universal safe boundary.</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ItMTVdPC9EaXNwbGF5VGV4dD48cmVjb3JkPjxyZWMtbnVtYmVyPjE1PC9yZWMtbnVtYmVyPjxmb3JlaWduLWtleXM+PGtleSBhcHA9IkVOIiBkYi1pZD0iMTJjZDExNmYtZmRmMS01N2RmLTlmNjctZjE0ZGUxNGZlMzc5IiB0aW1lc3RhbXA9IjE3OTI5MjEwODM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Mi0xNl08L0Rpc3BsYXlUZXh0PjxyZWNvcmQ+PHJlYy1udW1iZXI+MTY8L3JlYy1udW1iZXI+PGZvcmVpZ24ta2V5cz48a2V5IGFwcD0iRU4iIGRiLWlkPSIxMmNkMTE2Zi1mZGYxLTU3ZGYtOWY2Ny1mMTRkZTE0ZmUzNzkiIHRpbWVzdGFtcD0iMTc5MjkyMTA4My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after="120"/>
        <w:numPr>
          <w:ilvl w:val="0"/>
          <w:numId w:val="5"/>
        </w:numPr>
      </w:pPr>
      <w:r>
        <w:t xml:space="preserve">Use agent-specific perioperative holds. The bevacizumab label requires at least 28 days before elective surgery and at least 28 days after major surgery with adequate wound healing; this minimum is not a proven safe LT interval. Transplant timing may require a longer individualized interval. TKIs also require their own label/pharmacy review.</w:t>
      </w:r>
      <w:r>
        <w:t xml:space="preserve"> </w:t>
      </w:r>
      <w:r>
        <w:t xml:space="preserve"> </w:t>
      </w:r>
      <w:r>
        <w:fldChar w:fldCharType="begin"/>
      </w:r>
      <w:r>
        <w:instrText xml:space="preserve"> ADDIN EN.CITE </w:instrText>
      </w:r>
      <w:r>
        <w:fldChar w:fldCharType="begin">
          <w:fldData>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p>
    <w:p>
      <w:pPr>
        <w:pStyle w:val="Normal"/>
        <w:widowControl/>
        <w:spacing w:after="120"/>
        <w:numPr>
          <w:ilvl w:val="0"/>
          <w:numId w:val="5"/>
        </w:numPr>
      </w:pPr>
      <w:r>
        <w:t xml:space="preserve">After LT, do not automatically apply the nontransplant ICI matrix. Rejection and graft-loss risk require transplant/oncology assessment and an explicit exceptional-use decision; use the recurrence and immunosuppression sections of the protocol.</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XYXNzbWVyPC9BdXRob3I+PFllYXI+MjAyMzwvWWVhcj48UmVjTnVtPjE4PC9SZWNOdW0+PERpc3BsYXlUZXh0PltWMTItMThdPC9EaXNwbGF5VGV4dD48cmVjb3JkPjxyZWMtbnVtYmVyPjE4PC9yZWMtbnVtYmVyPjxmb3JlaWduLWtleXM+PGtleSBhcHA9IkVOIiBkYi1pZD0iMTJjZDExNmYtZmRmMS01N2RmLTlmNjctZjE0ZGUxNGZlMzc5IiB0aW1lc3RhbXA9IjE3OTI5MjEwODMiPjE4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[V12-18]</w:t>
      </w:r>
      <w:r>
        <w:fldChar w:fldCharType="end"/>
      </w:r>
    </w:p>
    <w:p>
      <w:pPr>
        <w:pStyle w:val="Heading2"/>
        <w:keepNext/>
        <w:widowControl/>
      </w:pPr>
      <w:r>
        <w:t xml:space="preserve">7. Downstaging Protocol (UNOS-DS Criteria)</w:t>
      </w:r>
    </w:p>
    <w:p>
      <w:pPr>
        <w:pStyle w:val="Normal"/>
        <w:widowControl/>
      </w:pPr>
      <w:r>
        <w:t xml:space="preserve">Patients with HCC exceeding Milan criteria but within UNOS downstaging criteria may be considered for transplant after successful downstaging.</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Heading3"/>
        <w:keepNext/>
        <w:widowControl/>
      </w:pPr>
      <w:r>
        <w:t xml:space="preserve">7.1 UNOS Downstaging Inclusion Criteria:</w:t>
      </w:r>
    </w:p>
    <w:p>
      <w:pPr>
        <w:pStyle w:val="Normal"/>
        <w:widowControl/>
        <w:numPr>
          <w:ilvl w:val="0"/>
          <w:numId w:val="3"/>
        </w:numPr>
      </w:pPr>
      <w:r>
        <w:t xml:space="preserve">Single lesion 5.1–8 cm, OR</w:t>
      </w:r>
    </w:p>
    <w:p>
      <w:pPr>
        <w:pStyle w:val="Normal"/>
        <w:widowControl/>
        <w:numPr>
          <w:ilvl w:val="0"/>
          <w:numId w:val="3"/>
        </w:numPr>
      </w:pPr>
      <w:r>
        <w:t xml:space="preserve">2–3 lesions each ≤5 cm with sum of maximal tumor diameters ≤8 cm, OR</w:t>
      </w:r>
    </w:p>
    <w:p>
      <w:pPr>
        <w:pStyle w:val="Normal"/>
        <w:widowControl/>
        <w:numPr>
          <w:ilvl w:val="0"/>
          <w:numId w:val="3"/>
        </w:numPr>
      </w:pPr>
      <w:r>
        <w:t xml:space="preserve">4–5 Class 5 lesions each &lt;3 cm, with total maximal diameters ≤8 cm</w:t>
      </w:r>
    </w:p>
    <w:p>
      <w:pPr>
        <w:pStyle w:val="Normal"/>
        <w:widowControl/>
        <w:numPr>
          <w:ilvl w:val="0"/>
          <w:numId w:val="3"/>
        </w:numPr>
      </w:pPr>
      <w:r>
        <w:t xml:space="preserve">AND absence of vascular invasion or extrahepatic disease</w:t>
      </w:r>
    </w:p>
    <w:p>
      <w:pPr>
        <w:pStyle w:val="Heading3"/>
        <w:keepNext/>
        <w:widowControl/>
      </w:pPr>
      <w:r>
        <w:t xml:space="preserve">7.2 Successful Downstaging Defined As:</w:t>
      </w:r>
    </w:p>
    <w:p>
      <w:pPr>
        <w:pStyle w:val="Normal"/>
        <w:widowControl/>
        <w:numPr>
          <w:ilvl w:val="0"/>
          <w:numId w:val="3"/>
        </w:numPr>
      </w:pPr>
      <w:r>
        <w:t xml:space="preserve">Residual viable tumor within Milan criteria (1 lesion ≤5 cm, or 2–3 lesions ≤3 cm)</w:t>
      </w:r>
    </w:p>
    <w:p>
      <w:pPr>
        <w:pStyle w:val="Normal"/>
        <w:widowControl/>
        <w:numPr>
          <w:ilvl w:val="0"/>
          <w:numId w:val="3"/>
        </w:numPr>
      </w:pPr>
      <w:r>
        <w:t xml:space="preserve">Only viable tumor is measured; necrosis from therapy is excluded</w:t>
      </w:r>
    </w:p>
    <w:p>
      <w:pPr>
        <w:pStyle w:val="Normal"/>
        <w:widowControl/>
        <w:numPr>
          <w:ilvl w:val="0"/>
          <w:numId w:val="3"/>
        </w:numPr>
      </w:pPr>
      <w:r>
        <w:t xml:space="preserve">AFP &lt;500 ng/mL if AFP was ever &gt;1,000 ng/mL</w:t>
      </w:r>
    </w:p>
    <w:p>
      <w:pPr>
        <w:pStyle w:val="Heading3"/>
        <w:keepNext/>
        <w:widowControl/>
      </w:pPr>
      <w:r>
        <w:t xml:space="preserve">7.3 Downstaging Failure Criteria:</w:t>
      </w:r>
    </w:p>
    <w:p>
      <w:pPr>
        <w:pStyle w:val="Normal"/>
        <w:widowControl/>
        <w:numPr>
          <w:ilvl w:val="0"/>
          <w:numId w:val="3"/>
        </w:numPr>
      </w:pPr>
      <w:r>
        <w:t xml:space="preserve">Tumor progression beyond downstaging inclusion criteria</w:t>
      </w:r>
    </w:p>
    <w:p>
      <w:pPr>
        <w:pStyle w:val="Normal"/>
        <w:widowControl/>
        <w:numPr>
          <w:ilvl w:val="0"/>
          <w:numId w:val="3"/>
        </w:numPr>
      </w:pPr>
      <w:r>
        <w:t xml:space="preserve">Major hepatic vessel invasion</w:t>
      </w:r>
    </w:p>
    <w:p>
      <w:pPr>
        <w:pStyle w:val="Normal"/>
        <w:widowControl/>
        <w:numPr>
          <w:ilvl w:val="0"/>
          <w:numId w:val="3"/>
        </w:numPr>
      </w:pPr>
      <w:r>
        <w:t xml:space="preserve">Lymph node involvement or extrahepatic spread</w:t>
      </w:r>
    </w:p>
    <w:p>
      <w:pPr>
        <w:pStyle w:val="Normal"/>
        <w:widowControl/>
        <w:numPr>
          <w:ilvl w:val="0"/>
          <w:numId w:val="3"/>
        </w:numPr>
      </w:pPr>
      <w:r>
        <w:t xml:space="preserve">Infiltrative tumor growth pattern</w:t>
      </w:r>
    </w:p>
    <w:p>
      <w:pPr>
        <w:pStyle w:val="Normal"/>
        <w:widowControl/>
        <w:numPr>
          <w:ilvl w:val="0"/>
          <w:numId w:val="3"/>
        </w:numPr>
      </w:pPr>
      <w:r>
        <w:t xml:space="preserve">AFP ≥500 ng/mL after any AFP value &gt;1,000 ng/mL prevents the standardized HCC exception route and requires NLRB review. This is an allocation boundary, not an automatic declaration of clinical transplant futility.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Heading3"/>
        <w:keepNext/>
        <w:widowControl/>
      </w:pPr>
      <w:r>
        <w:t xml:space="preserve">7.4 Observation Period</w:t>
      </w:r>
    </w:p>
    <w:p>
      <w:pPr>
        <w:pStyle w:val="Normal"/>
        <w:widowControl/>
        <w:numPr>
          <w:ilvl w:val="0"/>
          <w:numId w:val="3"/>
        </w:numPr>
      </w:pPr>
      <w:r>
        <w:t xml:space="preserve">There is no separate institutional stability-observation requirement after successful downstaging. Per the transplant-oncology guidance, candidates downstaged to T2 may be appropriate for exception provided there is no extrahepatic metastasis, no macrovascular invasion and AFP is not greater than 1,000 ng/mL; imaging must be performed at least 4 weeks after the last downstaging treatment; and the candidate must still wait 6 months from the time of the first request to be eligible for an HCC exception score.</w:t>
      </w:r>
    </w:p>
    <w:p>
      <w:pPr>
        <w:pStyle w:val="Normal"/>
        <w:widowControl/>
        <w:numPr>
          <w:ilvl w:val="0"/>
          <w:numId w:val="3"/>
        </w:numPr>
      </w:pPr>
      <w:r>
        <w:t xml:space="preserve">Candidates beyond standard criteria with continued progression while waiting despite locoregional therapy are generally not acceptable candidates for an HCC MELD exception.</w:t>
      </w:r>
    </w:p>
    <w:p>
      <w:pPr>
        <w:pStyle w:val="Normal"/>
        <w:widowControl/>
        <w:numPr>
          <w:ilvl w:val="0"/>
          <w:numId w:val="3"/>
        </w:numPr>
      </w:pPr>
      <w:r>
        <w:t xml:space="preserve">OPTN Table 9-10 governs priority: for adults, the initial request and first extension remain at calculated MELD; any extension after the first receives MMaT-3 if criteria continue to be met. This produces the allocation delay and should not be described as a separate post-downstaging stability rule.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xMmNkMTE2Zi1mZGYxLTU3ZGYtOWY2Ny1mMTRkZTE0ZmUzNzk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xMmNkMTE2Zi1mZGYxLTU3ZGYtOWY2Ny1mMTRkZTE0ZmUzNzk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Heading3"/>
        <w:keepNext/>
        <w:widowControl/>
      </w:pPr>
      <w:r>
        <w:t xml:space="preserve">7.5 Downstaging Modalities</w:t>
      </w:r>
    </w:p>
    <w:p>
      <w:pPr>
        <w:pStyle w:val="Normal"/>
        <w:widowControl/>
        <w:numPr>
          <w:ilvl w:val="0"/>
          <w:numId w:val="3"/>
        </w:numPr>
      </w:pPr>
      <w:r>
        <w:t xml:space="preserve">Use the modality, reserve, response and toxicity assessment in Section 6 for bridging and downstaging. The intended endpoint and allocation pathway must be documented separately.</w:t>
      </w:r>
    </w:p>
    <w:p>
      <w:pPr>
        <w:pStyle w:val="Normal"/>
        <w:widowControl/>
        <w:numPr>
          <w:ilvl w:val="0"/>
          <w:numId w:val="3"/>
        </w:numPr>
      </w:pPr>
      <w:r>
        <w:t xml:space="preserve">Nonrandomized comparisons have reported higher downstaging proportions with Y90 than TACE in some beyond-standard cohorts, but case selection and hepatic reserve differ. Do not use those proportions as a universal modality ranking.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p>
    <w:p>
      <w:pPr>
        <w:pStyle w:val="Normal"/>
        <w:widowControl/>
        <w:numPr>
          <w:ilvl w:val="0"/>
          <w:numId w:val="3"/>
        </w:numPr>
      </w:pPr>
      <w:r>
        <w:t xml:space="preserve">Over 80% of patients meeting UNOS-DS criteria can be successfully downstaged with protocolized LRT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Heading2"/>
        <w:keepNext/>
        <w:widowControl/>
      </w:pPr>
      <w:r>
        <w:t xml:space="preserve">8. Living Donor Liver Transplantation (LDLT)</w:t>
      </w:r>
    </w:p>
    <w:p>
      <w:pPr>
        <w:pStyle w:val="Normal"/>
        <w:widowControl/>
        <w:numPr>
          <w:ilvl w:val="0"/>
          <w:numId w:val="3"/>
        </w:numPr>
      </w:pPr>
      <w:r>
        <w:t xml:space="preserve">LDLT is an acceptable option for HCC patients, including those beyond typical criteria who demonstrate favorable tumor biology.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LDLT offers scheduling advantages, including deliberate coordination of an ICI-free interval when applicable; this does not eliminate rejection risk or replace separate tumor-eligibility, prior-irAE and graft-risk review.</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pPr>
      <w:r>
        <w:t xml:space="preserve">Before elective LDLT, document the observation interval, its start event and sustained tumor control. A three-month interval is a proposed local conservative default informed by consensus, not a universally validated threshold; downstaging-specific observation and ICI washout requirements may be longer. Any departure requires explicit MDT rationale.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ItMjFdPC9EaXNwbGF5VGV4dD48cmVjb3JkPjxyZWMtbnVtYmVyPjIxPC9yZWMtbnVtYmVyPjxmb3JlaWduLWtleXM+PGtleSBhcHA9IkVOIiBkYi1pZD0iMTJjZDExNmYtZmRmMS01N2RmLTlmNjctZjE0ZGUxNGZlMzc5IiB0aW1lc3RhbXA9IjE3OTI5MjEwODM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[V12-21]</w:t>
      </w:r>
      <w:r>
        <w:fldChar w:fldCharType="end"/>
      </w:r>
    </w:p>
    <w:p>
      <w:pPr>
        <w:pStyle w:val="Normal"/>
        <w:widowControl/>
        <w:numPr>
          <w:ilvl w:val="0"/>
          <w:numId w:val="3"/>
        </w:numPr>
      </w:pPr>
      <w:r>
        <w:t xml:space="preserve">LDLT is associated with shorter waiting and improved intention-to-treat survival in observational evidence summarized by AASLD, principally through reduced waitlist dropout. This rationale should not be attributed to recipient-only center comparisons.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Must be performed at centers with established LDLT expertise.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ItMjFdPC9EaXNwbGF5VGV4dD48cmVjb3JkPjxyZWMtbnVtYmVyPjIxPC9yZWMtbnVtYmVyPjxmb3JlaWduLWtleXM+PGtleSBhcHA9IkVOIiBkYi1pZD0iMTJjZDExNmYtZmRmMS01N2RmLTlmNjctZjE0ZGUxNGZlMzc5IiB0aW1lc3RhbXA9IjE3OTI5MjEwODM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[V12-21]</w:t>
      </w:r>
      <w:r>
        <w:fldChar w:fldCharType="end"/>
      </w:r>
    </w:p>
    <w:p>
      <w:pPr>
        <w:pStyle w:val="Heading2"/>
        <w:keepNext/>
        <w:widowControl/>
      </w:pPr>
      <w:r>
        <w:t xml:space="preserve">9. Transplant Surgery</w:t>
      </w:r>
    </w:p>
    <w:p>
      <w:pPr>
        <w:pStyle w:val="Heading3"/>
        <w:keepNext/>
        <w:widowControl/>
      </w:pPr>
      <w:r>
        <w:t xml:space="preserve">9.1 Intraoperative Considerations</w:t>
      </w:r>
    </w:p>
    <w:p>
      <w:pPr>
        <w:pStyle w:val="Normal"/>
        <w:widowControl/>
        <w:numPr>
          <w:ilvl w:val="0"/>
          <w:numId w:val="3"/>
        </w:numPr>
      </w:pPr>
      <w:r>
        <w:t xml:space="preserve">Standard deceased donor or living donor hepatectomy and orthotopic liver transplantation</w:t>
      </w:r>
    </w:p>
    <w:p>
      <w:pPr>
        <w:pStyle w:val="Normal"/>
        <w:widowControl/>
        <w:numPr>
          <w:ilvl w:val="0"/>
          <w:numId w:val="3"/>
        </w:numPr>
      </w:pPr>
      <w:r>
        <w:t xml:space="preserve">Explant pathology with detailed assessment of: viable tumor number and size, microvascular invasion, tumor differentiation, satellite lesions, and margin status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3"/>
        <w:keepNext/>
        <w:widowControl/>
      </w:pPr>
      <w:r>
        <w:t xml:space="preserve">9.2 Explant-Based Risk Stratification</w:t>
      </w:r>
    </w:p>
    <w:p>
      <w:pPr>
        <w:pStyle w:val="Normal"/>
        <w:widowControl/>
        <w:numPr>
          <w:ilvl w:val="0"/>
          <w:numId w:val="3"/>
        </w:numPr>
      </w:pPr>
      <w:r>
        <w:t xml:space="preserve">Calculate RETREAT score incorporating: AFP at transplant, microvascular invasion, sum of largest viable tumor diameter, and number of viable tumors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RETREAT score guides intensity of post-transplant surveillance</w:t>
      </w:r>
    </w:p>
    <w:p>
      <w:pPr>
        <w:pStyle w:val="Heading2"/>
        <w:keepNext/>
        <w:widowControl/>
      </w:pPr>
      <w:r>
        <w:t xml:space="preserve">10. Post-Transplant Immunosuppression</w:t>
      </w:r>
    </w:p>
    <w:p>
      <w:pPr>
        <w:pStyle w:val="Heading3"/>
        <w:keepNext/>
        <w:widowControl/>
      </w:pPr>
      <w:r>
        <w:t xml:space="preserve">10.1 Standard Regimen</w:t>
      </w:r>
    </w:p>
    <w:p>
      <w:pPr>
        <w:pStyle w:val="Normal"/>
        <w:widowControl/>
        <w:numPr>
          <w:ilvl w:val="0"/>
          <w:numId w:val="3"/>
        </w:numPr>
      </w:pPr>
      <w:r>
        <w:t xml:space="preserve">Induction: corticosteroids with or without basiliximab according to the institutional graft protocol and individual renal/immunologic risk. Prior ICI exposure requires a documented transplant/pharmacy plan; no regimen is proven to eliminate ICI-associated rejection.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yMjwvUmVjTnVtPjxEaXNwbGF5VGV4dD5bVjEyLTIyXTwvRGlzcGxheVRleHQ+PHJlY29yZD48cmVjLW51bWJlcj4yMjwvcmVjLW51bWJlcj48Zm9yZWlnbi1rZXlzPjxrZXkgYXBwPSJFTiIgZGItaWQ9IjEyY2QxMTZmLWZkZjEtNTdkZi05ZjY3LWYxNGRlMTRmZTM3OSIgdGltZXN0YW1wPSIxNzkyOTIxMDgzIj4yMj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numPr>
          <w:ilvl w:val="0"/>
          <w:numId w:val="3"/>
        </w:numPr>
      </w:pPr>
      <w:r>
        <w:t xml:space="preserve">Maintenance: Tacrolimus-based immunosuppression with target trough levels per institutional protocol</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yLTIzXTwvRGlzcGxheVRleHQ+PHJlY29yZD48cmVjLW51bWJlcj4yMzwvcmVjLW51bWJlcj48Zm9yZWlnbi1rZXlzPjxrZXkgYXBwPSJFTiIgZGItaWQ9IjEyY2QxMTZmLWZkZjEtNTdkZi05ZjY3LWYxNGRlMTRmZTM3OSIgdGltZXN0YW1wPSIxNzkyOTIxMD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p>
    <w:p>
      <w:pPr>
        <w:pStyle w:val="Normal"/>
        <w:widowControl/>
        <w:numPr>
          <w:ilvl w:val="0"/>
          <w:numId w:val="3"/>
        </w:numPr>
      </w:pPr>
      <w:r>
        <w:t xml:space="preserve">Consider combination with mycophenolate mofetil (MMF) for renal-sparing</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yLTIzXTwvRGlzcGxheVRleHQ+PHJlY29yZD48cmVjLW51bWJlcj4yMzwvcmVjLW51bWJlcj48Zm9yZWlnbi1rZXlzPjxrZXkgYXBwPSJFTiIgZGItaWQ9IjEyY2QxMTZmLWZkZjEtNTdkZi05ZjY3LWYxNGRlMTRmZTM3OSIgdGltZXN0YW1wPSIxNzkyOTIxMD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p>
    <w:p>
      <w:pPr>
        <w:pStyle w:val="Normal"/>
        <w:widowControl/>
        <w:numPr>
          <w:ilvl w:val="0"/>
          <w:numId w:val="3"/>
        </w:numPr>
      </w:pPr>
      <w:r>
        <w:t xml:space="preserve">Steroid taper per institutional protocol</w:t>
      </w:r>
    </w:p>
    <w:p>
      <w:pPr>
        <w:pStyle w:val="Heading3"/>
        <w:keepNext/>
        <w:widowControl/>
      </w:pPr>
      <w:r>
        <w:t xml:space="preserve">10.2 mTOR Inhibitor Consideration</w:t>
      </w:r>
    </w:p>
    <w:p>
      <w:pPr>
        <w:pStyle w:val="Normal"/>
        <w:widowControl/>
        <w:numPr>
          <w:ilvl w:val="0"/>
          <w:numId w:val="3"/>
        </w:numPr>
      </w:pPr>
      <w:r>
        <w:t xml:space="preserve">Consider mTOR-containing CNI minimization individually for renal or oncologic-risk reasons. The AASLD/AST HCC-within-Milan recommendation is conditional and does not establish universal long-term recurrence benefit. For everolimus specifically, the US adult-LT label prohibits initiation before day 30; adequate wound/vascular status and monitoring remain necessary.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yLTIzXTwvRGlzcGxheVRleHQ+PHJlY29yZD48cmVjLW51bWJlcj4yMzwvcmVjLW51bWJlcj48Zm9yZWlnbi1rZXlzPjxrZXkgYXBwPSJFTiIgZGItaWQ9IjEyY2QxMTZmLWZkZjEtNTdkZi05ZjY3LWYxNGRlMTRmZTM3OSIgdGltZXN0YW1wPSIxNzkyOTIxMD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Mi0yNF08L0Rpc3BsYXlUZXh0PjxyZWNvcmQ+PHJlYy1udW1iZXI+MjQ8L3JlYy1udW1iZXI+PGZvcmVpZ24ta2V5cz48a2V5IGFwcD0iRU4iIGRiLWlkPSIxMmNkMTE2Zi1mZGYxLTU3ZGYtOWY2Ny1mMTRkZTE0ZmUzNzkiIHRpbWVzdGFtcD0iMTc5MjkyMTA4My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[V12-24]</w:t>
      </w:r>
      <w:r>
        <w:fldChar w:fldCharType="end"/>
      </w:r>
    </w:p>
    <w:p>
      <w:pPr>
        <w:pStyle w:val="Normal"/>
        <w:widowControl/>
        <w:numPr>
          <w:ilvl w:val="0"/>
          <w:numId w:val="3"/>
        </w:numPr>
      </w:pPr>
      <w:r>
        <w:t xml:space="preserve">In the SiLVER randomized trial (n = 525, randomized 4-6 weeks post-transplant) the primary endpoint of recurrence-free survival was NOT met: 64.5% without sirolimus versus 70.2% with sirolimus (p = 0.28; HR 0.84, 95% CI 0.62-1.15). Overall survival also did not differ (HR 0.81, 95% CI 0.58-1.13). A benefit was apparent only across the first 3-5 years. The greater apparent benefit in low-risk (within-Milan) recipients and in recipients aged 60 or under comes from exploratory subgroup analyses that were neither powered nor corrected for multiplicity, and must not be presented to patients as a proven reduction in HCC recurrence. Geissler EK et al., Transplantation 2016;100(1):116-125;  PMID 26555945.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yNTwvUmVjTnVtPjxEaXNwbGF5VGV4dD5bVjEyLTI1XTwvRGlzcGxheVRleHQ+PHJlY29yZD48cmVjLW51bWJlcj4yNTwvcmVjLW51bWJlcj48Zm9yZWlnbi1rZXlzPjxrZXkgYXBwPSJFTiIgZGItaWQ9IjEyY2QxMTZmLWZkZjEtNTdkZi05ZjY3LWYxNGRlMTRmZTM3OSIgdGltZXN0YW1wPSIxNzkyOTIxMDgzIj4yN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p>
    <w:p>
      <w:pPr>
        <w:pStyle w:val="Normal"/>
        <w:widowControl/>
        <w:numPr>
          <w:ilvl w:val="0"/>
          <w:numId w:val="3"/>
        </w:numPr>
      </w:pPr>
      <w:r>
        <w:t xml:space="preserve">mTOR inhibitors carry risks of bone marrow suppression, hypertriglyceridemia, delayed wound healing, pulmonary toxicity, and proteinuria.</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yLTIzXTwvRGlzcGxheVRleHQ+PHJlY29yZD48cmVjLW51bWJlcj4yMzwvcmVjLW51bWJlcj48Zm9yZWlnbi1rZXlzPjxrZXkgYXBwPSJFTiIgZGItaWQ9IjEyY2QxMTZmLWZkZjEtNTdkZi05ZjY3LWYxNGRlMTRmZTM3OSIgdGltZXN0YW1wPSIxNzkyOTIxMD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p>
    <w:p>
      <w:pPr>
        <w:pStyle w:val="Normal"/>
        <w:widowControl/>
        <w:numPr>
          <w:ilvl w:val="0"/>
          <w:numId w:val="3"/>
        </w:numPr>
      </w:pPr>
      <w:r>
        <w:t xml:space="preserve">Do not describe everolimus as free of hepatic-artery thrombosis risk. Its current US label describes this risk and prohibits initiation before day 30 after adult LT. Agent choice and timing require graft/vascular, wound-healing and pharmacy review.</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Mi0yNF08L0Rpc3BsYXlUZXh0PjxyZWNvcmQ+PHJlYy1udW1iZXI+MjQ8L3JlYy1udW1iZXI+PGZvcmVpZ24ta2V5cz48a2V5IGFwcD0iRU4iIGRiLWlkPSIxMmNkMTE2Zi1mZGYxLTU3ZGYtOWY2Ny1mMTRkZTE0ZmUzNzkiIHRpbWVzdGFtcD0iMTc5MjkyMTA4My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yLTIzXTwvRGlzcGxheVRleHQ+PHJlY29yZD48cmVjLW51bWJlcj4yMzwvcmVjLW51bWJlcj48Zm9yZWlnbi1rZXlzPjxrZXkgYXBwPSJFTiIgZGItaWQ9IjEyY2QxMTZmLWZkZjEtNTdkZi05ZjY3LWYxNGRlMTRmZTM3OSIgdGltZXN0YW1wPSIxNzkyOTIxMD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p>
    <w:p>
      <w:pPr>
        <w:pStyle w:val="Heading2"/>
        <w:keepNext/>
        <w:widowControl/>
      </w:pPr>
      <w:r>
        <w:t xml:space="preserve">11. Post-Transplant Surveillance</w:t>
      </w:r>
    </w:p>
    <w:p>
      <w:pPr>
        <w:pStyle w:val="Heading3"/>
        <w:keepNext/>
        <w:widowControl/>
      </w:pPr>
      <w:r>
        <w:t xml:space="preserve">11.1 HCC Recurrence Surveillance</w:t>
      </w:r>
    </w:p>
    <w:p>
      <w:pPr>
        <w:pStyle w:val="Normal"/>
        <w:widowControl/>
        <w:numPr>
          <w:ilvl w:val="0"/>
          <w:numId w:val="3"/>
        </w:numPr>
      </w:pPr>
      <w:r>
        <w:t xml:space="preserve">Years 1–2: Multiphasic contrast-enhanced abdominal CT or MRI AND CT chest every 3–6 months</w:t>
      </w:r>
    </w:p>
    <w:p>
      <w:pPr>
        <w:pStyle w:val="Normal"/>
        <w:widowControl/>
        <w:numPr>
          <w:ilvl w:val="0"/>
          <w:numId w:val="3"/>
        </w:numPr>
      </w:pPr>
      <w:r>
        <w:t xml:space="preserve">Years 3–5: Imaging every 6 months</w:t>
      </w:r>
    </w:p>
    <w:p>
      <w:pPr>
        <w:pStyle w:val="Normal"/>
        <w:widowControl/>
        <w:numPr>
          <w:ilvl w:val="0"/>
          <w:numId w:val="3"/>
        </w:numPr>
      </w:pPr>
      <w:r>
        <w:t xml:space="preserve">Beyond 5 years: Screening dependent on HCC risk factors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AFP every 3–6 months for 2 years, then every 6 months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3"/>
        <w:keepNext/>
        <w:widowControl/>
      </w:pPr>
      <w:r>
        <w:t xml:space="preserve">11.2 Recurrence Sites</w:t>
      </w:r>
    </w:p>
    <w:p>
      <w:pPr>
        <w:pStyle w:val="Normal"/>
        <w:widowControl/>
        <w:numPr>
          <w:ilvl w:val="0"/>
          <w:numId w:val="3"/>
        </w:numPr>
      </w:pPr>
      <w:r>
        <w:t xml:space="preserve">Most common: lung (~40%), liver (33%)</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If AFP elevated without overt recurrence: repeat imaging with alternative modality, consider pelvic CT or PET scan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yLTVdPC9EaXNwbGF5VGV4dD48cmVjb3JkPjxyZWMtbnVtYmVyPjU8L3JlYy1udW1iZXI+PGZvcmVpZ24ta2V5cz48a2V5IGFwcD0iRU4iIGRiLWlkPSIxMmNkMTE2Zi1mZGYxLTU3ZGYtOWY2Ny1mMTRkZTE0ZmUzNzkiIHRpbWVzdGFtcD0iMTc5MjkyMTA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Heading3"/>
        <w:keepNext/>
        <w:widowControl/>
      </w:pPr>
      <w:r>
        <w:t xml:space="preserve">11.3 Management of Recurrence</w:t>
      </w:r>
    </w:p>
    <w:p>
      <w:pPr>
        <w:pStyle w:val="Normal"/>
        <w:widowControl/>
        <w:numPr>
          <w:ilvl w:val="0"/>
          <w:numId w:val="3"/>
        </w:numPr>
      </w:pPr>
      <w:r>
        <w:t xml:space="preserve">Multidisciplinary review for all recurrences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yLTI2XTwvRGlzcGxheVRleHQ+PHJlY29yZD48cmVjLW51bWJlcj4yNjwvcmVjLW51bWJlcj48Zm9yZWlnbi1rZXlzPjxrZXkgYXBwPSJFTiIgZGItaWQ9IjEyY2QxMTZmLWZkZjEtNTdkZi05ZjY3LWYxNGRlMTRmZTM3OSIgdGltZXN0YW1wPSIxNzkyOTIxMDgz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p>
    <w:p>
      <w:pPr>
        <w:pStyle w:val="Normal"/>
        <w:widowControl/>
        <w:numPr>
          <w:ilvl w:val="0"/>
          <w:numId w:val="3"/>
        </w:numPr>
      </w:pPr>
      <w:r>
        <w:t xml:space="preserve">For selected oligorecurrence, consider complete resection when all clinically relevant disease can be addressed and organ reserve, recurrence biology and expected morbidity support treatment. Observational survival advantages are strongly selection-confounded.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yLTI2XTwvRGlzcGxheVRleHQ+PHJlY29yZD48cmVjLW51bWJlcj4yNjwvcmVjLW51bWJlcj48Zm9yZWlnbi1rZXlzPjxrZXkgYXBwPSJFTiIgZGItaWQ9IjEyY2QxMTZmLWZkZjEtNTdkZi05ZjY3LWYxNGRlMTRmZTM3OSIgdGltZXN0YW1wPSIxNzkyOTIxMDgz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ItMjddPC9EaXNwbGF5VGV4dD48cmVjb3JkPjxyZWMtbnVtYmVyPjI3PC9yZWMtbnVtYmVyPjxmb3JlaWduLWtleXM+PGtleSBhcHA9IkVOIiBkYi1pZD0iMTJjZDExNmYtZmRmMS01N2RmLTlmNjctZjE0ZGUxNGZlMzc5IiB0aW1lc3RhbXA9IjE3OTI5MjEwODM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[V12-27]</w:t>
      </w:r>
      <w:r>
        <w:fldChar w:fldCharType="end"/>
      </w:r>
    </w:p>
    <w:p>
      <w:pPr>
        <w:pStyle w:val="Normal"/>
        <w:widowControl/>
        <w:numPr>
          <w:ilvl w:val="0"/>
          <w:numId w:val="3"/>
        </w:numPr>
      </w:pPr>
      <w:r>
        <w:t xml:space="preserve">For intrahepatic recurrence, select ablation, radiation or intraarterial treatment according to disease distribution, size/location, vascular anatomy, graft reserve, prior treatment and expected toxicity. These modalities are not supported as equivalent by transplant-specific comparative trials.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yLTI2XTwvRGlzcGxheVRleHQ+PHJlY29yZD48cmVjLW51bWJlcj4yNjwvcmVjLW51bWJlcj48Zm9yZWlnbi1rZXlzPjxrZXkgYXBwPSJFTiIgZGItaWQ9IjEyY2QxMTZmLWZkZjEtNTdkZi05ZjY3LWYxNGRlMTRmZTM3OSIgdGltZXN0YW1wPSIxNzkyOTIxMDgz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ItMjddPC9EaXNwbGF5VGV4dD48cmVjb3JkPjxyZWMtbnVtYmVyPjI3PC9yZWMtbnVtYmVyPjxmb3JlaWduLWtleXM+PGtleSBhcHA9IkVOIiBkYi1pZD0iMTJjZDExNmYtZmRmMS01N2RmLTlmNjctZjE0ZGUxNGZlMzc5IiB0aW1lc3RhbXA9IjE3OTI5MjEwODM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[V12-27]</w:t>
      </w:r>
      <w:r>
        <w:fldChar w:fldCharType="end"/>
      </w:r>
    </w:p>
    <w:p>
      <w:pPr>
        <w:pStyle w:val="Normal"/>
        <w:widowControl/>
        <w:numPr>
          <w:ilvl w:val="0"/>
          <w:numId w:val="3"/>
        </w:numPr>
      </w:pPr>
      <w:r>
        <w:t xml:space="preserve">Systemic therapy for post-transplant recurrence: multikinase inhibitors (sorafenib, lenvatinib) are the usual first choice.</w:t>
      </w:r>
    </w:p>
    <w:p>
      <w:pPr>
        <w:pStyle w:val="Normal"/>
        <w:widowControl/>
        <w:numPr>
          <w:ilvl w:val="0"/>
          <w:numId w:val="3"/>
        </w:numPr>
      </w:pPr>
      <w:r>
        <w:t xml:space="preserve">Immune checkpoint inhibitors given de novo AFTER liver transplantation carry a substantial risk of acute allograft rejection, graft loss and treatment-related death, and are not standard care in this setting. Use only after transplant-oncology and hepatology review, with consent that specifically addresses graft loss and death, a defined graft-monitoring and biopsy plan, and a pre-agreed stopping rule.</w:t>
      </w:r>
    </w:p>
    <w:p>
      <w:pPr>
        <w:pStyle w:val="Normal"/>
        <w:widowControl/>
        <w:numPr>
          <w:ilvl w:val="0"/>
          <w:numId w:val="3"/>
        </w:numPr>
      </w:pPr>
      <w:r>
        <w:t xml:space="preserve">Do not use pre-LT ICI safety estimates for de novo post-LT therapy. The post-LT series included 52 recipients (32 with HCC); seven developed rejection and five died from rejection. Post-LT ICI remains exceptional salvage after transplant/oncology review and explicit rejection, graft-loss and death consent.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Mi0yOF08L0Rpc3BsYXlUZXh0PjxyZWNvcmQ+PHJlYy1udW1iZXI+Mjg8L3JlYy1udW1iZXI+PGZvcmVpZ24ta2V5cz48a2V5IGFwcD0iRU4iIGRiLWlkPSIxMmNkMTE2Zi1mZGYxLTU3ZGYtOWY2Ny1mMTRkZTE0ZmUzNzkiIHRpbWVzdGFtcD0iMTc5MjkyMTA4My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p>
    <w:p>
      <w:pPr>
        <w:pStyle w:val="Normal"/>
        <w:widowControl/>
        <w:numPr>
          <w:ilvl w:val="0"/>
          <w:numId w:val="3"/>
        </w:numPr>
      </w:pPr>
      <w:r>
        <w:t xml:space="preserve">Review immunosuppression with transplant hepatology and pharmacy, balancing cancer control, graft immunologic risk, renal function and drug interactions. Consider CNI minimization or an mTOR-containing regimen when appropriate; do not reflexively taper CNI or assume mTOR monotherapy protects against ICI-associated rejection.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yLTI2XTwvRGlzcGxheVRleHQ+PHJlY29yZD48cmVjLW51bWJlcj4yNjwvcmVjLW51bWJlcj48Zm9yZWlnbi1rZXlzPjxrZXkgYXBwPSJFTiIgZGItaWQ9IjEyY2QxMTZmLWZkZjEtNTdkZi05ZjY3LWYxNGRlMTRmZTM3OSIgdGltZXN0YW1wPSIxNzkyOTIxMDgz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ItMjddPC9EaXNwbGF5VGV4dD48cmVjb3JkPjxyZWMtbnVtYmVyPjI3PC9yZWMtbnVtYmVyPjxmb3JlaWduLWtleXM+PGtleSBhcHA9IkVOIiBkYi1pZD0iMTJjZDExNmYtZmRmMS01N2RmLTlmNjctZjE0ZGUxNGZlMzc5IiB0aW1lc3RhbXA9IjE3OTI5MjEwODM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[V12-27]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Mi0yOF08L0Rpc3BsYXlUZXh0PjxyZWNvcmQ+PHJlYy1udW1iZXI+Mjg8L3JlYy1udW1iZXI+PGZvcmVpZ24ta2V5cz48a2V5IGFwcD0iRU4iIGRiLWlkPSIxMmNkMTE2Zi1mZGYxLTU3ZGYtOWY2Ny1mMTRkZTE0ZmUzNzkiIHRpbWVzdGFtcD0iMTc5MjkyMTA4My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p>
    <w:p>
      <w:pPr>
        <w:pStyle w:val="Heading2"/>
        <w:keepNext/>
        <w:widowControl/>
      </w:pPr>
      <w:r>
        <w:t xml:space="preserve">12. Hepatitis Management</w:t>
      </w:r>
    </w:p>
    <w:p>
      <w:pPr>
        <w:pStyle w:val="Normal"/>
        <w:widowControl/>
        <w:numPr>
          <w:ilvl w:val="0"/>
          <w:numId w:val="3"/>
        </w:numPr>
      </w:pPr>
      <w:r>
        <w:t xml:space="preserve">All patients with chronic hepatitis B or C should be referred to hepatology for antiviral therapy evaluation if not previously done.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Antiviral therapy should be initiated or continued per current guidelines.</w:t>
      </w:r>
    </w:p>
    <w:p>
      <w:pPr>
        <w:pStyle w:val="Heading2"/>
        <w:keepNext/>
        <w:widowControl/>
      </w:pPr>
      <w:r>
        <w:t xml:space="preserve">13. Quality Metrics and Outcomes Tracking</w:t>
      </w:r>
    </w:p>
    <w:p>
      <w:pPr>
        <w:pStyle w:val="Normal"/>
        <w:widowControl/>
        <w:numPr>
          <w:ilvl w:val="0"/>
          <w:numId w:val="3"/>
        </w:numPr>
      </w:pPr>
      <w:r>
        <w:t xml:space="preserve">90-day and 1-year post-transplant survival</w:t>
      </w:r>
    </w:p>
    <w:p>
      <w:pPr>
        <w:pStyle w:val="Normal"/>
        <w:widowControl/>
        <w:numPr>
          <w:ilvl w:val="0"/>
          <w:numId w:val="3"/>
        </w:numPr>
      </w:pPr>
      <w:r>
        <w:t xml:space="preserve">Provisional local quality benchmark: five-year post-LT overall survival &gt;70%, pending committee approval; report Kaplan–Meier estimate, 95% CI, cohort dates and numbers at risk. This is an audit target, not an automatic individual eligibility rule.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ItMjldPC9EaXNwbGF5VGV4dD48cmVjb3JkPjxyZWMtbnVtYmVyPjI5PC9yZWMtbnVtYmVyPjxmb3JlaWduLWtleXM+PGtleSBhcHA9IkVOIiBkYi1pZD0iMTJjZDExNmYtZmRmMS01N2RmLTlmNjctZjE0ZGUxNGZlMzc5IiB0aW1lc3RhbXA9IjE3OTI5MjEwODM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[V12-29]</w:t>
      </w:r>
      <w:r>
        <w:fldChar w:fldCharType="end"/>
      </w:r>
    </w:p>
    <w:p>
      <w:pPr>
        <w:pStyle w:val="Normal"/>
        <w:widowControl/>
        <w:numPr>
          <w:ilvl w:val="0"/>
          <w:numId w:val="3"/>
        </w:numPr>
      </w:pPr>
      <w:r>
        <w:t xml:space="preserve">Provisional local benchmark: five-year cumulative HCC recurrence incidence &lt;15%, pending committee approval. Estimate cumulative incidence from LT with death without recurrence as a competing event; report 95% CI, numbers at risk, follow-up and cohort entry dates. An estimate above target prompts case-mix and process review, not automatic attribution of preventable failure.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ItMjldPC9EaXNwbGF5VGV4dD48cmVjb3JkPjxyZWMtbnVtYmVyPjI5PC9yZWMtbnVtYmVyPjxmb3JlaWduLWtleXM+PGtleSBhcHA9IkVOIiBkYi1pZD0iMTJjZDExNmYtZmRmMS01N2RmLTlmNjctZjE0ZGUxNGZlMzc5IiB0aW1lc3RhbXA9IjE3OTI5MjEwODM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[V12-29]</w:t>
      </w:r>
      <w:r>
        <w:fldChar w:fldCharType="end"/>
      </w:r>
    </w:p>
    <w:p>
      <w:pPr>
        <w:pStyle w:val="Normal"/>
        <w:widowControl/>
        <w:numPr>
          <w:ilvl w:val="0"/>
          <w:numId w:val="3"/>
        </w:numPr>
      </w:pPr>
      <w:r>
        <w:t xml:space="preserve">Waitlist dropout rate</w:t>
      </w:r>
    </w:p>
    <w:p>
      <w:pPr>
        <w:pStyle w:val="Normal"/>
        <w:widowControl/>
        <w:numPr>
          <w:ilvl w:val="0"/>
          <w:numId w:val="3"/>
        </w:numPr>
      </w:pPr>
      <w:r>
        <w:t xml:space="preserve">Bridging/downstaging success rate</w:t>
      </w:r>
    </w:p>
    <w:p>
      <w:pPr>
        <w:pStyle w:val="Normal"/>
        <w:widowControl/>
        <w:numPr>
          <w:ilvl w:val="0"/>
          <w:numId w:val="3"/>
        </w:numPr>
      </w:pPr>
      <w:r>
        <w:t xml:space="preserve">RETREAT score distribution on explant</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Mi0yNF08L0Rpc3BsYXlUZXh0PjxyZWNvcmQ+PHJlYy1udW1iZXI+MjQ8L3JlYy1udW1iZXI+PGZvcmVpZ24ta2V5cz48a2V5IGFwcD0iRU4iIGRiLWlkPSIxMmNkMTE2Zi1mZGYxLTU3ZGYtOWY2Ny1mMTRkZTE0ZmUzNzkiIHRpbWVzdGFtcD0iMTc5MjkyMTA4My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yLTIzXTwvRGlzcGxheVRleHQ+PHJlY29yZD48cmVjLW51bWJlcj4yMzwvcmVjLW51bWJlcj48Zm9yZWlnbi1rZXlzPjxrZXkgYXBwPSJFTiIgZGItaWQ9IjEyY2QxMTZmLWZkZjEtNTdkZi05ZjY3LWYxNGRlMTRmZTM3OSIgdGltZXN0YW1wPSIxNzkyOTIxMD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Assalino 2020 · vascular invasion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zMDwvUmVjTnVtPjxEaXNwbGF5VGV4dD5bVjEyLTMwXTwvRGlzcGxheVRleHQ+PHJlY29yZD48cmVjLW51bWJlcj4zMDwvcmVjLW51bWJlcj48Zm9yZWlnbi1rZXlzPjxrZXkgYXBwPSJFTiIgZGItaWQ9IjEyY2QxMTZmLWZkZjEtNTdkZi05ZjY3LWYxNGRlMTRmZTM3OSIgdGltZXN0YW1wPSIxNzkyOTIxMDgzIj4zM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[V12-30]</w:t>
            </w:r>
            <w:r>
              <w:fldChar w:fldCharType="end"/>
            </w:r>
          </w:p>
          <w:p>
            <w:pPr>
              <w:pStyle w:val="Normal"/>
              <w:widowControl/>
              <w:spacing w:before="60" w:after="20"/>
            </w:pPr>
            <w:r>
              <w:t xml:space="preserve">Multicenter recipient-only series: 45 records identified, 29 with centrally confirmed pretreatment vascular invasion plus one pathologically confirmed case accepted (n = 30). Excluded records are not downstaging failures. There were 24 portal cases (seven Vp1, 12 Vp2, five study-defined Vp3) and six hepatic/caval cases; the paper's Vp3 category includes main-trunk disease.</w:t>
            </w:r>
          </w:p>
          <w:p>
            <w:pPr>
              <w:pStyle w:val="Normal"/>
              <w:widowControl/>
              <w:spacing w:before="60" w:after="20"/>
            </w:pPr>
            <w:hyperlink r:id="rId22">
              <w:r>
                <w:rPr>
                  <w:color w:val="77230C"/>
                  <w:sz w:val="20"/>
                  <w:u w:val="single"/>
                </w:rPr>
                <w:t>Primary source</w:t>
              </w:r>
            </w:hyperlink>
            <w:r>
              <w:t xml:space="preserve"> | </w:t>
            </w:r>
            <w:hyperlink r:id="rId23">
              <w:r>
                <w:rPr>
                  <w:color w:val="77230C"/>
                  <w:sz w:val="20"/>
                  <w:u w:val="single"/>
                </w:rPr>
                <w:t>Full-text PDF</w:t>
              </w:r>
            </w:hyperlink>
          </w:p>
          <w:p>
            <w:pPr>
              <w:pStyle w:val="Normal"/>
              <w:widowControl/>
              <w:spacing w:before="60" w:after="20"/>
            </w:pPr>
            <w:r>
              <w:t xml:space="preserve">Locator: PDF pp 2–3/j 568–569: cohort, definitions, endpoint death handling. | PDF p 4/j 570: flow, outcomes, AFP ROC. | PDF p 5/j 571: Table 1 and subgroup outcomes. | PDF pp 6–8/j 572–574: explant, limitations, Table 2.</w:t>
            </w:r>
          </w:p>
          <w:p>
            <w:pPr>
              <w:pStyle w:val="Normal"/>
              <w:widowControl/>
              <w:spacing w:before="60" w:after="20"/>
            </w:pPr>
            <w:r>
              <w:t xml:space="preserve">Review depth: Complete nine-page primary paper (same study reviewed in V7) verified against newly downloaded copy; all main methods/results/tables/discussion read; supplementary Table S1 not available.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59.6% and death-inclusive DFS 56.3%; recurrence 8/30, median 6.5 months. Three explants retained major vascular invasion and 11 had complete necrosis. Exploratory AFP &lt;10 ng/mL subgroup: recurrence 11.1% versus 50%, five-year OS 83.3% versus 27.8%, DFS 71.8% versus 33.3%; cutoff AUC 0.78. Safety: Eight recurrences among 30 highly selected recipients; residual vascular invasion despite radiographic control.</w:t>
            </w:r>
          </w:p>
          <w:p>
            <w:pPr>
              <w:pStyle w:val="Normal"/>
              <w:widowControl/>
              <w:spacing w:before="60" w:after="20"/>
            </w:pPr>
            <w:r>
              <w:rPr>
                <w:b/>
              </w:rPr>
              <w:t xml:space="preserve">Do not infer: </w:t>
            </w:r>
            <w:r>
              <w:t xml:space="preserve">Small selected mixed-anatomy cohort; AFP cutoff derived post hoc, with subgroup denominators not clearly stated in the main text. Local Vp labels do not map cleanly onto usual Vp1–4. A median 11.4-month interval is not a validated minimum observation period.</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TJjZDExNmYtZmRmMS01N2RmLTlmNjctZjE0ZGUxNGZlMzc5IiB0aW1lc3RhbXA9IjE3OTI5MjEwODM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4">
              <w:r>
                <w:rPr>
                  <w:color w:val="77230C"/>
                  <w:sz w:val="20"/>
                  <w:u w:val="single"/>
                </w:rPr>
                <w:t>Primary source</w:t>
              </w:r>
            </w:hyperlink>
            <w:r>
              <w:t xml:space="preserve"> | </w:t>
            </w:r>
            <w:hyperlink r:id="rId25">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E8L1JlY051bT48RGlzcGxheVRleHQ+W1YxMi0zMV08L0Rpc3BsYXlUZXh0PjxyZWNvcmQ+PHJlYy1udW1iZXI+MzE8L3JlYy1udW1iZXI+PGZvcmVpZ24ta2V5cz48a2V5IGFwcD0iRU4iIGRiLWlkPSIxMmNkMTE2Zi1mZGYxLTU3ZGYtOWY2Ny1mMTRkZTE0ZmUzNzkiIHRpbWVzdGFtcD0iMTc5MjkyMTA4MyI+MzE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I8L1JlY051bT48RGlzcGxheVRleHQ+W1YxMi0zMl08L0Rpc3BsYXlUZXh0PjxyZWNvcmQ+PHJlYy1udW1iZXI+MzI8L3JlYy1udW1iZXI+PGZvcmVpZ24ta2V5cz48a2V5IGFwcD0iRU4iIGRiLWlkPSIxMmNkMTE2Zi1mZGYxLTU3ZGYtOWY2Ny1mMTRkZTE0ZmUzNzkiIHRpbWVzdGFtcD0iMTc5MjkyMTA4MyI+MzI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[V12-32]</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zPC9SZWNOdW0+PERpc3BsYXlUZXh0PltWMTItMzNdPC9EaXNwbGF5VGV4dD48cmVjb3JkPjxyZWMtbnVtYmVyPjMzPC9yZWMtbnVtYmVyPjxmb3JlaWduLWtleXM+PGtleSBhcHA9IkVOIiBkYi1pZD0iMTJjZDExNmYtZmRmMS01N2RmLTlmNjctZjE0ZGUxNGZlMzc5IiB0aW1lc3RhbXA9IjE3OTI5MjEwODMiPjMz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Allen 2024</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NDwvUmVjTnVtPjxEaXNwbGF5VGV4dD5bVjEyLTM0XTwvRGlzcGxheVRleHQ+PHJlY29yZD48cmVjLW51bWJlcj4zNDwvcmVjLW51bWJlcj48Zm9yZWlnbi1rZXlzPjxrZXkgYXBwPSJFTiIgZGItaWQ9IjEyY2QxMTZmLWZkZjEtNTdkZi05ZjY3LWYxNGRlMTRmZTM3OSIgdGltZXN0YW1wPSIxNzkyOTIxMDgzIj4zND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[V12-34]</w:t>
            </w:r>
            <w:r>
              <w:fldChar w:fldCharType="end"/>
            </w:r>
          </w:p>
          <w:p>
            <w:pPr>
              <w:pStyle w:val="Normal"/>
              <w:widowControl/>
              <w:spacing w:before="60" w:after="20"/>
            </w:pPr>
            <w:r>
              <w:t xml:space="preserve">UK National Liver Offering Scheme development and before/after implementation study. Waiting-list models: 3,859 non-cancer and 660 cancer registrations; post-LT models: 2,495 non-cancer and 430 cancer recipients. The separate 2013 simulation cohort comprised 1,287 registrations and 629 donors.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 3–5: cohorts, censoring, endpoints and simulation assumptions; p 6 Tables 2–3; p 7 Table 4/Figure 1 and HCC subgroup; pp 8–9 limitations/revision</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Simulation: observed 2013 allocation had 93 deaths/removals and 4,581 patient-years; benefit-based simulation predicted 48 deaths/removals and 5,262 patient-years. Need-based simulation predicted the same 48 deaths/removals and 5,187 patient-years. Actual six-month death/deterioration removals fell from 118/1,395 (8%) to 66/1,480 (4%). Six-month survival from listing rose from 86% to 91% (P = .0049), but the HCC-specific comparison was not statistically significant. In the first two years, 68% of DBD livers were offered using the score. Safety: The model can disadvantage particular groups; the authors describe concerns that transplant-free survival in HCC was overestimated and report subsequent model revision. DBD median cold ischemia increased from 8.6 to 9.0 hours in descriptive monitoring; this is not an isolated causal score effect.</w:t>
            </w:r>
          </w:p>
          <w:p>
            <w:pPr>
              <w:pStyle w:val="Normal"/>
              <w:widowControl/>
              <w:spacing w:before="60" w:after="20"/>
            </w:pPr>
            <w:r>
              <w:rPr>
                <w:b/>
              </w:rPr>
              <w:t xml:space="preserve">Do not infer: </w:t>
            </w:r>
            <w:r>
              <w:t xml:space="preserve">Simulated patient-years are not observed life-years gained. The implementation was a multifaceted national process change without randomization. Figure 1 labels the post cohort 1,489 whereas Table 4 and the 2,875 total imply 1,480. Model cancer groups included several indications; no validation specifically establishes safety for US expanded HCC, treated PVTT, or an individual living donor decision. HCC-specific survival improvement was nonsignificant. Detailed coefficients and subgroup results reside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Goudsmit 2023</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zNTwvUmVjTnVtPjxEaXNwbGF5VGV4dD5bVjEyLTM1XTwvRGlzcGxheVRleHQ+PHJlY29yZD48cmVjLW51bWJlcj4zNTwvcmVjLW51bWJlcj48Zm9yZWlnbi1rZXlzPjxrZXkgYXBwPSJFTiIgZGItaWQ9IjEyY2QxMTZmLWZkZjEtNTdkZi05ZjY3LWYxNGRlMTRmZTM3OSIgdGltZXN0YW1wPSIxNzkyOTIxMDgzIj4zN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[V12-35]</w:t>
            </w:r>
            <w:r>
              <w:fldChar w:fldCharType="end"/>
            </w:r>
          </w:p>
          <w:p>
            <w:pPr>
              <w:pStyle w:val="Normal"/>
              <w:widowControl/>
              <w:spacing w:before="60" w:after="20"/>
            </w:pPr>
            <w:r>
              <w:t xml:space="preserve">US UNOS first-LT candidates, 2010–April 2019; graphical abstract reports 83,395 eligible listed patients. Exclusions included previous LT, acute liver failure, living-donor listings, multiorgan LT, non-HCC malignancy and non-HCC exception indications. Recipient Table 1 reports 24,503 non-HCC, 6,922 T2 HCC and 5,448 HCC initially outside Milan.</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 3 methods and exclusions; p 4 calculator restriction/Table 1; pp 5–6 performance and Table 2; pp 7–8 discussion/limitations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Mean five-year estimated benefit was 2.30 years for non-HCC, 1.19 for T2 HCC and 1.45 for initially outside-Milan HCC. At the same MELD (-Na) below 30, HCC patients had more estimated benefit than non-HCC, but HCC recipients generally had lower MELD. Waiting-list AUROC was 0.86; post-LT AUROC approximately 0.619. Simplified calculator optimism-corrected R² was 0.93 against model-generated benefit, not a directly observed individual causal benefit. Safety: Allocation opportunity cost is inferred from the recipient case mix; the study did not implement a new policy or measure harms from model-led allocation. Low liver reserve and high tumor burden can lower recipient outcomes even when estimated no-LT survival is poor.</w:t>
            </w:r>
          </w:p>
          <w:p>
            <w:pPr>
              <w:pStyle w:val="Normal"/>
              <w:widowControl/>
              <w:spacing w:before="60" w:after="20"/>
            </w:pPr>
            <w:r>
              <w:rPr>
                <w:b/>
              </w:rPr>
              <w:t xml:space="preserve">Do not infer: </w:t>
            </w:r>
            <w:r>
              <w:t xml:space="preserve">No prospective or geographically independent deployment validation; excludes living-donor and non-HCC exception populations. Registry limits include incomplete five-year follow-up, policy-era change and inadequate recurrence detail. HCC MELD ≥30 estimates are sparse. Table 2 totals T2 HCC as 6,992 versus Table 1's 6,922, and its HCC strata have duplicated benefit values despite differing overall means; avoid reconstructing a calculator from printed aggregate tables. Model R² measures approximation of model outputs, not calibration of individual causal benefit.</w:t>
            </w:r>
          </w:p>
        </w:tc>
      </w:tr>
      <w:tr>
        <w:trPr/>
        <w:tc>
          <w:tcPr>
            <w:tcW w:w="3400" w:type="dxa"/>
            <w:tcMar>
              <w:top w:w="90" w:type="dxa"/>
              <w:left w:w="90" w:type="dxa"/>
              <w:bottom w:w="90" w:type="dxa"/>
              <w:right w:w="90" w:type="dxa"/>
            </w:tcMar>
          </w:tcPr>
          <w:p>
            <w:pPr>
              <w:pStyle w:val="Normal"/>
              <w:widowControl/>
              <w:spacing w:before="60" w:after="20"/>
            </w:pPr>
            <w:r>
              <w:rPr>
                <w:b/>
              </w:rPr>
              <w:t xml:space="preserve">Huang 2023</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zNjwvUmVjTnVtPjxEaXNwbGF5VGV4dD5bVjEyLTM2XTwvRGlzcGxheVRleHQ+PHJlY29yZD48cmVjLW51bWJlcj4zNjwvcmVjLW51bWJlcj48Zm9yZWlnbi1rZXlzPjxrZXkgYXBwPSJFTiIgZGItaWQ9IjEyY2QxMTZmLWZkZjEtNTdkZi05ZjY3LWYxNGRlMTRmZTM3OSIgdGltZXN0YW1wPSIxNzkyOTIxMDgzIj4zNj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p>
          <w:p>
            <w:pPr>
              <w:pStyle w:val="Normal"/>
              <w:widowControl/>
              <w:spacing w:before="60" w:after="20"/>
            </w:pPr>
            <w:r>
              <w:t xml:space="preserve">UNOS registry study of 23,398 HCC exception applicants: 20,579 always within Milan, 2,151 UNOS-DS and 668 all-comers. Initial AFP refers to the time of entry into the highest tumor-burden category, not necessarily current post-treatment AFP.</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2–3/j 1582–1583: cohort definition, time zero, AFP measurement. | PDF p 4/j 1584: Table 1 including initial-application beyond Milan. | PDF pp 5–6/j 1585–1586: comparators, dropout, ITT and recipient OS. | PDF pp 7–8/j 1587–1588: clinical interpretation and limits.</w:t>
            </w:r>
          </w:p>
          <w:p>
            <w:pPr>
              <w:pStyle w:val="Normal"/>
              <w:widowControl/>
              <w:spacing w:before="60" w:after="20"/>
            </w:pPr>
            <w:r>
              <w:t xml:space="preserve">Review depth: Complete nine-page main paper read, all methods/results/tables/discussion.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dropout: Milan 19.3%, UNOS-DS 25.3%, all-comers 29.7%; all-comers versus UNOS-DS P = .07. Five-year ITT OS: 64.9%, 56.6%, 51.8%; recipient OS: 78.7%, 73.2%, 68.6%. All-comers with initial AFP &gt;100 (n = 82 derived from Table 1) had two-year dropout 52.3% versus 25.6% among all other beyond-Milan patients. Safety: Highest entry burden/high AFP are associated with substantial attrition even after selection for exception application.</w:t>
            </w:r>
          </w:p>
          <w:p>
            <w:pPr>
              <w:pStyle w:val="Normal"/>
              <w:widowControl/>
              <w:spacing w:before="60" w:after="20"/>
            </w:pPr>
            <w:r>
              <w:rPr>
                <w:b/>
              </w:rPr>
              <w:t xml:space="preserve">Do not infer: </w:t>
            </w:r>
            <w:r>
              <w:t xml:space="preserve">Registry selection excludes preapplication treatment failures and cannot represent all-comer treatment-entry survival. AFP &gt;100 comparison is against all other beyond-Milan applicants, not simply all-comers with AFP ≤100. Observational associations do not validate an AFP &lt;100 eligibility cutoff or a composite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Lai 2017</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Mzc8L1JlY051bT48RGlzcGxheVRleHQ+W1YxMi0zN108L0Rpc3BsYXlUZXh0PjxyZWNvcmQ+PHJlYy1udW1iZXI+Mzc8L3JlYy1udW1iZXI+PGZvcmVpZ24ta2V5cz48a2V5IGFwcD0iRU4iIGRiLWlkPSIxMmNkMTE2Zi1mZGYxLTU3ZGYtOWY2Ny1mMTRkZTE0ZmUzNzkiIHRpbWVzdGFtcD0iMTc5MjkyMTA4MyI+Mzc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p>
          <w:p>
            <w:pPr>
              <w:pStyle w:val="Normal"/>
              <w:widowControl/>
              <w:spacing w:before="60" w:after="20"/>
            </w:pPr>
            <w:r>
              <w:t xml:space="preserve">Ten-European-center retrospective cohort of 2,103 adults listed during 1987–2015 who had either undergone LT or dropped out during that period. There were 636 initially beyond-Milan patients and 1,754 treated with locoregional therapy; 1,857 underwent LT and 246 dropped out. Center selection remained within UCSF, up-to-seven or Tokyo criteria, with maximal observed target diameter 6.5 cm and 10 nodules.</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PDF pp 2–4 selection, model construction and Table 1; pp 5–7 Tables 2–3 and benefit strata; pp 8–9 delisting claims and limitations</w:t>
            </w:r>
          </w:p>
          <w:p>
            <w:pPr>
              <w:pStyle w:val="Normal"/>
              <w:widowControl/>
              <w:spacing w:before="60" w:after="20"/>
            </w:pPr>
            <w:r>
              <w:t xml:space="preserve">Review depth: Complete main-paper full text reviewed; separate supporting data/models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derived strata contained 405 patients (19.2%) with rounded estimated benefit 0 months, 897 (42.7%) with 20 months, 693 (33.0%) with 40 months, and 108 (5.1%) with 60 months. The four low-benefit factors were MELD ≤13, within-Milan status, mRECIST progression OR complete response, and AFP ≥1,000 ng/mL. There were 242 recurrences among 1,857 recipients (13.0%); 16.1% uses only 1,504 recipients with &gt;1-year follow-up. Safety: The paper proposes delisting its modelled no-benefit group, including complete responders with low MELD; this was not prospectively tested and could deny benefit to patients with residual occult disease or future decompensation.</w:t>
            </w:r>
          </w:p>
          <w:p>
            <w:pPr>
              <w:pStyle w:val="Normal"/>
              <w:widowControl/>
              <w:spacing w:before="60" w:after="20"/>
            </w:pPr>
            <w:r>
              <w:rPr>
                <w:b/>
              </w:rPr>
              <w:t xml:space="preserve">Do not infer: </w:t>
            </w:r>
            <w:r>
              <w:t xml:space="preserve">Non-LT survival is externally model-imputed rather than directly observed; last-evaluation covariates can encode information unavailable at initial listing. Retrospective 30-year cohort, heterogeneous selection and treatment, and no independent validation of the derived benefit strata or prospective delisting policy. The article alternately calls some subgroup summaries means and medians; avoid false numerical precision. Full coefficients/assumptions are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Liu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Mzg8L1JlY051bT48RGlzcGxheVRleHQ+W1YxMi0zOF08L0Rpc3BsYXlUZXh0PjxyZWNvcmQ+PHJlYy1udW1iZXI+Mzg8L3JlYy1udW1iZXI+PGZvcmVpZ24ta2V5cz48a2V5IGFwcD0iRU4iIGRiLWlkPSIxMmNkMTE2Zi1mZGYxLTU3ZGYtOWY2Ny1mMTRkZTE0ZmUzNzkiIHRpbWVzdGFtcD0iMTc5MjkyMTA4MyI+Mzg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[V12-38]</w:t>
            </w:r>
            <w:r>
              <w:fldChar w:fldCharType="end"/>
            </w:r>
          </w:p>
          <w:p>
            <w:pPr>
              <w:pStyle w:val="Normal"/>
              <w:widowControl/>
              <w:spacing w:before="60" w:after="20"/>
            </w:pPr>
            <w:r>
              <w:t xml:space="preserve">SRTR cohort of 36,634 adult HCC exception applicants listed during 2002–2019, followed through December 2023. TBS = sqrt (largest diameter squared + lesion count squared) at first exception; groups ≤3 (19,403), &gt;3 to ≤5 (14,689), and &gt;5 (2,542). Of all candidates, 91.0% were within Milan, 5.3% beyond Milan but within UCSF, and 3.6% beyond UCSF.</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PDF pp 4–5 methods/time origins; p 6 Figure 1 and results; p 7 Table 1; pp 8–11 Figures 2–4, Table 2 caption and limitations</w:t>
            </w:r>
          </w:p>
          <w:p>
            <w:pPr>
              <w:pStyle w:val="Normal"/>
              <w:widowControl/>
              <w:spacing w:before="60" w:after="20"/>
            </w:pPr>
            <w:r>
              <w:t xml:space="preserve">Review depth: Complete main-paper full text reviewed; image-based Table 2 also visually inspected;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unadjusted restricted mean differences were 15.7, 22.1 and 25.0 months for low/intermediate/high TBS. Adjusted five-year survival-probability differences were 21.9, 34.5 and 39.4 percentage points. Five-year post-LT OS was 77.2%, 72.9% and 70.9%. Crude dropout counts were 4,585/19,403, 4,178/14,689 and 819/2,542. Time-dependent LT interaction HR 0.68 (95% CI 0.59–0.78); adjusted LT-associated death HRs 0.36, 0.27 and 0.22 by ascending TBS. Safety: Higher tumor burden was associated with higher dropout and modestly worse recipient survival/RFS. This is not an intervention trial and does not quantify harms caused by a new allocation policy.</w:t>
            </w:r>
          </w:p>
          <w:p>
            <w:pPr>
              <w:pStyle w:val="Normal"/>
              <w:widowControl/>
              <w:spacing w:before="60" w:after="20"/>
            </w:pPr>
            <w:r>
              <w:rPr>
                <w:b/>
              </w:rPr>
              <w:t xml:space="preserve">Do not infer: </w:t>
            </w:r>
            <w:r>
              <w:t xml:space="preserve">Registry association with residual selection, changing allocation/treatment eras, missingness and limited tumor-response/pathology data. Unadjusted curve differences do not share a common treatment-decision time origin; the time-dependent interaction analysis should not be misdescribed as ignoring transplant timing. No prospective deployment or validation in prior PVTT/ICI-expanded cohorts. Text reports median follow-up 53.9 months while Figure 1 reports 31.0; the text describes imputation but Figure 1 excludes 706 recipient records. Figure 2 risk-table group counts differ from Table 1 and increase across some times, so do not reuse those risk counts. Figure 4 uncertainty is called IQR in the caption/text but CI within the graphic.</w:t>
            </w:r>
          </w:p>
        </w:tc>
      </w:tr>
      <w:tr>
        <w:trPr/>
        <w:tc>
          <w:tcPr>
            <w:tcW w:w="3400" w:type="dxa"/>
            <w:tcMar>
              <w:top w:w="90" w:type="dxa"/>
              <w:left w:w="90" w:type="dxa"/>
              <w:bottom w:w="90" w:type="dxa"/>
              <w:right w:w="90" w:type="dxa"/>
            </w:tcMar>
          </w:tcPr>
          <w:p>
            <w:pPr>
              <w:pStyle w:val="Normal"/>
              <w:widowControl/>
              <w:spacing w:before="60" w:after="20"/>
            </w:pPr>
            <w:r>
              <w:rPr>
                <w:b/>
              </w:rPr>
              <w:t xml:space="preserve">Mehta 2021</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</w:fldData>
              </w:fldChar>
            </w:r>
            <w:r>
              <w:instrText xml:space="preserve"> ADDIN EN.CITE.DATA </w:instrText>
            </w:r>
            <w:r>
              <w:fldChar w:fldCharType="end"/>
            </w:r>
            <w:r>
              <w:fldChar w:fldCharType="separate"/>
            </w:r>
            <w:r>
              <w:t xml:space="preserve">[V12-39]</w:t>
            </w:r>
            <w:r>
              <w:fldChar w:fldCharType="end"/>
            </w:r>
          </w:p>
          <w:p>
            <w:pPr>
              <w:pStyle w:val="Normal"/>
              <w:widowControl/>
              <w:spacing w:before="60" w:after="20"/>
            </w:pPr>
            <w:r>
              <w:t xml:space="preserve">Prospective seven-center MERITS-LT UNOS-DS cohort: 324 screened, 115 excluded and 209 enrolled. Initial treatment was TACE in 132 and Y90 in 62; modalities were not randomized.</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 3/j 1504: protocol, viable measurement, observation. | PDF p 4/j 1505: 324 screened, 115 excluded, time zero. | PDF pp 5–7/j 1506–1508: Tables 3, flow, DS/dropout/transplant/explant/outcomes. | PDF pp 8–9/j 1509–1510: selection, biomarker limits, modality/extra LRT interpretation.</w:t>
            </w:r>
          </w:p>
          <w:p>
            <w:pPr>
              <w:pStyle w:val="Normal"/>
              <w:widowControl/>
              <w:spacing w:before="60" w:after="20"/>
            </w:pPr>
            <w:r>
              <w:t xml:space="preserve">Review depth: Complete 11-page publisher paper identity verified; all main methods/results/tables/discussion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Successful downstaging 174/209 (83.3%); estimated two-year success 87.7%. Dropouts: 51 progression, nine liver-related deaths and 15 other reasons; primary two-year dropout estimate 37.3%. Estimated three-year LT probability 46.6% and ITT survival 73%. Recipient two-year OS 95%, three-year OS 83.1%, with five recurrences. Explants were beyond Milan in 42.8%, with microvascular invasion in 17.5%. Safety: Nine liver-related deaths among dropouts; substantial explant understaging despite imaging downstaging.</w:t>
            </w:r>
          </w:p>
          <w:p>
            <w:pPr>
              <w:pStyle w:val="Normal"/>
              <w:widowControl/>
              <w:spacing w:before="60" w:after="20"/>
            </w:pPr>
            <w:r>
              <w:rPr>
                <w:b/>
              </w:rPr>
              <w:t xml:space="preserve">Do not infer: </w:t>
            </w:r>
            <w:r>
              <w:t xml:space="preserve">Nonrandom modality choice; nonsignificant TACE/Y90 differences do not establish equivalence. Recipient follow-up is immature. AFP-L3 was available in only 83 patients; it is not a validated mandatory gate. This cohort overlaps later MERITS publications.</w:t>
            </w:r>
          </w:p>
        </w:tc>
      </w:tr>
      <w:tr>
        <w:trPr/>
        <w:tc>
          <w:tcPr>
            <w:tcW w:w="3400" w:type="dxa"/>
            <w:tcMar>
              <w:top w:w="90" w:type="dxa"/>
              <w:left w:w="90" w:type="dxa"/>
              <w:bottom w:w="90" w:type="dxa"/>
              <w:right w:w="90" w:type="dxa"/>
            </w:tcMar>
          </w:tcPr>
          <w:p>
            <w:pPr>
              <w:pStyle w:val="Normal"/>
              <w:widowControl/>
              <w:spacing w:before="60" w:after="20"/>
            </w:pPr>
            <w:r>
              <w:rPr>
                <w:b/>
              </w:rPr>
              <w:t xml:space="preserve">Natarajan 2023</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NDA8L1JlY051bT48RGlzcGxheVRleHQ+W1YxMi00MF08L0Rpc3BsYXlUZXh0PjxyZWNvcmQ+PHJlYy1udW1iZXI+NDA8L3JlYy1udW1iZXI+PGZvcmVpZ24ta2V5cz48a2V5IGFwcD0iRU4iIGRiLWlkPSIxMmNkMTE2Zi1mZGYxLTU3ZGYtOWY2Ny1mMTRkZTE0ZmUzNzkiIHRpbWVzdGFtcD0iMTc5MjkyMTA4MyI+ND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[V12-40]</w:t>
            </w:r>
            <w:r>
              <w:fldChar w:fldCharType="end"/>
            </w:r>
          </w:p>
          <w:p>
            <w:pPr>
              <w:pStyle w:val="Normal"/>
              <w:widowControl/>
              <w:spacing w:before="60" w:after="20"/>
            </w:pPr>
            <w:r>
              <w:t xml:space="preserve">Prospective MERITS-LT expansion: 82 all-comers beyond UNOS-DS versus 229 UNOS-DS patients, 2015–2020. Overlaps the earlier MERITS cohort.</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PDF pp 2–3/j 1772–1773: population, protocol and time origins. | PDF pp 4–6/j 1774–1776: Tables 2–4, flow, outcomes and follow-up. | PDF pp 7–9/j 1777–1779: survival figure, Table 5, limitations.</w:t>
            </w:r>
          </w:p>
          <w:p>
            <w:pPr>
              <w:pStyle w:val="Normal"/>
              <w:widowControl/>
              <w:spacing w:before="60" w:after="20"/>
            </w:pPr>
            <w:r>
              <w:t xml:space="preserve">Review depth: Complete ten-page main paper read, including methods, results, all tables, discussion and reference list.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One-year downstaging probability 67.3% in all-comers versus 82.6% in UNOS-DS. Three-year ITT OS 58.1% versus 69.4%. All-comers with Child-Pugh B/C or AFP ≥500 had three-year ITT OS 29.9% versus 67.7% without those features; Child-Pugh B/C alone had 23.2%. Recipient three-year OS 90.9% versus 80.6%; recurrence 1/20 versus 7/85. Eight of 20 all-comer explants remained beyond Milan and four had microvascular invasion. Safety: Poor liver reserve/high AFP identified a high-attrition group; favorable recipient survival is heavily conditioned on reaching transplantation.</w:t>
            </w:r>
          </w:p>
          <w:p>
            <w:pPr>
              <w:pStyle w:val="Normal"/>
              <w:widowControl/>
              <w:spacing w:before="60" w:after="20"/>
            </w:pPr>
            <w:r>
              <w:rPr>
                <w:b/>
              </w:rPr>
              <w:t xml:space="preserve">Do not infer: </w:t>
            </w:r>
            <w:r>
              <w:t xml:space="preserve">Nonrandom selected enrollment; few all-comer recipients, immature long-term follow-up and overlap with prior MERITS reports. Does not validate a combined ≤12/AFP &lt;100/Child-Pugh A rule. Kaplan–Meier dropout or LT probabilities should not be described as competing-risk cumulative incidence.</w:t>
            </w:r>
          </w:p>
        </w:tc>
      </w:tr>
      <w:tr>
        <w:trPr/>
        <w:tc>
          <w:tcPr>
            <w:tcW w:w="3400" w:type="dxa"/>
            <w:tcMar>
              <w:top w:w="90" w:type="dxa"/>
              <w:left w:w="90" w:type="dxa"/>
              <w:bottom w:w="90" w:type="dxa"/>
              <w:right w:w="90" w:type="dxa"/>
            </w:tcMar>
          </w:tcPr>
          <w:p>
            <w:pPr>
              <w:pStyle w:val="Normal"/>
              <w:widowControl/>
              <w:spacing w:before="60" w:after="20"/>
            </w:pPr>
            <w:r>
              <w:rPr>
                <w:b/>
              </w:rPr>
              <w:t xml:space="preserve">Prosepe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QxPC9SZWNOdW0+PERpc3BsYXlUZXh0PltWMTItNDFdPC9EaXNwbGF5VGV4dD48cmVjb3JkPjxyZWMtbnVtYmVyPjQxPC9yZWMtbnVtYmVyPjxmb3JlaWduLWtleXM+PGtleSBhcHA9IkVOIiBkYi1pZD0iMTJjZDExNmYtZmRmMS01N2RmLTlmNjctZjE0ZGUxNGZlMzc5IiB0aW1lc3RhbXA9IjE3OTI5MjEwODMiPjQx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[V12-41]</w:t>
            </w:r>
            <w:r>
              <w:fldChar w:fldCharType="end"/>
            </w:r>
          </w:p>
          <w:p>
            <w:pPr>
              <w:pStyle w:val="Normal"/>
              <w:widowControl/>
              <w:spacing w:before="60" w:after="20"/>
            </w:pPr>
            <w:r>
              <w:t xml:space="preserve">Methodological study with 200 simulations of 2,500 patients and an application to 9,868 Eurotransplant chronic-cirrhosis patients followed during 2007–2019. Of the clinical cohort, 4,998 received LT, 3,013 died before LT, and 1,361 died within three years after LT. Detailed selection criteria are in the separate supplement.</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PDF pp 3–6 estimand and identifiability assumptions; pp 7–9 simulation; pp 9–11 registry application and projected gain; pp 12–13 limitations and missing oncologic variables</w:t>
            </w:r>
          </w:p>
          <w:p>
            <w:pPr>
              <w:pStyle w:val="Normal"/>
              <w:widowControl/>
              <w:spacing w:before="60" w:after="20"/>
            </w:pPr>
            <w:r>
              <w:t xml:space="preserve">Review depth: Complete main-paper full text reviewed; mathematical proof, selection details and model coefficients in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proposed weighted method reduced simulation bias relative to baseline-only and unweighted cross-section methods. Applying the fitted model back to the same registry data, selecting the highest predicted benefit rather than highest MELD yielded an estimated extra 0.46 life-years per organ over a three-year horizon. The extrapolated approximately 2,300 life-years is a model projection over roughly 5,000 transplants, not observed benefit. Safety: The model does not directly establish the opportunity costs or population dynamics of changing allocation across future dates. Maximizing benefit at each current offer is not necessarily the optimal longitudinal national policy.</w:t>
            </w:r>
          </w:p>
          <w:p>
            <w:pPr>
              <w:pStyle w:val="Normal"/>
              <w:widowControl/>
              <w:spacing w:before="60" w:after="20"/>
            </w:pPr>
            <w:r>
              <w:rPr>
                <w:b/>
              </w:rPr>
              <w:t xml:space="preserve">Do not infer: </w:t>
            </w:r>
            <w:r>
              <w:t xml:space="preserve">Causal interpretation requires consistency, positivity, conditional exchangeability and correct treatment/outcome models. Performance was not externally validated; real-data predictions were applied to the same patients/dates. Oncologic parameters, sodium and albumin were not routinely collected and omitted. There is no demonstrated calibration in HCC-expanded/PVTT or post-ICI candidates. Full application selection and coefficients remain in the unread supplement. Scarcity dynamics, future organ availability and quality-of-life indications need separate modeling.</w:t>
            </w:r>
          </w:p>
        </w:tc>
      </w:tr>
      <w:tr>
        <w:trPr/>
        <w:tc>
          <w:tcPr>
            <w:tcW w:w="3400" w:type="dxa"/>
            <w:tcMar>
              <w:top w:w="90" w:type="dxa"/>
              <w:left w:w="90" w:type="dxa"/>
              <w:bottom w:w="90" w:type="dxa"/>
              <w:right w:w="90" w:type="dxa"/>
            </w:tcMar>
          </w:tcPr>
          <w:p>
            <w:pPr>
              <w:pStyle w:val="Normal"/>
              <w:widowControl/>
              <w:spacing w:before="60" w:after="20"/>
            </w:pPr>
            <w:r>
              <w:rPr>
                <w:b/>
              </w:rPr>
              <w:t xml:space="preserve">Sinha 2019</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</w:fldData>
              </w:fldChar>
            </w:r>
            <w:r>
              <w:instrText xml:space="preserve"> ADDIN EN.CITE.DATA </w:instrText>
            </w:r>
            <w:r>
              <w:fldChar w:fldCharType="end"/>
            </w:r>
            <w:r>
              <w:fldChar w:fldCharType="separate"/>
            </w:r>
            <w:r>
              <w:t xml:space="preserve">[V12-42]</w:t>
            </w:r>
            <w:r>
              <w:fldChar w:fldCharType="end"/>
            </w:r>
          </w:p>
          <w:p>
            <w:pPr>
              <w:pStyle w:val="Normal"/>
              <w:widowControl/>
              <w:spacing w:before="60" w:after="20"/>
            </w:pPr>
            <w:r>
              <w:t xml:space="preserve">UCSF all-comers cohort of 74 patients beyond bounded UCSF downstaging entry criteria, compared with 133 bounded-entry patients. All-comers required six months and three scans without a new lesion after response; the bounded protocol used three months and allowed certain new lesions.</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PDF pp 2–4/j 1186–1188: entry and different protocols, time origins. | PDF pp 5–7/j 1189–1191: flow, ITT, burden model, complications. | PDF p 8/j 1192: all 10 recipient outcomes. | PDF pp 9–11/j 1193–1195: limits and &lt;12 conclusion.</w:t>
            </w:r>
          </w:p>
          <w:p>
            <w:pPr>
              <w:pStyle w:val="Normal"/>
              <w:widowControl/>
              <w:spacing w:before="60" w:after="20"/>
            </w:pPr>
            <w:r>
              <w:t xml:space="preserve">Review depth: Complete 12-page paper identity verified; all main methods/results/tables/discussion read; Supplement S1/S2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Three-year dropout 80% in all-comers versus 36.1% in bounded-entry patients; five-year ITT OS 21.1% versus 56.0%. Among ten all-comer recipients, five-year OS 50% and recurrence-free probability 40%; three recurrences and eight explants beyond Milan. Largest diameter plus lesion count of 12 corresponded to an estimated 47% one-year downstaging probability; the authors' concluding proposed boundary was &lt;12. Safety: Eight of 74 had treatment-associated decompensation: one of 40 Child-Pugh A, five of 27 B and two of six C patients. Favorable response did not prevent later dropout.</w:t>
            </w:r>
          </w:p>
          <w:p>
            <w:pPr>
              <w:pStyle w:val="Normal"/>
              <w:widowControl/>
              <w:spacing w:before="60" w:after="20"/>
            </w:pPr>
            <w:r>
              <w:rPr>
                <w:b/>
              </w:rPr>
              <w:t xml:space="preserve">Do not infer: </w:t>
            </w:r>
            <w:r>
              <w:t xml:space="preserve">Small single-center series with era/selection differences and overlap with Yao/UCSF cohorts. The burden threshold was exploratory; a local ≤12 boundary is not the same as the paper's &lt;12 proposal. Recurrence-free probability is not death-inclusive RFS. Dropout-reason narrative sums do not perfectly reconcile with 62.</w:t>
            </w:r>
          </w:p>
        </w:tc>
      </w:tr>
      <w:tr>
        <w:trPr/>
        <w:tc>
          <w:tcPr>
            <w:tcW w:w="3400" w:type="dxa"/>
            <w:tcMar>
              <w:top w:w="90" w:type="dxa"/>
              <w:left w:w="90" w:type="dxa"/>
              <w:bottom w:w="90" w:type="dxa"/>
              <w:right w:w="90" w:type="dxa"/>
            </w:tcMar>
          </w:tcPr>
          <w:p>
            <w:pPr>
              <w:pStyle w:val="Normal"/>
              <w:widowControl/>
              <w:spacing w:before="60" w:after="20"/>
            </w:pPr>
            <w:r>
              <w:rPr>
                <w:b/>
              </w:rPr>
              <w:t xml:space="preserve">Tabrizian 2022</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NDM8L1JlY051bT48RGlzcGxheVRleHQ+W1YxMi00M108L0Rpc3BsYXlUZXh0PjxyZWNvcmQ+PHJlYy1udW1iZXI+NDM8L3JlYy1udW1iZXI+PGZvcmVpZ24ta2V5cz48a2V5IGFwcD0iRU4iIGRiLWlkPSIxMmNkMTE2Zi1mZGYxLTU3ZGYtOWY2Ny1mMTRkZTE0ZmUzNzkiIHRpbWVzdGFtcD0iMTc5MjkyMTA4MyI+NDM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[V12-43]</w:t>
            </w:r>
            <w:r>
              <w:fldChar w:fldCharType="end"/>
            </w:r>
          </w:p>
          <w:p>
            <w:pPr>
              <w:pStyle w:val="Normal"/>
              <w:widowControl/>
              <w:spacing w:before="60" w:after="20"/>
            </w:pPr>
            <w:r>
              <w:t xml:space="preserve">Retrospective five-US-center cohort of 2,645 HCC recipients transplanted during 2001–2015: 2,122 always within Milan, 341 downstaged to Milan, and 182 beyond Milan at LT. Only 168 of 341 downstaged recipients met UNOS-DS entry criteria.</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PDF pp 1–2: cohort, methods and time origins; pp 3–6: Tables 1–2 and Figures 1–2; pp 7–9: recurrence treatment, limitations and conclusions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Five-/ten-year post-LT OS: always Milan 73.6%/61.5%; downstaged 67.9%/52.1%; beyond Milan 52.9%/43.3%. Observed recurrences: 212/2,122, 54/341, and 64/182. Five-/ten-year Kaplan–Meier recurrence estimates: 11.3%/13.3%, 19.1%/20.6%, and 38.9%/approximately 41%. The beyond-Milan 10-year estimate is 41.1% in the abstract versus 41.4% in the main results/figure. Downstaged versus beyond-Milan OS difference was not statistically significant (P = .34). Safety: There were 853 deaths overall, including 116 within 90 days (4.4% of all recipients). Recurrence after LT remained substantial outside Milan.</w:t>
            </w:r>
          </w:p>
          <w:p>
            <w:pPr>
              <w:pStyle w:val="Normal"/>
              <w:widowControl/>
              <w:spacing w:before="60" w:after="20"/>
            </w:pPr>
            <w:r>
              <w:rPr>
                <w:b/>
              </w:rPr>
              <w:t xml:space="preserve">Do not infer: </w:t>
            </w:r>
            <w:r>
              <w:t xml:space="preserve">Recipient-only selection excludes pretreatment failures and waiting-list deaths. Does not estimate intent-to-treat benefit, all-comer downstaging success, or comparative causal treatment effects. Ten-year tails have small risk sets. Recurrence is not interchangeable with death-inclusive RFS or competing-risk cumulative incidence. The paper contains an internal 41.1% versus 41.4% discrepancy and a transposed recurrence sentence. Surgical treatment of recurrence was selected for favorable disease; its survival association is not proof of benefit.</w:t>
            </w:r>
          </w:p>
        </w:tc>
      </w:tr>
      <w:tr>
        <w:trPr/>
        <w:tc>
          <w:tcPr>
            <w:tcW w:w="3400" w:type="dxa"/>
            <w:tcMar>
              <w:top w:w="90" w:type="dxa"/>
              <w:left w:w="90" w:type="dxa"/>
              <w:bottom w:w="90" w:type="dxa"/>
              <w:right w:w="90" w:type="dxa"/>
            </w:tcMar>
          </w:tcPr>
          <w:p>
            <w:pPr>
              <w:pStyle w:val="Normal"/>
              <w:widowControl/>
              <w:spacing w:before="60" w:after="20"/>
            </w:pPr>
            <w:r>
              <w:rPr>
                <w:b/>
              </w:rPr>
              <w:t xml:space="preserve">Yao 2015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</w:fldData>
              </w:fldChar>
            </w:r>
            <w:r>
              <w:instrText xml:space="preserve"> ADDIN EN.CITE.DATA </w:instrText>
            </w:r>
            <w:r>
              <w:fldChar w:fldCharType="end"/>
            </w:r>
            <w:r>
              <w:fldChar w:fldCharType="separate"/>
            </w:r>
            <w:r>
              <w:t xml:space="preserve">[V12-44]</w:t>
            </w:r>
            <w:r>
              <w:fldChar w:fldCharType="end"/>
            </w:r>
          </w:p>
          <w:p>
            <w:pPr>
              <w:pStyle w:val="Normal"/>
              <w:widowControl/>
              <w:spacing w:before="60" w:after="20"/>
            </w:pPr>
            <w:r>
              <w:t xml:space="preserve">UCSF downstaging cohort: 122 entered; three LDLT cases and one with &lt;3-month follow-up excluded, leaving 118, compared with 488 patients listed within T2. Entry burden was bounded; major vascular invasion and extrahepatic spread excluded.</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PDF pp 2–3/j 1969–1970: imaging, DS criteria, observation. | PDF p 4/j 1971: 122 → 118 flow, time origins, 77 success/64 LT. | PDF pp 5–6/j 1972–1973: survival/recurrence. | PDF pp 7–9/j 1974–1976: dropout models, harms, limitations.</w:t>
            </w:r>
          </w:p>
          <w:p>
            <w:pPr>
              <w:pStyle w:val="Normal"/>
              <w:widowControl/>
              <w:spacing w:before="60" w:after="20"/>
            </w:pPr>
            <w:r>
              <w:t xml:space="preserve">Review depth: Complete 10-page publisher paper identity verified; all main methods/results/tables/discussion read; supporting figures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ITT survival 56.1% for downstaging versus 63.3% for T2; two-year dropout 34.2% versus 25.6%. Five-year recipient OS 77.8% versus 81.0%; recurrence-free probability 90.8% versus 88.0%. Five recurrences among 64 downstaged recipients (7.8% calculated; article prints 7.5%). Safety: Three deaths from liver decompensation were reported during downstaging. Good recipient outcomes coexist with appreciable entry-cohort attrition.</w:t>
            </w:r>
          </w:p>
          <w:p>
            <w:pPr>
              <w:pStyle w:val="Normal"/>
              <w:widowControl/>
              <w:spacing w:before="60" w:after="20"/>
            </w:pPr>
            <w:r>
              <w:rPr>
                <w:b/>
              </w:rPr>
              <w:t xml:space="preserve">Do not infer: </w:t>
            </w:r>
            <w:r>
              <w:t xml:space="preserve">Nonrandom single-center comparison with different ITT origins and early exclusions; overlap with later UCSF series. Recurrence-free probability should not be treated as death-inclusive RFS. Three months was a protocol selection rule, not a randomized optimal duration.</w:t>
            </w:r>
          </w:p>
        </w:tc>
      </w:tr>
      <w:tr>
        <w:trPr/>
        <w:tc>
          <w:tcPr>
            <w:tcW w:w="3400" w:type="dxa"/>
            <w:tcMar>
              <w:top w:w="90" w:type="dxa"/>
              <w:left w:w="90" w:type="dxa"/>
              <w:bottom w:w="90" w:type="dxa"/>
              <w:right w:w="90" w:type="dxa"/>
            </w:tcMar>
          </w:tcPr>
          <w:p>
            <w:pPr>
              <w:pStyle w:val="Normal"/>
              <w:widowControl/>
              <w:spacing w:before="60" w:after="20"/>
            </w:pPr>
            <w:r>
              <w:rPr>
                <w:b/>
              </w:rPr>
              <w:t xml:space="preserve">HCC ICI cohort · JAMA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U8L1JlY051bT48RGlzcGxheVRleHQ+W1YxMi00NV08L0Rpc3BsYXlUZXh0PjxyZWNvcmQ+PHJlYy1udW1iZXI+NDU8L3JlYy1udW1iZXI+PGZvcmVpZ24ta2V5cz48a2V5IGFwcD0iRU4iIGRiLWlkPSIxMmNkMTE2Zi1mZGYxLTU3ZGYtOWY2Ny1mMTRkZTE0ZmUzNzkiIHRpbWVzdGFtcD0iMTc5MjkyMTA4MyI+NDU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Q29tcGxldGUgMTAtcGFnZSBtYWluIGFydGljbGUgcmVhZCwgaW5jbHVkaW5nIGFsbCB0YWJsZXMvZmlndXJlcywgZGlzY3Vzc2lvbiBhbmQgcmVmZXJlbmNlczsgc3VwcGxlbWVudHMgbm90IHN1cHBsaWVkL3JlYWQuIFY4IGV4dHJhY3Rpb24gYW5kIGxpbWl0YXRpb25zOiBzb3VyY2UvaGNjX2Z1bGx0ZXh0X3Jldmlldy5qc29uPC9ub3Rlcz48dXJscz48cmVsYXRlZC11cmxzPjx1cmw+aHR0cHM6Ly9kb2kub3JnLzEwLjEwMDEvamFtYW9uY29sLjIwMjYuMzkwMTwvdXJsPjwvcmVsYXRlZC11cmxzPjxwZGYtdXJscy8+PC91cmxzPjwvcmVjb3JkPjwvQ2l0ZT48L0VuZE5vdGU+</w:fldData>
              </w:fldChar>
            </w:r>
            <w:r>
              <w:instrText xml:space="preserve"> ADDIN EN.CITE.DATA </w:instrText>
            </w:r>
            <w:r>
              <w:fldChar w:fldCharType="end"/>
            </w:r>
            <w:r>
              <w:fldChar w:fldCharType="separate"/>
            </w:r>
            <w:r>
              <w:t xml:space="preserve">[V12-45]</w:t>
            </w:r>
            <w:r>
              <w:fldChar w:fldCharType="end"/>
            </w:r>
          </w:p>
          <w:p>
            <w:pPr>
              <w:pStyle w:val="Normal"/>
              <w:widowControl/>
              <w:spacing w:before="60" w:after="20"/>
            </w:pPr>
            <w:r>
              <w:t xml:space="preserve">Eight Chinese centers, LT 2019–2024. 879 adult recipients initially beyond Milan screened, 727 eligible: 244 ICI and 483 non-ICI; 208 matched in each arm. Predominantly HBV (88% matched), male (90.6%); baseline macrovascular invasion 76/208 versus 77/208. ICI strategy commonly combined LRT and targeted agents: 131 triple, 61 dual, 16 ICI alone. Control 182 LRT alone, 23 LRT + targeted, 3 targeted alone.</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PDF pp 2–3 / E2–E3: design, Figure 1, time origins and matching. | PDF p 4 / E4: Table 1, multimodal exposures, only 32/208 and 18/208 within Milan. | PDF p 5 / E5: Table 2 washout missingness and rejection/survival. | PDF p 6 / E6: Figure 2 at-risk counts. | PDF pp 7–9 / E7–E9: subgroup caveats, limitations and conclusion.</w:t>
            </w:r>
          </w:p>
          <w:p>
            <w:pPr>
              <w:pStyle w:val="Normal"/>
              <w:widowControl/>
              <w:spacing w:before="60" w:after="20"/>
            </w:pPr>
            <w:r>
              <w:t xml:space="preserve">Review depth: Complete 10-page main article read, including all tables/figures, discussion and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ICI versus control: median OS 4.57 versus 2.53 years, adjusted HR .63 (95% CI .43–.92); median RFS 1.47 versus .89 years, adjusted HR .59 (.44–.80); recurrence subdistribution HR .54 (.40–.72). 1-/3-year OS 83.9/71.6% versus 74.6/43.9%; RFS 62.8/43.5 versus 48.4/30.7%. Acute rejection ≤90 days 34/208 (16.3%) versus 17/208 (8.2%), absolute difference 8.17 pp (CI 1.92–14.43); rejection-attributed deaths 3/34 versus 1/17. Median washout 58.5 days; ≤90-day washout 26/32 rejection cases versus 100/160 nonrejection cases. Objective response 100/208 versus 40/208; pCR 6/208 versus 0; major pathologic response 58/208 versus 35/208. Safety: Higher early rejection and three rejection-attributed deaths in ICI arm. No reliable pre-LT toxicity/dropout estimate because only transplanted patients included. At five years OS at-risk counts only 3 ICI and 21 control; long-horizon medians/tails imprecise.</w:t>
            </w:r>
          </w:p>
          <w:p>
            <w:pPr>
              <w:pStyle w:val="Normal"/>
              <w:widowControl/>
              <w:spacing w:before="60" w:after="20"/>
            </w:pPr>
            <w:r>
              <w:rPr>
                <w:b/>
              </w:rPr>
              <w:t xml:space="preserve">Do not infer: </w:t>
            </w:r>
            <w:r>
              <w:t xml:space="preserve">Retrospective PSM of selected recipients, residual biology/era confounding and conditioning on transplantation; graft type and donor age included in primary propensity model but sensitivity reportedly excludes these postexposure factors. Only 15.4%/8.7% downstaged within Milan; clinical selection differs markedly from proposed local pilot. Multimodal strategy not isolated ICI effect. Missing supplementary eligibility, rejection treatment and dynamic response details. Overlap with related Guo/Fang Chinese cohorts possible; do not sum as independent samples. Exploratory sex and high-risk subgroups not treatment-selection rules.</w:t>
            </w:r>
          </w:p>
        </w:tc>
      </w:tr>
      <w:tr>
        <w:trPr/>
        <w:tc>
          <w:tcPr>
            <w:tcW w:w="3400" w:type="dxa"/>
            <w:tcMar>
              <w:top w:w="90" w:type="dxa"/>
              <w:left w:w="90" w:type="dxa"/>
              <w:bottom w:w="90" w:type="dxa"/>
              <w:right w:w="90" w:type="dxa"/>
            </w:tcMar>
          </w:tcPr>
          <w:p>
            <w:pPr>
              <w:pStyle w:val="Normal"/>
              <w:widowControl/>
              <w:spacing w:before="60" w:after="20"/>
            </w:pPr>
            <w:r>
              <w:rPr>
                <w:b/>
              </w:rPr>
              <w:t xml:space="preserve">ImmunoXXL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NDY8L1JlY051bT48RGlzcGxheVRleHQ+W1YxMi00Nl08L0Rpc3BsYXlUZXh0PjxyZWNvcmQ+PHJlYy1udW1iZXI+NDY8L3JlYy1udW1iZXI+PGZvcmVpZ24ta2V5cz48a2V5IGFwcD0iRU4iIGRiLWlkPSIxMmNkMTE2Zi1mZGYxLTU3ZGYtOWY2Ny1mMTRkZTE0ZmUzNzkiIHRpbWVzdGFtcD0iMTc5MjkyMTA4MyI+NDY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[V12-46]</w:t>
            </w:r>
            <w:r>
              <w:fldChar w:fldCharType="end"/>
            </w:r>
          </w:p>
          <w:p>
            <w:pPr>
              <w:pStyle w:val="Normal"/>
              <w:widowControl/>
              <w:spacing w:before="60" w:after="20"/>
            </w:pPr>
            <w:r>
              <w:t xml:space="preserve">Single-center prospective observational phase-II-design study. Sixty-one potentially eligible patients received atezolizumab/bevacizumab from June 2022; 16 selected responders enrolled/listed/transplanted December 2022–January 2025. Initially beyond Up-to-7/UNOS-DS, not amenable to further LRT/surgery, no hepatic-vein/caval invasion or extrahepatic spread. Methods specify Child-Pugh A/ECOG 0–1 at treatment, but Table 1 includes two Child-Pugh B at diagnosis (different time point). At least three months/three cycles and modeled post-LT survival ≥60%; Figure 1 explicitly adds PVTT ≤ Vp2 and AFP ≤100 at downstaging eligibility.</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3/j 118 eligibility/methods | PDF p 4/j 119 Figure 1 | PDF p 5/j 120 statistical time origins and cohort flow | PDF p 6/j 121 Table 1 | PDF p 7/j 122 Figures 2–3 | PDF p 8/j 123 rejection/retransplant outcomes | PDF p 10/j 125 limitations | PDF p 12/j 127 Table 2</w:t>
            </w:r>
          </w:p>
          <w:p>
            <w:pPr>
              <w:pStyle w:val="Normal"/>
              <w:widowControl/>
              <w:spacing w:before="60" w:after="20"/>
            </w:pPr>
            <w:r>
              <w:t xml:space="preserve">Review depth: Complete 14-page main-paper PDF read; Tables S1–S5 and separate supplementary methods/figures are referenced but not attached.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baseline PVTT: Figure 2 six Vp2, one Vp3, one Vp4; after treatment/explant seven complete responses and one Vp4 → Vp2. Median washout 57.5 d (IQR 29–87), follow-up 16 mo. Ten complete and six partial pathological responses. One recurrence and one death; reported two-year recurrence-free estimate 90% (95% CI 62–98) and OS 94% (67–100), with above time-origin/death-censoring caveat. Radiologic counts 12 CR/4 PR equal 75%/25%, whereas text/table incorrectly label 70%/30%. Safety: Four biopsy-proven acute rejections (RAI 5–7); median washout 28 d rejecting vs 60 d nonrejecting, P = .045. Three pre-LT events labeled irAEs, including ascites and severe hypertension. Ninety-day morbidity 10/16 (62.5%), mortality 1/16 (6.3%). Two retransplants: one hepatic-artery thrombosis; one marginal-graft dysfunction mixed with rejection/sepsis, followed by death. Do not describe all graft loss as rejection-caused or the entire course as harmless/manageable rejection.</w:t>
            </w:r>
          </w:p>
          <w:p>
            <w:pPr>
              <w:pStyle w:val="Normal"/>
              <w:widowControl/>
              <w:spacing w:before="60" w:after="20"/>
            </w:pPr>
            <w:r>
              <w:rPr>
                <w:b/>
              </w:rPr>
              <w:t xml:space="preserve">Do not infer: </w:t>
            </w:r>
            <w:r>
              <w:t xml:space="preserve">Tiny selected cohort, short follow-up and wide intervals; historical proxy endpoint, no clinical survival control. Fourteen LRT-only patients served an immunoprofiling comparison, not an unbiased comparative efficacy arm. Transcriptomic/immune associations are exploratory and cannot validate a two-month safe interval or immune-clearance assay. Supplementary eligibility details unavailable.</w:t>
            </w:r>
          </w:p>
        </w:tc>
      </w:tr>
      <w:tr>
        <w:trPr/>
        <w:tc>
          <w:tcPr>
            <w:tcW w:w="3400" w:type="dxa"/>
            <w:tcMar>
              <w:top w:w="90" w:type="dxa"/>
              <w:left w:w="90" w:type="dxa"/>
              <w:bottom w:w="90" w:type="dxa"/>
              <w:right w:w="90" w:type="dxa"/>
            </w:tcMar>
          </w:tcPr>
          <w:p>
            <w:pPr>
              <w:pStyle w:val="Normal"/>
              <w:widowControl/>
              <w:spacing w:before="60" w:after="20"/>
            </w:pPr>
            <w:r>
              <w:rPr>
                <w:b/>
              </w:rPr>
              <w:t xml:space="preserve">LITCHI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40NzwvUmVjTnVtPjxEaXNwbGF5VGV4dD5bVjEyLTQ3XTwvRGlzcGxheVRleHQ+PHJlY29yZD48cmVjLW51bWJlcj40NzwvcmVjLW51bWJlcj48Zm9yZWlnbi1rZXlzPjxrZXkgYXBwPSJFTiIgZGItaWQ9IjEyY2QxMTZmLWZkZjEtNTdkZi05ZjY3LWYxNGRlMTRmZTM3OSIgdGltZXN0YW1wPSIxNzkyOTIxMDgzIj40Nz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[V12-47]</w:t>
            </w:r>
            <w:r>
              <w:fldChar w:fldCharType="end"/>
            </w:r>
          </w:p>
          <w:p>
            <w:pPr>
              <w:pStyle w:val="Normal"/>
              <w:widowControl/>
              <w:spacing w:before="60" w:after="20"/>
            </w:pPr>
            <w:r>
              <w:t xml:space="preserve">European multicenter series of 18 ICI-exposed LT recipients: 15 atezolizumab–bevacizumab, two nivolumab and one pembrolizumab. Fourteen of 17 evaluable patients were beyond Milan before treatment and seven of 17 remained beyond Milan before LT.</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 cohort, biopsy ascertainment, 14/17 and 7/17 Milan status. | PDF p 3: Table 1 washout, harms, 12-month OS and follow up. | PDF p 4: rejection days, limitations, 14/18 &gt;100 days. | PDF p 5: supplement inventory not included.</w:t>
            </w:r>
          </w:p>
          <w:p>
            <w:pPr>
              <w:pStyle w:val="Normal"/>
              <w:widowControl/>
              <w:spacing w:before="60" w:after="20"/>
            </w:pPr>
            <w:r>
              <w:t xml:space="preserve">Review depth: Complete six-page main article read, including individual-patient Table 1 and discussion; supplemental Tables S1–S4/Figures S1–S3 not provided.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of 18 had biopsy-proven rejection (22%; reported 95% CI 6.4–47.6%), diagnosed at days 21, 27, 147 and 686. One rejection was fatal after a 13-day washout. One HCC recurrence occurred at 229 days. The reported one-year OS point estimate is 77%, but abstract and body give inconsistent confidence intervals. Safety: Rejection can occur late, not only in the immediate postoperative period. One fatal rejection; a long washout does not eliminate risk.</w:t>
            </w:r>
          </w:p>
          <w:p>
            <w:pPr>
              <w:pStyle w:val="Normal"/>
              <w:widowControl/>
              <w:spacing w:before="60" w:after="20"/>
            </w:pPr>
            <w:r>
              <w:rPr>
                <w:b/>
              </w:rPr>
              <w:t xml:space="preserve">Do not infer: </w:t>
            </w:r>
            <w:r>
              <w:t xml:space="preserve">Small selected recipient series without a control group or entry denominator; center-dependent surveillance biopsies. Very short oncologic follow-up for high-risk subgroups. The inconsistent OS confidence interval should not be copied. No validated washout or protective immunosuppression regimen.</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ItMTVdPC9EaXNwbGF5VGV4dD48cmVjb3JkPjxyZWMtbnVtYmVyPjE1PC9yZWMtbnVtYmVyPjxmb3JlaWduLWtleXM+PGtleSBhcHA9IkVOIiBkYi1pZD0iMTJjZDExNmYtZmRmMS01N2RmLTlmNjctZjE0ZGUxNGZlMzc5IiB0aW1lc3RhbXA9IjE3OTI5MjEwODM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2026 · post-LT ICI</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Mi0yOF08L0Rpc3BsYXlUZXh0PjxyZWNvcmQ+PHJlYy1udW1iZXI+Mjg8L3JlYy1udW1iZXI+PGZvcmVpZ24ta2V5cz48a2V5IGFwcD0iRU4iIGRiLWlkPSIxMmNkMTE2Zi1mZGYxLTU3ZGYtOWY2Ny1mMTRkZTE0ZmUzNzkiIHRpbWVzdGFtcD0iMTc5MjkyMTA4My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p>
          <w:p>
            <w:pPr>
              <w:pStyle w:val="Normal"/>
              <w:widowControl/>
              <w:spacing w:before="60" w:after="20"/>
            </w:pPr>
            <w:r>
              <w:t xml:space="preserve">Retrospective 14-French-center cohort, September 2015–March 2024; 52 adult LT recipients receiving at least one post-LT ICI. None had pre-LT ICI. 32 recurrent HCC and 20 de novo cancers. Physician-selected treatment, not an eligibility inception cohort.</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2–3 / journal 1959–1960: cohort, endpoints, time origins.; PDF pp 4–5: Table 1, cancer treatment/response denominators.; PDF p 6: rejection events/timing; p 8: survival.; PDF p 11 / journal 1968: Table 3, rejection-death causes.; PDF p 12 / journal 1969: Table 4, CNI and IS-increase comparisons.; PDF pp 10, 13: recommendations/limitations.</w:t>
            </w:r>
          </w:p>
          <w:p>
            <w:pPr>
              <w:pStyle w:val="Normal"/>
              <w:widowControl/>
              <w:spacing w:before="60" w:after="20"/>
            </w:pPr>
            <w:r>
              <w:t xml:space="preserve">Review depth: Complete 14-page main article read: Methods, Results, tables, Discussion,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7/52 rejection (13.5%; paper rounds to 13%): 3/32 HCC and 4/20 other cancer. Six biopsy proven, median 27 days after ICI. All seven died: five attributed to rejection, two to tumor progression. Rejection-attributed death 5/52 (9.6%), not seven rejection deaths. Overall 39 deaths: 32 cancer progression, five rejection, two sepsis. KM OS at 3/6/12 months 65.0/46.9/38.9%; HCC-specific 12-month OS 43.4%. Unadjusted CNI exposure: 3/43 rejected versus 4/9 without CNI; IS increase: 2/34 versus 5/18 without increase. No multivariable causal protection established. Harms: Moderate/severe T-cell-mediated rejection, Banff 7–8 among biopsied rejection cases; early rejection often fatal. Eight irAEs reported (8/52 = 15.4%; narrative says 19%). Tacrolimus levels did not separate rejection/no rejection. Negative graft PD-L1 in two rejection cases does not clear risk.</w:t>
            </w:r>
          </w:p>
          <w:p>
            <w:pPr>
              <w:pStyle w:val="Normal"/>
              <w:widowControl/>
              <w:spacing w:before="60" w:after="20"/>
            </w:pPr>
            <w:r>
              <w:rPr>
                <w:b/>
              </w:rPr>
              <w:t xml:space="preserve">Do not infer: </w:t>
            </w:r>
            <w:r>
              <w:t xml:space="preserve">Small retrospective heterogeneous cancer/ICI/IS cohort; physician and era confounding, only univariate analysis, no randomized comparator. First-line counts conflict text versus Table 1. Tumor response denominator incompletely reconciled. Baseline graft biopsy/PD-L1 exploratory. Authors' suggestion to wait at least one year after LT is not a validated threshold. Time origin: OS begins first post-LT ICI dose; rejection time begins first ICI, death censored. Median LT-to-ICI 4.55 years. Response table incomplete: 39 progressive disease, 7 partial responses, 1 stable disease; printed percentages imply 50 evaluable but counts total 47. Do not manufacture ORR denominator or confuse 42 patients with HCC before LT with 32 treated for HCC recurrence.</w:t>
            </w:r>
          </w:p>
        </w:tc>
      </w:tr>
      <w:tr>
        <w:trPr/>
        <w:tc>
          <w:tcPr>
            <w:tcW w:w="3400" w:type="dxa"/>
            <w:tcMar>
              <w:top w:w="90" w:type="dxa"/>
              <w:left w:w="90" w:type="dxa"/>
              <w:bottom w:w="90" w:type="dxa"/>
              <w:right w:w="90" w:type="dxa"/>
            </w:tcMar>
          </w:tcPr>
          <w:p>
            <w:pPr>
              <w:pStyle w:val="Normal"/>
              <w:widowControl/>
              <w:spacing w:before="60" w:after="20"/>
            </w:pPr>
            <w:r>
              <w:rPr>
                <w:b/>
              </w:rPr>
              <w:t xml:space="preserve">Choi 2017</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Q4PC9SZWNOdW0+PERpc3BsYXlUZXh0PltWMTItNDhdPC9EaXNwbGF5VGV4dD48cmVjb3JkPjxyZWMtbnVtYmVyPjQ4PC9yZWMtbnVtYmVyPjxmb3JlaWduLWtleXM+PGtleSBhcHA9IkVOIiBkYi1pZD0iMTJjZDExNmYtZmRmMS01N2RmLTlmNjctZjE0ZGUxNGZlMzc5IiB0aW1lc3RhbXA9IjE3OTI5MjEwODMiPjQ4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[V12-48]</w:t>
            </w:r>
            <w:r>
              <w:fldChar w:fldCharType="end"/>
            </w:r>
          </w:p>
          <w:p>
            <w:pPr>
              <w:pStyle w:val="Normal"/>
              <w:widowControl/>
              <w:spacing w:before="60" w:after="20"/>
            </w:pPr>
            <w:r>
              <w:t xml:space="preserve">Single-center Korean LDLT cohort, 2005–2015. Of 253 adult HCC LDLTs, four deaths within one month, five lost to follow-up and two mixed HCC/CCA cases were excluded, leaving 242. PVTT: 27 segmental (at/below second-order branches) and seven first-order/lobar; main-portal disease, nodes and distant spread excluded. Eleven of 27 segmental thrombi were unsuspected before LT and discovered on explant. Prior treatment in 22/34 was not a standardized downstaging protocol.</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 2/j 1024: exclusions, pretreatment, anatomy definition. | PDF p 3/j 1025: 16/27 preoperative segmental diagnoses. | PDF pp 5–6/j 1027–1028: Tables 2–3 and explicit lobar DFS 14.3%. | PDF p 7/j 1029 Table 4: AFP subgroup counts. | PDF p 8/j 1030: subgroup survival and limitations.</w:t>
            </w:r>
          </w:p>
          <w:p>
            <w:pPr>
              <w:pStyle w:val="Normal"/>
              <w:widowControl/>
              <w:spacing w:before="60" w:after="20"/>
            </w:pPr>
            <w:r>
              <w:t xml:space="preserve">Review depth: Complete main text/tables/figures/discussion of nine-page article read; last-page bibliography only not material to extraction.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n = 27: recurrence 9/27 (33.3%), five-year OS 50.3%, author-labelled DFS 63.9%. Lobar n = 7: recurrence 6/7 (85.7%), three-/five-year OS 14.3%/14.3%, DFS 14.3%/14.3%. Segmental AFP &lt;100 subgroup: five-year OS 71.3%, DFS 90.9%. Overall PVTT recurrence 15/34 (44.1%); mean time to recurrence 6.8±4.33 months. Safety: Four early postoperative deaths were excluded across the parent HCC cohort; their PVTT status is not reported. Lobar recurrence was 6/7. Donor harms are not quantified.</w:t>
            </w:r>
          </w:p>
          <w:p>
            <w:pPr>
              <w:pStyle w:val="Normal"/>
              <w:widowControl/>
              <w:spacing w:before="60" w:after="20"/>
            </w:pPr>
            <w:r>
              <w:rPr>
                <w:b/>
              </w:rPr>
              <w:t xml:space="preserve">Do not infer: </w:t>
            </w:r>
            <w:r>
              <w:t xml:space="preserve">Tiny retrospective recipient subgroups; early-death exclusion and occult segmental thrombi favor outcomes. No entry-cohort ITT estimate, standardized response duration or validated AFP cutoff. Do not call author-labelled DFS death-inclusive RFS.</w:t>
            </w:r>
          </w:p>
        </w:tc>
      </w:tr>
      <w:tr>
        <w:trPr/>
        <w:tc>
          <w:tcPr>
            <w:tcW w:w="3400" w:type="dxa"/>
            <w:tcMar>
              <w:top w:w="90" w:type="dxa"/>
              <w:left w:w="90" w:type="dxa"/>
              <w:bottom w:w="90" w:type="dxa"/>
              <w:right w:w="90" w:type="dxa"/>
            </w:tcMar>
          </w:tcPr>
          <w:p>
            <w:pPr>
              <w:pStyle w:val="Normal"/>
              <w:widowControl/>
              <w:spacing w:before="60" w:after="20"/>
            </w:pPr>
            <w:r>
              <w:rPr>
                <w:b/>
              </w:rPr>
              <w:t xml:space="preserve">Soin 2020</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Q5PC9SZWNOdW0+PERpc3BsYXlUZXh0PltWMTItNDldPC9EaXNwbGF5VGV4dD48cmVjb3JkPjxyZWMtbnVtYmVyPjQ5PC9yZWMtbnVtYmVyPjxmb3JlaWduLWtleXM+PGtleSBhcHA9IkVOIiBkYi1pZD0iMTJjZDExNmYtZmRmMS01N2RmLTlmNjctZjE0ZGUxNGZlMzc5IiB0aW1lc3RhbXA9IjE3OTI5MjEwODMiPjQ5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[V12-49]</w:t>
            </w:r>
            <w:r>
              <w:fldChar w:fldCharType="end"/>
            </w:r>
          </w:p>
          <w:p>
            <w:pPr>
              <w:pStyle w:val="Normal"/>
              <w:widowControl/>
              <w:spacing w:before="60" w:after="20"/>
            </w:pPr>
            <w:r>
              <w:t xml:space="preserve">Single-center prospective downstaging pathway: 43 patients with macrovascular invasion, comprising 38 PVTT and five hepatic-vein/IVC cases; 27 responded and 25 underwent LDLT. Recipient original Vp1/Vp2/Vp3/Vp4 counts: 1/12/11/1.</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PDF pp 2–4/j 2335–2337: protocol, 43 entry flow, endpoint definitions, 18 vs 7 response. | PDF p 5/j 2338: all 25 survival 53/52 and timing Table 1. | PDF p 6/j 2339: Table 2, 17/25 viable PVTT, early death-excluded 57/51. | PDF p 7/j 2340: Fig 3. | PDF pp 9–11/j 2342–2344: models, variable wait protocol, limitations.</w:t>
            </w:r>
          </w:p>
          <w:p>
            <w:pPr>
              <w:pStyle w:val="Normal"/>
              <w:widowControl/>
              <w:spacing w:before="60" w:after="20"/>
            </w:pPr>
            <w:r>
              <w:t xml:space="preserve">Review depth: Complete 12-page main paper read; supplemental Tables S1–S2/Figures S1–S5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25 recipients: five-year OS 53% and author-labelled RFS 52%. After excluding two early postoperative deaths (n = 23): five-year OS 57%, RFS 51%. Recurrence 6/25 (24%), median five months. Eighteen had complete vascular enhancement loss; seven retained minimal/absent enhancement in Vp1–2 disease. Explants still showed viable PVTT in 17/25 and microvascular invasion in 21/25. Safety: Nine recipient deaths: two early sepsis deaths, four later non-cancer deaths and three cancer deaths. Six recurrences occurred despite downstaging selection. Radiographic response did not reliably imply pathological vascular sterilization.</w:t>
            </w:r>
          </w:p>
          <w:p>
            <w:pPr>
              <w:pStyle w:val="Normal"/>
              <w:widowControl/>
              <w:spacing w:before="60" w:after="20"/>
            </w:pPr>
            <w:r>
              <w:rPr>
                <w:b/>
              </w:rPr>
              <w:t xml:space="preserve">Do not infer: </w:t>
            </w:r>
            <w:r>
              <w:t xml:space="preserve">No randomized comparator, limited recipient number and no grade-specific survival estimates. The 43-entry denominator includes nonportal macrovascular invasion. Five-year 57% OS excludes early deaths; it is neither all-recipient nor ITT survival. Small poor-grade/AFP-change subgroups do not validate new cutoffs or a 12-month control rule.</w:t>
            </w:r>
          </w:p>
        </w:tc>
      </w:tr>
      <w:tr>
        <w:trPr/>
        <w:tc>
          <w:tcPr>
            <w:tcW w:w="3400" w:type="dxa"/>
            <w:tcMar>
              <w:top w:w="90" w:type="dxa"/>
              <w:left w:w="90" w:type="dxa"/>
              <w:bottom w:w="90" w:type="dxa"/>
              <w:right w:w="90" w:type="dxa"/>
            </w:tcMar>
          </w:tcPr>
          <w:p>
            <w:pPr>
              <w:pStyle w:val="Normal"/>
              <w:widowControl/>
              <w:spacing w:before="60" w:after="20"/>
            </w:pPr>
            <w:r>
              <w:rPr>
                <w:b/>
              </w:rPr>
              <w:t xml:space="preserve">Yang 2020</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UwPC9SZWNOdW0+PERpc3BsYXlUZXh0PltWMTItNTBdPC9EaXNwbGF5VGV4dD48cmVjb3JkPjxyZWMtbnVtYmVyPjUwPC9yZWMtbnVtYmVyPjxmb3JlaWduLWtleXM+PGtleSBhcHA9IkVOIiBkYi1pZD0iMTJjZDExNmYtZmRmMS01N2RmLTlmNjctZjE0ZGUxNGZlMzc5IiB0aW1lc3RhbXA9IjE3OTI5MjEwODMiPjUw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[V12-50]</w:t>
            </w:r>
            <w:r>
              <w:fldChar w:fldCharType="end"/>
            </w:r>
          </w:p>
          <w:p>
            <w:pPr>
              <w:pStyle w:val="Normal"/>
              <w:widowControl/>
              <w:spacing w:before="60" w:after="20"/>
            </w:pPr>
            <w:r>
              <w:t xml:space="preserve">Retrospective Chinese recipient cohort of 75 HCC/PVTT transplants: 47 with Vp2–3 combined and 28 with Vp4. The Vp2–3 group was entirely HBV-associated; Child-Pugh A/B/C counts were 1/22/24 and median MELD 30. Not a standardized downstaging-response cohort.</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PDF p 2/j 230: Methods, endpoint definitions, 47/28 groups, Table 1. | PDF p 3/j 231: grade outcomes and 22/17/8 risk groups. | PDF p 4/j 232: Tables 2–3. | PDF p 5/j 233: limitations.</w:t>
            </w:r>
          </w:p>
          <w:p>
            <w:pPr>
              <w:pStyle w:val="Normal"/>
              <w:widowControl/>
              <w:spacing w:before="60" w:after="20"/>
            </w:pPr>
            <w:r>
              <w:t xml:space="preserve">Review depth: Complete six-page article read, all main methods/results/tables/figures/discussion/references.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Vp2–3 n = 47: three-year OS 65.4%, recurrence-only RFS 40.0%. Vp4 n = 28: three-year OS 30.6%, recurrence-only RFS 21.4%. A derived low-risk subgroup of 22/47 had three-year OS 95.2% and recurrence-only RFS 67.6%; its rule was total tumor diameter ≤8 cm, OR if &gt;8 cm, AFP &lt;1,000 ng/mL AND SUVmax &lt;5. Safety: Three-year recurrence-only RFS was low in both anatomical groups. Short median follow-up limits three-year precision; no donor-harm estimate.</w:t>
            </w:r>
          </w:p>
          <w:p>
            <w:pPr>
              <w:pStyle w:val="Normal"/>
              <w:widowControl/>
              <w:spacing w:before="60" w:after="20"/>
            </w:pPr>
            <w:r>
              <w:rPr>
                <w:b/>
              </w:rPr>
              <w:t xml:space="preserve">Do not infer: </w:t>
            </w:r>
            <w:r>
              <w:t xml:space="preserve">The low-risk rule was derived in the same 47 recipients and lacks external validation. It is not a Vp3-specific outcome or proof of safe active PVTT transplantation. No entry-denominator survival or validated observation interval.</w:t>
            </w:r>
          </w:p>
        </w:tc>
      </w:tr>
      <w:tr>
        <w:trPr/>
        <w:tc>
          <w:tcPr>
            <w:tcW w:w="3400" w:type="dxa"/>
            <w:tcMar>
              <w:top w:w="90" w:type="dxa"/>
              <w:left w:w="90" w:type="dxa"/>
              <w:bottom w:w="90" w:type="dxa"/>
              <w:right w:w="90" w:type="dxa"/>
            </w:tcMar>
          </w:tcPr>
          <w:p>
            <w:pPr>
              <w:pStyle w:val="Normal"/>
              <w:widowControl/>
              <w:spacing w:before="60" w:after="20"/>
            </w:pPr>
            <w:r>
              <w:rPr>
                <w:b/>
              </w:rPr>
              <w:t xml:space="preserve">SiLVER · Geissler</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yNTwvUmVjTnVtPjxEaXNwbGF5VGV4dD5bVjEyLTI1XTwvRGlzcGxheVRleHQ+PHJlY29yZD48cmVjLW51bWJlcj4yNTwvcmVjLW51bWJlcj48Zm9yZWlnbi1rZXlzPjxrZXkgYXBwPSJFTiIgZGItaWQ9IjEyY2QxMTZmLWZkZjEtNTdkZi05ZjY3LWYxNGRlMTRmZTM3OSIgdGltZXN0YW1wPSIxNzkyOTIxMDgzIj4yN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p>
          <w:p>
            <w:pPr>
              <w:pStyle w:val="Normal"/>
              <w:widowControl/>
              <w:spacing w:before="60" w:after="20"/>
            </w:pPr>
            <w:r>
              <w:t xml:space="preserve">Open-label international randomized immunosuppression trial: 525 LT recipients with HCC randomized at 4–6 weeks after LT, 264 mTOR-free versus 261 sirolimus-containing. Seventeen major eligibility violations were excluded from the prespecified efficacy population, leaving 508; safety and baseline descriptions use all 525.</w:t>
            </w:r>
          </w:p>
          <w:p>
            <w:pPr>
              <w:pStyle w:val="Normal"/>
              <w:widowControl/>
              <w:spacing w:before="60" w:after="20"/>
            </w:pPr>
            <w:r>
              <w:t xml:space="preserve">Selection: Adults with histologically confirmed HCC; excluded extrahepatic HCC, relevant other malignancy, active infection, refractory hyperlipidemia, platelets &lt;75,000/mm3 and multiorgan recipients. Risk classification used explant pathology. Assignment after LT does not test pre-LT candidate selection.</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PDF pp3–4 Methods and efficacy exclusions; pp5–7 Results; p9 Table 2 and Discussion; printed pp118–124.</w:t>
            </w:r>
          </w:p>
          <w:p>
            <w:pPr>
              <w:pStyle w:val="Normal"/>
              <w:widowControl/>
              <w:spacing w:before="60" w:after="20"/>
            </w:pPr>
            <w:r>
              <w:t xml:space="preserve">Review depth: Complete 10-page main article re-read, including Methods, Results, Table 2 and Discussion; separate SDC not retrieved or reviewed. Figures interpreted from the reported analyses, not independently digitized.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At study end, RFS was 64.5% versus 70.2% (HR 0.84, 95% CI 0.62–1.15; P=.28); OS 68.4% versus 74.6% (HR 0.81, 0.58–1.13; P=.21). Neither long-term endpoint was significant. Preplanned early/yearly and low-risk subgroup signals do not establish durable benefit in beyond-Milan recipients. The high-risk subgroup showed no appreciable RFS benefit. Harms: Related adverse events were reported in 61.0% versus 86.2%. Table 2 lists event counts, not unique affected patients: wound-healing/dehiscence events 16 versus 30, proteinuria 2 versus 22, and hyperlipidemia-family events 73 versus 137. Rejection after randomization occurred in 17.0% versus 23.4% (P=.071). The protocol delayed sirolimus and required hepatic-artery patency; it does not establish safety of immediate use.</w:t>
            </w:r>
          </w:p>
          <w:p>
            <w:pPr>
              <w:pStyle w:val="Normal"/>
              <w:widowControl/>
              <w:spacing w:before="60" w:after="20"/>
            </w:pPr>
            <w:r>
              <w:rPr>
                <w:b/>
              </w:rPr>
              <w:t xml:space="preserve">Do not infer: </w:t>
            </w:r>
            <w:r>
              <w:t xml:space="preserve">Open-label, center-specific combination regimens, treatment crossover/nonadherence, selected post-LT randomization and subgroup multiplicity. Early benefit signals do not prove high-risk tumor prevention, broad eligibility expansion, or benefits in CCA, CRLM, NET or HEHE. Sirolimus trial results are not interchangeable with everolimus labeling. Time origin: RFS combined HCC recurrence or death and all time measures used LT as origin, despite randomization on days 22–42. Therefore the reported efficacy population is selected among early postoperative survivors and excludes 17 prespecified major eligibility violations. Do not call 1−RFS the recurrence probability or these outcomes candidate-level ITT survival.</w:t>
            </w:r>
          </w:p>
        </w:tc>
      </w:tr>
      <w:tr>
        <w:trPr/>
        <w:tc>
          <w:tcPr>
            <w:tcW w:w="3400" w:type="dxa"/>
            <w:tcMar>
              <w:top w:w="90" w:type="dxa"/>
              <w:left w:w="90" w:type="dxa"/>
              <w:bottom w:w="90" w:type="dxa"/>
              <w:right w:w="90" w:type="dxa"/>
            </w:tcMar>
          </w:tcPr>
          <w:p>
            <w:pPr>
              <w:pStyle w:val="Normal"/>
              <w:widowControl/>
              <w:spacing w:before="60" w:after="20"/>
            </w:pPr>
            <w:r>
              <w:rPr>
                <w:b/>
              </w:rPr>
              <w:t xml:space="preserve">Demirors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41MTwvUmVjTnVtPjxEaXNwbGF5VGV4dD5bVjEyLTUxXTwvRGlzcGxheVRleHQ+PHJlY29yZD48cmVjLW51bWJlcj41MTwvcmVjLW51bWJlcj48Zm9yZWlnbi1rZXlzPjxrZXkgYXBwPSJFTiIgZGItaWQ9IjEyY2QxMTZmLWZkZjEtNTdkZi05ZjY3LWYxNGRlMTRmZTM3OSIgdGltZXN0YW1wPSIxNzkyOTIxMDgzIj41MT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[V12-51]</w:t>
            </w:r>
            <w:r>
              <w:fldChar w:fldCharType="end"/>
            </w:r>
          </w:p>
          <w:p>
            <w:pPr>
              <w:pStyle w:val="Normal"/>
              <w:widowControl/>
              <w:spacing w:before="60" w:after="20"/>
            </w:pPr>
            <w:r>
              <w:t xml:space="preserve">HCC dominates; review claims &gt;1,200 ICI-exposed LT recipients and 43 CCA patients. Tables mix primary cohorts, systematic reviews, candidate denominators, resection cohorts, chemotherapy-only transplant evidence and contextual abstracts; unique-recipient totals are not independently reconciled.</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PDF pp 3–5 methods/aggregate population; pp 6–7 Table 1 and CCA efficacy; pp 7–9 washout/rejection; pp 10–11 Table 2; p 12 Table 3; pp 13–14 interpretation; pp 16–17 references 4–6, 15, 22, 29–35.</w:t>
            </w:r>
          </w:p>
          <w:p>
            <w:pPr>
              <w:pStyle w:val="Normal"/>
              <w:widowControl/>
              <w:spacing w:before="60" w:after="20"/>
            </w:pPr>
            <w:r>
              <w:t xml:space="preserve">Review depth: Complete main text pp 1–14, all 3 tables and all 35 reference entries pp 15–17 read; conflicting claims checked against already-reviewed V8 primary papers and targeted official/primary sources.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General themes—ICI-associated rejection risk, need for an interval and MDT care, absence of a validated immune biomarker—are consistent with primary evidence.; Table 3 is not a reliable substitute for original society guidance: AASLD 2023 actually recommends discontinuation at least 3 months before LT (local official PDF p 20/j 1941), contrary to this review's 'no specific duration' cell.; Table 3 labels Watt et al. as ILTS guidance, but reference 31 is a prospective standardized institutional post-LT ICI practice study, not an ILTS consensus or pre-LT induction guideline.; SYS-TARE/Maspero chemotherapy-plus-radioembolization evidence is displayed under ICI bridging; it does not establish pre-LT ICI efficacy or safety in CCA.; Table 2 says Moeckli graft loss not separately reported; the primary paper reports 6/119. The review's OR 21.3/9.48 washout values are unadjusted, not the adjusted model coefficients.; PLENTY is mislabeled as a North American prospective cohort in Table 1; the primary pilot is a Chinese randomized study. ImmunoXXL is labeled RCT despite the reviewed prospective single-arm design.</w:t>
            </w:r>
          </w:p>
          <w:p>
            <w:pPr>
              <w:pStyle w:val="Normal"/>
              <w:widowControl/>
              <w:spacing w:before="60" w:after="20"/>
            </w:pPr>
            <w:r>
              <w:rPr>
                <w:b/>
              </w:rPr>
              <w:t xml:space="preserve">Do not infer: </w:t>
            </w:r>
            <w:r>
              <w:t xml:space="preserve">Guideline attribution errors, mixed eligibility/interventions, overlapping datasets and inconsistent denominators substantially weaken its use for protocol thresholds.; Claim that &gt;50 days normalizes rejection versus non-ICI controls overstates the 119-recipient source, which lacks a parallel non-ICI control group.; Proposed ATG indications, tacrolimus 12–15, protocol biopsies and early-mTOR avoidance are not established by the cited papers as universal society recommendations.; Donor-category nonsignificance is not proof of equivalence/safety across DCD, DBD and LDLT.; CCA and NET protocols must not inherit HCC cohort efficacy rates or transplant eligibility thresholds from this review. Time origin: Do not pool its &gt;1,200 as new unique patients or combine it with underlying studies. VITALITY 75.6% is 65/86 ever-beyond-Milan candidates, with 43 LT of 117 intent-to-transplant; 71.1% three-year survival is candidate-level ITT, not recipient survival.</w:t>
            </w:r>
          </w:p>
        </w:tc>
      </w:tr>
      <w:tr>
        <w:trPr/>
        <w:tc>
          <w:tcPr>
            <w:tcW w:w="3400" w:type="dxa"/>
            <w:tcMar>
              <w:top w:w="90" w:type="dxa"/>
              <w:left w:w="90" w:type="dxa"/>
              <w:bottom w:w="90" w:type="dxa"/>
              <w:right w:w="90" w:type="dxa"/>
            </w:tcMar>
          </w:tcPr>
          <w:p>
            <w:pPr>
              <w:pStyle w:val="Normal"/>
              <w:widowControl/>
              <w:spacing w:before="60" w:after="20"/>
            </w:pPr>
            <w:r>
              <w:rPr>
                <w:b/>
              </w:rPr>
              <w:t xml:space="preserve">Budiman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ItMjldPC9EaXNwbGF5VGV4dD48cmVjb3JkPjxyZWMtbnVtYmVyPjI5PC9yZWMtbnVtYmVyPjxmb3JlaWduLWtleXM+PGtleSBhcHA9IkVOIiBkYi1pZD0iMTJjZDExNmYtZmRmMS01N2RmLTlmNjctZjE0ZGUxNGZlMzc5IiB0aW1lc3RhbXA9IjE3OTI5MjEwODM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[V12-29]</w:t>
            </w:r>
            <w:r>
              <w:fldChar w:fldCharType="end"/>
            </w:r>
          </w:p>
          <w:p>
            <w:pPr>
              <w:pStyle w:val="Normal"/>
              <w:widowControl/>
              <w:spacing w:before="60" w:after="20"/>
            </w:pPr>
            <w:r>
              <w:t xml:space="preserve">Reports 23 studies and 6,318 patients, principally retrospective post-LT cohorts, published 2001–2025; searches described through August 2025. Aggregate sample cannot be reconstructed from its study table because per-study sample counts are not displayed.</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PDF p 1 abstract; p 2 Methods and flow prose; p 3 rendered Figure 1 and Milan outcomes; pp 4–6 study/quality tables and discussion; p 7 references.</w:t>
            </w:r>
          </w:p>
          <w:p>
            <w:pPr>
              <w:pStyle w:val="Normal"/>
              <w:widowControl/>
              <w:spacing w:before="60" w:after="20"/>
            </w:pPr>
            <w:r>
              <w:t xml:space="preserve">Review depth: Full main article and tables read; PRISMA flow PDF p 3 additionally rendered and visually checked against the prose. No supplemental patient-count table was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Describes five-year survival above 70% in selected Milan cohorts, with recurrence commonly 10–20%; no pooled estimate or validated program-quality trigger is calculated.; Expanded criteria may yield favorable selected-recipient outcomes, but the review does not prove equivalence or establish a quantitative safe expansion boundary.; PDF p 2 prose flow is internally inconsistent; visually checked Figure 1 shows 531 records minus 21 duplicates but 511 screened (arithmetic mismatch), then 25 full texts minus 2 excluded gives 23 included. Prose instead describes other incompatible intermediate counts. Harms: No independent treatment-harm comparison; donor risks and candidate dropout are not synthesized sufficiently to make policy decisions.</w:t>
            </w:r>
          </w:p>
          <w:p>
            <w:pPr>
              <w:pStyle w:val="Normal"/>
              <w:widowControl/>
              <w:spacing w:before="60" w:after="20"/>
            </w:pPr>
            <w:r>
              <w:rPr>
                <w:b/>
              </w:rPr>
              <w:t xml:space="preserve">Do not infer: </w:t>
            </w:r>
            <w:r>
              <w:t xml:space="preserve">Internal flow/count inconsistencies, missing study sample counts/outcome estimates, variable definitions and reliance on retrospective cohorts limit reproducibility.; Description of ASAN as an AFP/PIVKA-II scheme should not substitute for the original ASAN morphometric criteria or distinct later biological models.; Outcome targets &gt;70% OS/&lt;15% recurrence are not validated governance thresholds from this paper; reported recurrence range is not consistently below 15%.; This source should be background rather than principal numerical support for local quality triggers or equivalence claims. Time origin: No defensible common pooled denominator/time origin for comparing criteria. Selection eras, geography, donor routes and reporting definitions differ. Abstract total is an author-reported total, not independently reconciled.</w:t>
            </w:r>
          </w:p>
        </w:tc>
      </w:tr>
      <w:tr>
        <w:trPr/>
        <w:tc>
          <w:tcPr>
            <w:tcW w:w="3400" w:type="dxa"/>
            <w:tcMar>
              <w:top w:w="90" w:type="dxa"/>
              <w:left w:w="90" w:type="dxa"/>
              <w:bottom w:w="90" w:type="dxa"/>
              <w:right w:w="90" w:type="dxa"/>
            </w:tcMar>
          </w:tcPr>
          <w:p>
            <w:pPr>
              <w:pStyle w:val="Normal"/>
              <w:widowControl/>
              <w:spacing w:before="60" w:after="20"/>
            </w:pPr>
            <w:r>
              <w:rPr>
                <w:b/>
              </w:rPr>
              <w:t xml:space="preserve">Au 2018</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yLTI2XTwvRGlzcGxheVRleHQ+PHJlY29yZD48cmVjLW51bWJlcj4yNjwvcmVjLW51bWJlcj48Zm9yZWlnbi1rZXlzPjxrZXkgYXBwPSJFTiIgZGItaWQ9IjEyY2QxMTZmLWZkZjEtNTdkZi05ZjY3LWYxNGRlMTRmZTM3OSIgdGltZXN0YW1wPSIxNzkyOTIxMDgz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p>
          <w:p>
            <w:pPr>
              <w:pStyle w:val="Normal"/>
              <w:widowControl/>
              <w:spacing w:before="60" w:after="20"/>
            </w:pPr>
            <w:r>
              <w:t xml:space="preserve">Recurrent HCC after LT, including hepatic and extrahepatic oligorecurrence, disseminated recurrence, immunosuppression and older systemic-treatment literature.</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PDF p 3 immunosuppression; pp 4–6 systemic therapy and oligorecurrence; pp 7–8 graft surgery/LRT; p 9 algorithm and pulmonary outcomes; p 10 conclusions.</w:t>
            </w:r>
          </w:p>
          <w:p>
            <w:pPr>
              <w:pStyle w:val="Normal"/>
              <w:widowControl/>
              <w:spacing w:before="60" w:after="20"/>
            </w:pPr>
            <w:r>
              <w:t xml:space="preserve">Review depth: Complete main narrative, all 5 tables and management figure pp 1–10 read; relevant reference identities checked. Bibliography not independently full-text verified for every cited study.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comprehensive staging, MDT review and consideration of surgery/ablation for technically treatable oligorecurrence with adequate organ reserve.; Selected resection series report median survival approximately 28–65 months versus 5–15 months with systemic treatment only, but the review explicitly acknowledges major selection bias; this is not a randomized surgery effect.; Pulmonary series: 23/43 patients selected for resection, five-year survival 44.7% versus 12.8%; 4/23 remained disease-free over mean 33 months. Selection required complete resectability and adequate pulmonary reserve.; Local ablation, SBRT or selected intraarterial treatments may be alternatives; substantial portions of SBRT/Y90 evidence are extrapolated from nontransplant cohorts.; mTOR plus reduced CNI is proposed as a consideration; the paper acknowledges insufficient evidence for an optimal tacrolimus target in established recurrence. Harms: Graft resection series had substantial morbidity, especially infection; some 60–80% estimates include small mixed-indication graft-resection cohorts and should not be offered as a precise HCC-only risk. Sorafenib frequently required dose reduction/discontinuation; mTOR combinations had bleeding concerns.</w:t>
            </w:r>
          </w:p>
          <w:p>
            <w:pPr>
              <w:pStyle w:val="Normal"/>
              <w:widowControl/>
              <w:spacing w:before="60" w:after="20"/>
            </w:pPr>
            <w:r>
              <w:rPr>
                <w:b/>
              </w:rPr>
              <w:t xml:space="preserve">Do not infer: </w:t>
            </w:r>
            <w:r>
              <w:t xml:space="preserve">Older systemic-treatment era; do not import the paper's sorafenib-only pathway into a 2026 algorithm.; Standard universal PET/bone-scan ordering is not established by this center-based proposal. Stage according to current guidance and clinical suspicion.; Immunosuppression minimization must balance rejection risk; do not automatically reduce CNI in a patient about to receive exceptional post-LT ICI.; The review overstates some mTOR prevention conclusions relative to the long-term primary SiLVER endpoint; use current graft guideline/primary trial rather than this wording. Time origin: No new pooled population. Survival after recurrence, survival after a local procedure, post-LT prevention outcomes and nontransplant HCC outcomes are mixed in the review and must be kept separate.</w:t>
            </w:r>
          </w:p>
        </w:tc>
      </w:tr>
      <w:tr>
        <w:trPr/>
        <w:tc>
          <w:tcPr>
            <w:tcW w:w="3400" w:type="dxa"/>
            <w:tcMar>
              <w:top w:w="90" w:type="dxa"/>
              <w:left w:w="90" w:type="dxa"/>
              <w:bottom w:w="90" w:type="dxa"/>
              <w:right w:w="90" w:type="dxa"/>
            </w:tcMar>
          </w:tcPr>
          <w:p>
            <w:pPr>
              <w:pStyle w:val="Normal"/>
              <w:widowControl/>
              <w:spacing w:before="60" w:after="20"/>
            </w:pPr>
            <w:r>
              <w:rPr>
                <w:b/>
              </w:rPr>
              <w:t xml:space="preserve">Kulkarni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yMjwvUmVjTnVtPjxEaXNwbGF5VGV4dD5bVjEyLTIyXTwvRGlzcGxheVRleHQ+PHJlY29yZD48cmVjLW51bWJlcj4yMjwvcmVjLW51bWJlcj48Zm9yZWlnbi1rZXlzPjxrZXkgYXBwPSJFTiIgZGItaWQ9IjEyY2QxMTZmLWZkZjEtNTdkZi05ZjY3LWYxNGRlMTRmZTM3OSIgdGltZXN0YW1wPSIxNzkyOTIxMDgzIj4yMj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spacing w:before="60" w:after="20"/>
            </w:pPr>
            <w:r>
              <w:t xml:space="preserve">Mixed pre-LT ICI case series, a small pilot randomized study, post-LT case series, LRT studies and nontransplant systemic-therapy trials. These are different populations and overlapping evidence.</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PDF pp 6–8 Table 3; p 9 rejection/post-LT discussion; p 10/printed 594 Section 10; pp 11–12 preventive proposals and research gaps; pp 13–14 trial table/conclusion.</w:t>
            </w:r>
          </w:p>
          <w:p>
            <w:pPr>
              <w:pStyle w:val="Normal"/>
              <w:widowControl/>
              <w:spacing w:before="60" w:after="20"/>
            </w:pPr>
            <w:r>
              <w:t xml:space="preserve">Review depth: Complete substantive narrative text pp 1–14, all 6 tables and relevant bibliography references read; no independent reanalysis of its cited cohorts or external supplements.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individualized ICI use, acknowledgement of rejection, infection/decompensation and anti-VEGF wound-healing risk, and LDLT scheduling flexibility.; Section 10 describes center variation in corticosteroid with or without basiliximab induction. This supports documenting institutional practice, not declaring one regimen proven superior.; Suggested early tacrolimus 12–15 ng/mL, protocol biopsy and prophylactic plasma strategies are author proposals based on small heterogeneous reports; the review itself states that benefit of T-cell-directed induction is unknown.; Biomarkers and protocol biopsies are described as needing validation. The review does not establish a transplant-eligibility rule based on TP53, TERT, CTNNB1, ctDNA or fewer than five ICI cycles.</w:t>
            </w:r>
          </w:p>
          <w:p>
            <w:pPr>
              <w:pStyle w:val="Normal"/>
              <w:widowControl/>
              <w:spacing w:before="60" w:after="20"/>
            </w:pPr>
            <w:r>
              <w:rPr>
                <w:b/>
              </w:rPr>
              <w:t xml:space="preserve">Do not infer: </w:t>
            </w:r>
            <w:r>
              <w:t xml:space="preserve">Some categorical statements exceed the cited evidence: no response in post-LT HCC comes from tiny old series and is not consistent with the newer 52-recipient DeMartin study; use the updated primary extraction.; Section 10's tacrolimus target is not a society guideline and has not been prospectively shown to prevent ICI-associated rejection without excess toxicity.; Table 3 Guo washout direction contains a typographical inconsistency; do not copy it. The VITALITY 86%/14% numbers must not be presented as group rejection incidence.; Selection exclusion based solely on ≤4 ICI cycles, a mutation or imaging response category is not validated by this review.; Do not use the review's UNOS size inequalities instead of current official policy. Time origin: Use underlying primary studies for all quantitative consent/outcome claims. Table 3 mixes candidates and recipients; the 86%/14% VITALITY statement describes the distribution of seven rejection events by washout, not the probability of rejection in each exposure group.</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Discusses pre- and post-LT ICI reports, downstaging studies, PVTT cohorts, molecular biomarkers and nontransplant HCC/biliary cancer trials. These populations cannot be pooled into one transplant denominator.</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PDF pp 2–4 downstaging/PVTT; pp 6–8 pre-LT risk and limitations; p 9 Table 1; pp 10–13 post-LT risk, biomarkers and discussion; pp 14–16 references.</w:t>
            </w:r>
          </w:p>
          <w:p>
            <w:pPr>
              <w:pStyle w:val="Normal"/>
              <w:widowControl/>
              <w:spacing w:before="60" w:after="20"/>
            </w:pPr>
            <w:r>
              <w:t xml:space="preserve">Review depth: Full main text pp 1–13, Table 1 and relevant references pp 14–16 read; not a systematic primary-data reanalysis. Embedded figures were interpreted from labels/text, not used for numeric rules.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the practical scheduling advantage of LDLT for coordinating an ICI-free interval, while explicitly stating that rejection risk is not eliminated.; Summarizes feasibility of pre-LT ICI and substantial post-LT rejection concerns; recommends individualized MDT review and prospective study rather than broad routine adoption.; Describes graft PD-L1, ctDNA and other biomarkers as promising, but elsewhere uses more affirmative language than the available validation supports. Harms: Acute rejection, graft loss/fatal rejection, immune hepatitis and decompensation, infection, and anti-VEGF wound-healing risk are highlighted. Narrative ranges are not independent estimates and must be replaced by source-specific primary denominators for consent.</w:t>
            </w:r>
          </w:p>
          <w:p>
            <w:pPr>
              <w:pStyle w:val="Normal"/>
              <w:widowControl/>
              <w:spacing w:before="60" w:after="20"/>
            </w:pPr>
            <w:r>
              <w:rPr>
                <w:b/>
              </w:rPr>
              <w:t xml:space="preserve">Do not infer: </w:t>
            </w:r>
            <w:r>
              <w:t xml:space="preserve">PDF p 3 wrongly describes Natarajan's 311 candidate cohort as 311 transplant recipients; the reported 69%/58% three-year survival is candidate-level ITT, not post-LT survival. Main V8 extraction resolves this.; PDF p 3 labels Tabrizian's entire downstaged group 'UNOS-DS', although only 168/341 downstaged recipients met UNOS-DS at baseline in the primary paper.; Table 1 lists VITALITY 117 as the sample next to seven rejections without displaying 43 LT recipients; use 7/43, not 7/117.; PDF p 4 Soin outcome ordering is confusing and relies on the early-death-excluded 23 recipients. Use the primary 43-entry/25-LT/23-early-survivor distinction already extracted.; Post-LT PD-L1 staining is not a validated safe-use gate. 'Maximum3-month interval' in Discussion should not be imported: a conservative minimum washout is the intended clinical concept.; Nontransplant TOPAZ-1/KEYNOTE-966 and ctDNA abstracts cannot validate LT eligibility, omission of pCCA radiotherapy, or biomarker-driven transplant exclusion. Time origin: No independent aggregate recipient denominator. Underlying datasets overlap with VITALITY, Moeckli and earlier case series already extracted in the main HCC handoff.</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2022</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ItMjddPC9EaXNwbGF5VGV4dD48cmVjb3JkPjxyZWMtbnVtYmVyPjI3PC9yZWMtbnVtYmVyPjxmb3JlaWduLWtleXM+PGtleSBhcHA9IkVOIiBkYi1pZD0iMTJjZDExNmYtZmRmMS01N2RmLTlmNjctZjE0ZGUxNGZlMzc5IiB0aW1lc3RhbXA9IjE3OTI5MjEwODM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[V12-27]</w:t>
            </w:r>
            <w:r>
              <w:fldChar w:fldCharType="end"/>
            </w:r>
          </w:p>
          <w:p>
            <w:pPr>
              <w:pStyle w:val="Normal"/>
              <w:widowControl/>
              <w:spacing w:before="60" w:after="20"/>
            </w:pPr>
            <w:r>
              <w:t xml:space="preserve">Post-LT HCC recipients and recurrence cohorts, predominantly retrospective and selected for treatment according to disease burden, location, reserve and timing.</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PDF p 3/printed 4931 surveillance and immunosuppression; p 4 SiLVER/adjuvant and surgery; p 5 LRT/systemic therapy; pp 6–8 prognostic factors/Table 1/conclusion.</w:t>
            </w:r>
          </w:p>
          <w:p>
            <w:pPr>
              <w:pStyle w:val="Normal"/>
              <w:widowControl/>
              <w:spacing w:before="60" w:after="20"/>
            </w:pPr>
            <w:r>
              <w:t xml:space="preserve">Review depth: Complete main text pp 1–8, treatment figure and full Table 1 read; relevant references pp 9–11 checked. Remaining bibliography not independently verified study-by-study.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multiphase abdominal CT/MRI and chest CT for surveillance; additional brain/bone/PET studies are reserved for suspicion rather than routinely ordered in all recipients.; Describes risk-adapted surveillance and RETREAT as promising, while acknowledging no prospective proof of surveillance cost-effectiveness or optimal frequency/duration at that time.; Correctly notes that the 525-patient SiLVER randomized trial did not meet its long-term primary efficacy endpoint; early subgroup/time-limited signals are not universal long-term protection.; Supports selected surgery/ablation/local treatment for oligorecurrence; reports heterogeneous median post-recurrence survival around 12 months overall and much better selected surgical series.; RFA comparison 15 surgery versus 11 RFA: five-year OS 35% versus 28%, but DFS 16% versus 0%. TACE series 28 patients: 19 had at least 25% shrinkage, yet 26 had further intra-/extrahepatic disease by 6 months; five-year survival 0%. Local response is not equivalent to durable systemic control. Harms: Graft resection infection/morbidity, systemic-treatment toxicity and ICI-related rejection are emphasized. Monitoring is particularly important with combined mTOR and tyrosine-kinase inhibitors.</w:t>
            </w:r>
          </w:p>
          <w:p>
            <w:pPr>
              <w:pStyle w:val="Normal"/>
              <w:widowControl/>
              <w:spacing w:before="60" w:after="20"/>
            </w:pPr>
            <w:r>
              <w:rPr>
                <w:b/>
              </w:rPr>
              <w:t xml:space="preserve">Do not infer: </w:t>
            </w:r>
            <w:r>
              <w:t xml:space="preserve">No demonstrated optimal surveillance schedule. Its conclusion calls RETREAT cost-effective more strongly than its body supports; use 'risk stratification', not proven cost-effectiveness.; Old ICI sample of 14 with 11 deaths and 5 rejection deaths is superseded by newer primary post-LT data; do not retain it as a current denominator.; Selection of later, limited, surgically accessible recurrence confounds treatment comparisons.; No validated post-LT adjuvant anticancer regimen was established; any current departure requires newer primary evidence and governance review. Time origin: No original aggregate sample. Table 1 denominators are recurrence cohorts, not all transplanted HCC recipients; post-recurrence survival is not post-LT OS. Small local-treatment cohorts and systemic studies cannot be directly compared causally.</w:t>
            </w:r>
          </w:p>
        </w:tc>
      </w:tr>
      <w:tr>
        <w:trPr/>
        <w:tc>
          <w:tcPr>
            <w:tcW w:w="3400" w:type="dxa"/>
            <w:tcMar>
              <w:top w:w="90" w:type="dxa"/>
              <w:left w:w="90" w:type="dxa"/>
              <w:bottom w:w="90" w:type="dxa"/>
              <w:right w:w="90" w:type="dxa"/>
            </w:tcMar>
          </w:tcPr>
          <w:p>
            <w:pPr>
              <w:pStyle w:val="Normal"/>
              <w:widowControl/>
              <w:spacing w:before="60" w:after="20"/>
            </w:pPr>
            <w:r>
              <w:rPr>
                <w:b/>
              </w:rPr>
              <w:t xml:space="preserve">Fakhoury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</w:fldData>
              </w:fldChar>
            </w:r>
            <w:r>
              <w:instrText xml:space="preserve"> ADDIN EN.CITE.DATA </w:instrText>
            </w:r>
            <w:r>
              <w:fldChar w:fldCharType="end"/>
            </w:r>
            <w:r>
              <w:fldChar w:fldCharType="separate"/>
            </w:r>
            <w:r>
              <w:t xml:space="preserve">[V12-52]</w:t>
            </w:r>
            <w:r>
              <w:fldChar w:fldCharType="end"/>
            </w:r>
          </w:p>
          <w:p>
            <w:pPr>
              <w:pStyle w:val="Normal"/>
              <w:widowControl/>
              <w:spacing w:before="60" w:after="20"/>
            </w:pPr>
            <w:r>
              <w:t xml:space="preserve">Adult HCC-exception candidates listed during 2016–January 2024; 8,367 total: 5,472 TACE and 2,895 TARE. Excluded mixed/switching locoregional modalities, prior resection, retransplantation, multiorgan transplantation and LDLT. Approximately 93% of TACE and 91% of TARE patients were within Milan.</w:t>
            </w:r>
          </w:p>
          <w:p>
            <w:pPr>
              <w:pStyle w:val="Normal"/>
              <w:widowControl/>
              <w:spacing w:before="60" w:after="20"/>
            </w:pPr>
            <w:hyperlink r:id="rId84">
              <w:r>
                <w:rPr>
                  <w:color w:val="77230C"/>
                  <w:sz w:val="20"/>
                  <w:u w:val="single"/>
                </w:rPr>
                <w:t>Primary source</w:t>
              </w:r>
            </w:hyperlink>
            <w:r>
              <w:t xml:space="preserve"> | </w:t>
            </w:r>
            <w:hyperlink r:id="rId85">
              <w:r>
                <w:rPr>
                  <w:color w:val="77230C"/>
                  <w:sz w:val="20"/>
                  <w:u w:val="single"/>
                </w:rPr>
                <w:t>Full-text PDF</w:t>
              </w:r>
            </w:hyperlink>
          </w:p>
          <w:p>
            <w:pPr>
              <w:pStyle w:val="Normal"/>
              <w:widowControl/>
              <w:spacing w:before="60" w:after="20"/>
            </w:pPr>
            <w:r>
              <w:t xml:space="preserve">Locator: PDF pp 2–3 Methods; pp 4–6 cohort/outcomes; pp 7–10 Tables 1–5; pp 10–11 interpretation and limitations.</w:t>
            </w:r>
          </w:p>
          <w:p>
            <w:pPr>
              <w:pStyle w:val="Normal"/>
              <w:widowControl/>
              <w:spacing w:before="60" w:after="20"/>
            </w:pPr>
            <w:r>
              <w:t xml:space="preserve">Review depth: Complete main article: Methods, Results, Tables 1–5, Discussion and limitations read. Separate supplemental flow/analyses were not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TARE was associated with lower waitlist dropout: adjusted subdistribution HR 0.83 (95% CI 0.74–0.93).; Odds of complete pathologic necrosis were greater after TARE: OR 2.24 (95% CI 1.88–2.67).; No significant overall-survival difference: adjusted HR 0.94 (95% CI 0.85–1.03); post-LT sensitivity analysis HR 1.13 (0.81–1.56).; 327 post-LT recurrences were reported (6.5% overall; median follow-up 3 years); no significant modality difference, subdistribution HR 0.93 (0.74–1.17). Harms: This registry comparison does not provide a complete comparative toxicity profile; treatment modality must still account for liver reserve, anatomy and decompensation risk.</w:t>
            </w:r>
          </w:p>
          <w:p>
            <w:pPr>
              <w:pStyle w:val="Normal"/>
              <w:widowControl/>
              <w:spacing w:before="60" w:after="20"/>
            </w:pPr>
            <w:r>
              <w:rPr>
                <w:b/>
              </w:rPr>
              <w:t xml:space="preserve">Do not infer: </w:t>
            </w:r>
            <w:r>
              <w:t xml:space="preserve">Residual confounding by center, era, technical suitability, tumor burden and access; selecting sole-modality recipients excludes treatment switchers and may induce additional selection.; Explant necrosis missingness differed by treatment group. Noncancer waitlist removals were censored; the authors describe heterogeneous other-removal reasons.; Registry PVT in this exception-approved cohort was considered bland, not gross tumor invasion; this study is not evidence for transplantation after PVTT. Time origin: Waitlist dropout begins at listing, with LT a competing event; median waitlist follow-up 0.8 years. Overall survival begins first LRT, with LT a time-varying covariate; median follow-up 1.7 years TARE versus 2.3 TACE. Explant necrosis was available for 2,655 TACE and 1,275 TARE recipients, with missing data imputed. Do not reverse-calculate exact recipient counts from rounded percentages.</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yLTIzXTwvRGlzcGxheVRleHQ+PHJlY29yZD48cmVjLW51bWJlcj4yMzwvcmVjLW51bWJlcj48Zm9yZWlnbi1rZXlzPjxrZXkgYXBwPSJFTiIgZGItaWQ9IjEyY2QxMTZmLWZkZjEtNTdkZi05ZjY3LWYxNGRlMTRmZTM3OSIgdGltZXN0YW1wPSIxNzkyOTIxMD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86">
              <w:r>
                <w:rPr>
                  <w:color w:val="77230C"/>
                  <w:sz w:val="20"/>
                  <w:u w:val="single"/>
                </w:rPr>
                <w:t>Primary source</w:t>
              </w:r>
            </w:hyperlink>
            <w:r>
              <w:t xml:space="preserve"> | </w:t>
            </w:r>
            <w:hyperlink r:id="rId87">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Fernandes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</w:fldData>
              </w:fldChar>
            </w:r>
            <w:r>
              <w:instrText xml:space="preserve"> ADDIN EN.CITE.DATA </w:instrText>
            </w:r>
            <w:r>
              <w:fldChar w:fldCharType="end"/>
            </w:r>
            <w:r>
              <w:fldChar w:fldCharType="separate"/>
            </w:r>
            <w:r>
              <w:t xml:space="preserve">[V12-53]</w:t>
            </w:r>
            <w:r>
              <w:fldChar w:fldCharType="end"/>
            </w:r>
          </w:p>
          <w:p>
            <w:pPr>
              <w:pStyle w:val="Normal"/>
              <w:widowControl/>
              <w:spacing w:before="60" w:after="20"/>
            </w:pPr>
            <w:r>
              <w:t xml:space="preserve">476 patients and 664 lesions; 381 underwent LT. Frequently selected bridging/salvage candidates when other LRT was infeasible or unsuccessful. SBRT prescriptions were heterogeneous, approximately 21–51.4 Gy in 3–9 fractions.</w:t>
            </w:r>
          </w:p>
          <w:p>
            <w:pPr>
              <w:pStyle w:val="Normal"/>
              <w:widowControl/>
              <w:spacing w:before="60" w:after="20"/>
            </w:pPr>
            <w:hyperlink r:id="rId88">
              <w:r>
                <w:rPr>
                  <w:color w:val="77230C"/>
                  <w:sz w:val="20"/>
                  <w:u w:val="single"/>
                </w:rPr>
                <w:t>Primary source</w:t>
              </w:r>
            </w:hyperlink>
            <w:r>
              <w:t xml:space="preserve"> | </w:t>
            </w:r>
            <w:hyperlink r:id="rId89">
              <w:r>
                <w:rPr>
                  <w:color w:val="77230C"/>
                  <w:sz w:val="20"/>
                  <w:u w:val="single"/>
                </w:rPr>
                <w:t>Full-text PDF</w:t>
              </w:r>
            </w:hyperlink>
          </w:p>
          <w:p>
            <w:pPr>
              <w:pStyle w:val="Normal"/>
              <w:widowControl/>
              <w:spacing w:before="60" w:after="20"/>
            </w:pPr>
            <w:r>
              <w:t xml:space="preserve">Locator: PDF p 3 Methods; pp 4–5 study characteristics; pp 6–8 Table 2; pp 9–11 bridging-only Table 3; pp 12–13 Discussion/limitations.</w:t>
            </w:r>
          </w:p>
          <w:p>
            <w:pPr>
              <w:pStyle w:val="Normal"/>
              <w:widowControl/>
              <w:spacing w:before="60" w:after="20"/>
            </w:pPr>
            <w:r>
              <w:t xml:space="preserve">Review depth: Complete main article, study table, outcome tables, bridging-only analyses, Discussion and limitations read. Separate supplements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Radiologic objective response: 195/338 lesions; pooled 61.2% (95% CI 44.6–75.6). Pathologic complete response 148/408 lesions, pooled 35.5%; pathologic objective response 298/370, pooled 83.8%.; Five-year post-LT OS: 9 studies, 173/226, pooled 76.8% (67.2–84.3). Five-year DFS: 8 studies, 132/196, pooled 71.3% (50.1–85.9), substantial heterogeneity; endpoint definitions were not uniform.; Dropout 84/384, pooled 20.1% (15.0–26.5); waitlist mortality 48/336, pooled 8.2%; post-LT recurrence 40/270, pooled 12.4%. These are not a common fixed five-year candidate-risk estimate.; Severe adverse events 4/321, pooled 1.2% (0.4–4.0); RILD 4/184, pooled 1.8%; Child-Pugh progression 49/200, pooled 23.5% (15.2–34.5). Use the outcome table rather than the discussion's imprecise '&lt;1%' severe-toxicity statement. Harms: Clinically important liver-function deterioration can coexist with a low pooled severe-adverse-event rate. Baseline reserve and selection limit generalizability.</w:t>
            </w:r>
          </w:p>
          <w:p>
            <w:pPr>
              <w:pStyle w:val="Normal"/>
              <w:widowControl/>
              <w:spacing w:before="60" w:after="20"/>
            </w:pPr>
            <w:r>
              <w:rPr>
                <w:b/>
              </w:rPr>
              <w:t xml:space="preserve">Do not infer: </w:t>
            </w:r>
            <w:r>
              <w:t xml:space="preserve">Low/very-low certainty, small heterogeneous nonrandomized cohorts and recipient selection. No demonstrated superiority over ablation, TACE or TARE.; Do not equate lesion-level pathologic response with patient-level complete response or with the probability of reaching LT.; Persistent enhancement after radiation may not mean viable HCC, but any operational imaging rule should cite current radiation-specific LI-RADS treatment-response guidance, not this review's older algorithm. Time origin: Radiologic/pathologic response is lesion-level; survival is recipient-level after LT; dropout and waitlist mortality use candidate denominators with heterogeneous follow-up. Outcome-specific sample sizes must not be replaced by the overall 476.</w:t>
            </w:r>
          </w:p>
        </w:tc>
      </w:tr>
      <w:tr>
        <w:trPr/>
        <w:tc>
          <w:tcPr>
            <w:tcW w:w="3400" w:type="dxa"/>
            <w:tcMar>
              <w:top w:w="90" w:type="dxa"/>
              <w:left w:w="90" w:type="dxa"/>
              <w:bottom w:w="90" w:type="dxa"/>
              <w:right w:w="90" w:type="dxa"/>
            </w:tcMar>
          </w:tcPr>
          <w:p>
            <w:pPr>
              <w:pStyle w:val="Normal"/>
              <w:widowControl/>
              <w:spacing w:before="60" w:after="20"/>
            </w:pPr>
            <w:r>
              <w:rPr>
                <w:b/>
              </w:rPr>
              <w:t xml:space="preserve">NCCN Hepatocellular Carcinoma v2.2026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TJjZDExNmYtZmRmMS01N2RmLTlmNjctZjE0ZGUxNGZlMzc5IiB0aW1lc3RhbXA9IjE3OTI5MjEw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90">
              <w:r>
                <w:rPr>
                  <w:color w:val="77230C"/>
                  <w:sz w:val="20"/>
                  <w:u w:val="single"/>
                </w:rPr>
                <w:t>Primary source</w:t>
              </w:r>
            </w:hyperlink>
            <w:r>
              <w:t xml:space="preserve"> | </w:t>
            </w:r>
            <w:hyperlink r:id="rId91">
              <w:r>
                <w:rPr>
                  <w:color w:val="77230C"/>
                  <w:sz w:val="20"/>
                  <w:u w:val="single"/>
                </w:rPr>
                <w:t>Full-text PDF</w:t>
              </w:r>
            </w:hyperlink>
          </w:p>
          <w:p>
            <w:pPr>
              <w:pStyle w:val="Normal"/>
              <w:widowControl/>
              <w:spacing w:before="60" w:after="20"/>
            </w:pPr>
            <w:r>
              <w:t xml:space="preserve">Locator: HCC-4 PDF p10; HCC-F p22; MS-18–21 pp51–54; MS-43 p76.; HCC-4 footnote z PDF p10; HCC-F p22; MS-18–19 pp51–52.; MS-20–21 PDF pp53–54; HCC-4 footnote cc p10 points to current OPTN policies.; HCC-4 p10; HCC-G 1 of 2 p23; MS-20 p53.; HCC-G 1 of 2 PDF p23.; HCC-H 1 of 2 PDF p25.; HCC-3 PDF p9; HCC-4 p10/footnotes jj–kk; MS-43 p76.</w:t>
            </w:r>
          </w:p>
          <w:p>
            <w:pPr>
              <w:pStyle w:val="Normal"/>
              <w:widowControl/>
              <w:spacing w:before="60" w:after="20"/>
            </w:pPr>
            <w:r>
              <w:t xml:space="preserve">Review depth: Full relevant pages read: HCC-3 PDFp9; HCC-4 p10; HCC-F p22; HCC-G1of2 p23; HCC-H1–2of2 pp25–26; MS-18–21 pp51–54; MS-43 p76. Cover/version and selected workup/biopsy context checked. HCC-4 flowchart visually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transplant-center/MDT assessment for clinically suitable patients, including cadaveric or living donation. The algorithm lists T2-size tumor burden, AFP ≤1000, no macrovascular involvement and no extrahepatic disease; selected marginally beyond-criteria or successfully downstaged patients may be considered at transplant institutions. This clinical consideration does not grant a standardized MELD exception or waive current OPTN policy. Child-Pugh A and highly selected Child-Pugh B patients who are both resectable and transplantable need individualized MDT discussion. Do not turn the clinical option for resection or LT into automatic exception eligibility: the allocation pathway separately requires the applicable resection-ineligibility documentation. Describes UNOS-DS entry limits and successful reduction to Milan, while acknowledging heterogeneous studies and response-selected outcomes. Its four/five-lesion entry criterion is each lesion &lt;3 cm, not ≤3 cm. NCCN does not validate the high-risk pilot's composite AFP/burden/control-duration rules or transplantation for persistent PVTT. Supports bridging when indicated and individualized modality assessment; transplant-outcome comparisons have important nonrandomized/selection limitations. Existing standard paragraph 61 appropriately avoids mandating LRT for every candidate. Small suitably located tumors ≤3 cm are candidates for definitive ablation; arterial treatment and RT are other options based on technical suitability and reserve. Bilirubin &gt;3 mg/dL is a RELATIVE contraindication to arterially directed treatment unless selective segmental therapy is feasible. Bilirubin &gt;2 mg/dL raises Y90 radiation-induced liver disease risk; it is not stated as an absolute transplant contraindication. Selected use of arterial treatment for limited portal-vein tumor invasion does not establish subsequent transplant eligibility. RT guidance emphasizes sufficient uninvolved liver and normal-tissue constraints. Most data involve Child-Pugh A; growing B7 experience requires caution/dose adaptation, while B8-or-worse safety evidence is limited. These are treatment-safety considerations, not automatic transplant exclusion criteria. Supports MDT expertise, AFP, hepatitis assessment, liver-reserve labs, contrast abdominal/pelvic CT or MRI, chest CT and symptom-indicated bone scan. HCC-4 gives imaging/AFP every 3–6 months for 2 years then every 6 months, at least 5 years, with later follow-up risk-dependent. This broad post-treatment schedule is not proof of an optimal transplant-specific or RETREAT-specific schedule.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Clavien 2012</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ItMjFdPC9EaXNwbGF5VGV4dD48cmVjb3JkPjxyZWMtbnVtYmVyPjIxPC9yZWMtbnVtYmVyPjxmb3JlaWduLWtleXM+PGtleSBhcHA9IkVOIiBkYi1pZD0iMTJjZDExNmYtZmRmMS01N2RmLTlmNjctZjE0ZGUxNGZlMzc5IiB0aW1lc3RhbXA9IjE3OTI5MjEwODM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[V12-21]</w:t>
            </w:r>
            <w:r>
              <w:fldChar w:fldCharType="end"/>
            </w:r>
          </w:p>
          <w:p>
            <w:pPr>
              <w:pStyle w:val="Normal"/>
              <w:widowControl/>
              <w:spacing w:before="60" w:after="20"/>
            </w:pPr>
            <w:r>
              <w:t xml:space="preserve">HCC transplant selection, bridging/downstaging, LDLT, immunosuppression and recurrence. No new patient cohort or common outcome denominator.</w:t>
            </w:r>
          </w:p>
          <w:p>
            <w:pPr>
              <w:pStyle w:val="Normal"/>
              <w:widowControl/>
              <w:spacing w:before="60" w:after="20"/>
            </w:pPr>
            <w:hyperlink r:id="rId92">
              <w:r>
                <w:rPr>
                  <w:color w:val="77230C"/>
                  <w:sz w:val="20"/>
                  <w:u w:val="single"/>
                </w:rPr>
                <w:t>Primary source</w:t>
              </w:r>
            </w:hyperlink>
            <w:r>
              <w:t xml:space="preserve"> | </w:t>
            </w:r>
            <w:hyperlink r:id="rId93">
              <w:r>
                <w:rPr>
                  <w:color w:val="77230C"/>
                  <w:sz w:val="20"/>
                  <w:u w:val="single"/>
                </w:rPr>
                <w:t>Full-text PDF</w:t>
              </w:r>
            </w:hyperlink>
          </w:p>
          <w:p>
            <w:pPr>
              <w:pStyle w:val="Normal"/>
              <w:widowControl/>
              <w:spacing w:before="60" w:after="20"/>
            </w:pPr>
            <w:r>
              <w:t xml:space="preserve">Locator: PDF pp 8–9 downstaging/LDLT; p 10 post-LT management; p 11 recurrence; pp 19–21 recommendation tables, especially LDLT recommendations 28–31.</w:t>
            </w:r>
          </w:p>
          <w:p>
            <w:pPr>
              <w:pStyle w:val="Normal"/>
              <w:widowControl/>
              <w:spacing w:before="60" w:after="20"/>
            </w:pPr>
            <w:r>
              <w:t xml:space="preserve">Review depth: Complete substantive main manuscript pp 1–11 and recommendation tables pp 19–21 read; relevant reference labels checked. Conference-process figure and bibliography were not quantitatively analyzed; working-group supplements were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established LDLT expertise and donor-recipient double equipoise; informed donor evaluation remains independent of recipient benefit.; LDLT section describes considering an observation period such as 3 months to assess tumor behavior. It does not establish a universally mandatory minimum 3 months for every HCC LDLT candidate.; Downstaging section notes that at least 3 months after successful downstaging was often recommended; this is not a randomized optimization of observation time.; Historical noncirrhotic-HCC clinical discussion must not be converted into a waiver of current US exception criteria.; Immunosuppression conclusions predate the completed SiLVER trial and modern ICI cohorts. Harms: Living-donor morbidity/mortality and recipient recurrence risks require independent consideration. Rushed transplantation may obscure biology, but extending observation can also impose dropout/decompensation risk.</w:t>
            </w:r>
          </w:p>
          <w:p>
            <w:pPr>
              <w:pStyle w:val="Normal"/>
              <w:widowControl/>
              <w:spacing w:before="60" w:after="20"/>
            </w:pPr>
            <w:r>
              <w:rPr>
                <w:b/>
              </w:rPr>
              <w:t xml:space="preserve">Do not infer: </w:t>
            </w:r>
            <w:r>
              <w:t xml:space="preserve">The 2012 wording is less categorical than standard paragraph 102. Labeling 3 months as a local conservative default is defensible; presenting it as a universally established requirement is not.; Historical Table 20 has a T2 wording inconsistency ('three or more') compared with the main text; current policy must govern lesion counts.; This source cannot establish a universal 30-day mTOR rule, present-day ICI washout, modern systemic therapy or a current OPTN exception definition. Time origin: Not applicable to a consensus document. Any survival figures are evidence summarized from earlier cohorts and must not be counted as new patients.</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Mi0xNl08L0Rpc3BsYXlUZXh0PjxyZWNvcmQ+PHJlYy1udW1iZXI+MTY8L3JlYy1udW1iZXI+PGZvcmVpZ24ta2V5cz48a2V5IGFwcD0iRU4iIGRiLWlkPSIxMmNkMTE2Zi1mZGYxLTU3ZGYtOWY2Ny1mMTRkZTE0ZmUzNzkiIHRpbWVzdGFtcD0iMTc5MjkyMTA4My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94">
              <w:r>
                <w:rPr>
                  <w:color w:val="77230C"/>
                  <w:sz w:val="20"/>
                  <w:u w:val="single"/>
                </w:rPr>
                <w:t>Primary source</w:t>
              </w:r>
            </w:hyperlink>
            <w:r>
              <w:t xml:space="preserve"> | </w:t>
            </w:r>
            <w:hyperlink r:id="rId95">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</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Retrospective analysis of prospectively collected databases at five Italian centers, 2010–2023: 240 consecutive Y90-TARE-treated HCC/PVTT patients; 61 achieved sustained downstaging and 37 underwent deceased-donor LT.</w:t>
            </w:r>
          </w:p>
          <w:p>
            <w:pPr>
              <w:pStyle w:val="Normal"/>
              <w:widowControl/>
              <w:spacing w:before="60" w:after="20"/>
            </w:pPr>
            <w:r>
              <w:t xml:space="preserve">Selection: Age &lt;70 years, ECOG 0–1, measurable HCC, no extrahepatic disease, hepatic-vein involvement or main-portal-trunk involvement. Study anatomy: PV1 segmentary (84), PV2 secondary-order branch (76), PV3 first-order branch (80); these are all-240 baseline groups, not transplanted-grade denominators. No unified prespecified downstaging protocol. All centers required at least six months of radiological response after TARE; Center 3 required complete PVTT response, four centers accepted partial response. Tumor criteria varied between up-to-seven, Metroticket predicted five-year survival &gt;60%, and Milan; AFP ceilings varied &lt;100, &lt;400 and &lt;1,000 ng/mL. Median TARE-to-LT interval 17 months (IQR 10–19), not a required minimum; median listed wait 90 days (32–210). All grafts DBD/DCD, not LDLT.</w:t>
            </w:r>
          </w:p>
          <w:p>
            <w:pPr>
              <w:pStyle w:val="Normal"/>
              <w:widowControl/>
              <w:spacing w:before="60" w:after="20"/>
            </w:pPr>
            <w:hyperlink r:id="rId96">
              <w:r>
                <w:rPr>
                  <w:color w:val="77230C"/>
                  <w:sz w:val="20"/>
                  <w:u w:val="single"/>
                </w:rPr>
                <w:t>Primary source</w:t>
              </w:r>
            </w:hyperlink>
            <w:r>
              <w:t xml:space="preserve"> | </w:t>
            </w:r>
            <w:hyperlink r:id="rId97">
              <w:r>
                <w:rPr>
                  <w:color w:val="77230C"/>
                  <w:sz w:val="20"/>
                  <w:u w:val="single"/>
                </w:rPr>
                <w:t>Full-text PDF</w:t>
              </w:r>
            </w:hyperlink>
          </w:p>
          <w:p>
            <w:pPr>
              <w:pStyle w:val="Normal"/>
              <w:widowControl/>
              <w:spacing w:before="60" w:after="20"/>
            </w:pPr>
            <w:r>
              <w:t xml:space="preserve">Locator: Complete 12-page PDF including visual abstract. Methods/selection p4; endpoint definitions and all-240 outcomes p5; flow, central review and recipient results p6/Figure 1; baseline anatomy p7/Table 1; harms/explant p8/Table 2; survival and at-risk counts p9/Figure 3; exploratory subgroups p10/Table 3; response uncertainty and limitations p11.</w:t>
            </w:r>
          </w:p>
          <w:p>
            <w:pPr>
              <w:pStyle w:val="Normal"/>
              <w:widowControl/>
              <w:spacing w:before="60" w:after="20"/>
            </w:pPr>
            <w:r>
              <w:t xml:space="preserve">Review depth: Complete 12-page main PDF read and figures/tables visually checked; title and DOI matched. External supplementary tables S1/S2 and STROBE checklist not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Pathway: 118/240 had CR/PR within six months; 61/240 (25.4%) had sustained downstaging, 37/240 (15.4%) reached LT. Of 61 downstaged, 24 were not listed: nine age/comorbidity, six conversion to resection, nine refusal/noncompliance. No dropout among the 37 actually listed does not mean no pathway attrition. All-240 survival from TARE: median OS 14.1 months (reported interval 11.1–17.1); one/three/five-year OS 53.7%/27.2%/18.9%, with 184 deaths and median follow-up 65.2 months. Among all 37 recipients, including four perioperative deaths: three/five-year OS 67.2%/61.6%; six recurrences (16.2% crude count); author RFS 79.3% at three and five years, censoring death without recurrence. Median recipient follow-up 56.7 months; only eight patients at risk at five years in Figure 3A. Complete pathological necrosis 21/37 (56.7%); persistent pathological macrovascular invasion 11/37, including viable vascular thrombus in 8/37 (21.6%). Among the 61 downstaged, cancer-related death at 60 months from successful downstaging was 15.8% with LT versus 45.2% without LT (sHR 0.221, 95% CI 0.071–0.683; p=0.0087); this is an observational association. No grade-specific recipient survival/recurrence estimates are reported in the main paper. Harms: Post-TARE liver decompensation occurred in 56/240 (23.3%); symptomatic radiation-induced lung toxicity in 3/240 (1.2%), not classified as treatment-related mortality. LT major Dindo–Clavien grade ≥3 complications occurred in 13/37 (35.1%); four perioperative deaths among 37 recipients (10.8%, calculated). The paper does not specify a 30- or 90-day definition for those four deaths.</w:t>
            </w:r>
          </w:p>
          <w:p>
            <w:pPr>
              <w:pStyle w:val="Normal"/>
              <w:widowControl/>
              <w:spacing w:before="60" w:after="20"/>
            </w:pPr>
            <w:r>
              <w:rPr>
                <w:b/>
              </w:rPr>
              <w:t xml:space="preserve">Do not infer: </w:t>
            </w:r>
            <w:r>
              <w:t xml:space="preserve">Selected-recipient outcomes cannot be applied to all 240 entrants. No randomized comparator against contemporary systemic therapy; heterogeneous treatment/selection, calendar-era effects, comorbidity and response differences, and timing/selection bias remain. Non-LT downstaged patients had fewer complete responses (29.2% vs 62.2%); a time-dependent LT/immortal-time correction is not explicitly described. Radiological extent changed on central review in 16/31 available cases (four upgrades, twelve downgrades). Post-radiation enhancement may complicate vascular-response interpretation, and response did not exclude viable PVTT. Table 3 univariable age &gt;65 (n=4), AFP &gt;100 (n=3), size &gt;50 mm (n=6), and partial best response (n=14) associations do not validate hard eligibility cutoffs; no variable significantly predicted RFS. Figure 1's ineffective-downstaging subcounts 18+27+14 sum to 59, not the stated 57; the 14-death label is printed as 6.3%. Use the coherent main cohort totals without inventing a correction. Possible overlap with earlier Italian reports must not be pooled as independent evidence. External tables S1/S2 and STROBE supplement were not available for this review. Endpoint/time origin: Three distinct origins: TARE for all-240 OS; date of successful downstaging for the 61-patient cancer-death comparison; LT for recipient OS/RFS. RFS treats recurrence as the event and censors death without recurrence: 79.3% is neither alive-and-recurrence-free survival nor a competing-risk estimate. Six recurrences/37 is a crude follow-up count, not five-year recurrence risk. Do not calculate recurrence incidence as 1 minus RFS. The recipient-only competing-risk cancer-death estimate at five years is 17%, not the 15.8% comparison starting at downstaging.</w:t>
            </w:r>
          </w:p>
        </w:tc>
      </w:tr>
    </w:tbl>
    <w:p>
      <w:pPr>
        <w:pStyle w:val="Normal"/>
        <w:widowControl/>
      </w:pPr>
      <w:hyperlink r:id="rId98">
        <w:r>
          <w:rPr>
            <w:color w:val="77230C"/>
            <w:sz w:val="20"/>
            <w:u w:val="single"/>
          </w:rPr>
          <w:t>Separate evidence/alignment meeting record — OPEN boundary decisions</w:t>
        </w:r>
      </w:hyperlink>
    </w:p>
    <w:p>
      <w:pPr>
        <w:pStyle w:val="Normal"/>
        <w:widowControl/>
      </w:pPr>
      <w:r>
        <w:t xml:space="preserve">Evidence review record: </w:t>
      </w:r>
      <w:hyperlink r:id="rId99">
        <w:r>
          <w:rPr>
            <w:color w:val="77230C"/>
            <w:sz w:val="20"/>
            <w:u w:val="single"/>
          </w:rPr>
          <w:t>Five analyst comments and reconciliation</w:t>
        </w:r>
      </w:hyperlink>
      <w:r>
        <w:t xml:space="preserve">  |  </w:t>
      </w:r>
      <w:hyperlink r:id="rId100">
        <w:r>
          <w:rPr>
            <w:color w:val="77230C"/>
            <w:sz w:val="20"/>
            <w:u w:val="single"/>
          </w:rPr>
          <w:t>Prospective outcomes dataset</w:t>
        </w:r>
      </w:hyperlink>
    </w:p>
    <w:p>
      <w:pPr>
        <w:pStyle w:val="Heading1"/>
        <w:keepNext/>
        <w:widowControl/>
        <w:keepLines/>
      </w:pPr>
      <w:r>
        <w:t xml:space="preserve">Revision note</w:t>
      </w:r>
    </w:p>
    <w:p>
      <w:pPr>
        <w:pStyle w:val="Normal"/>
        <w:keepNext/>
        <w:widowControl/>
        <w:keepLines/>
      </w:pPr>
      <w:r>
        <w:t xml:space="preserve">Revised 2026-10-24 14:05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Several summaries mixed baseline and ever-beyond-Milan populations, selected-recipient and entry outcomes, or excluded early deaths. </w:t>
      </w:r>
      <w:r>
        <w:rPr>
          <w:b/>
        </w:rPr>
        <w:t xml:space="preserve">Correction and reason: </w:t>
      </w:r>
      <w:r>
        <w:t xml:space="preserve">Corrected VITALITY, ImmunoXXL and PVTT denominators, time origins, rejection/retransplant harms and Soin all-recipient outcomes. Cutoffs remain OPEN local proposals, not validated safety thresholds.</w:t>
      </w:r>
    </w:p>
    <w:p>
      <w:pPr>
        <w:pStyle w:val="Normal"/>
        <w:keepNext/>
        <w:widowControl/>
        <w:keepLines/>
      </w:pPr>
      <w:r>
        <w:rPr>
          <w:b/>
        </w:rPr>
        <w:t xml:space="preserve">Problem: </w:t>
      </w:r>
      <w:r>
        <w:t xml:space="preserve">Sposito 2026 was cited from the abstract and its PDF was listed as missing; death handling, pathway attrition, surgical harms and nonuniform selection were unresolved. </w:t>
      </w:r>
      <w:r>
        <w:rPr>
          <w:b/>
        </w:rPr>
        <w:t xml:space="preserve">Correction and reason: </w:t>
      </w:r>
      <w:r>
        <w:t xml:space="preserve">Added and reviewed the 94457 full PDF. Separated 240 treated, 61 downstaged and 37 transplanted; clarified death-censored RFS, six recurrences, four perioperative deaths and 13 major complications; qualified observation/anatomy thresholds and removed the missing-PDF claim. Standard eligibility is unchanged and HCC-B2 remains OPEN.</w:t>
      </w:r>
    </w:p>
    <w:p>
      <w:pPr>
        <w:pStyle w:val="Normal"/>
        <w:keepNext/>
        <w:widowControl/>
        <w:keepLines/>
      </w:pPr>
      <w:r>
        <w:rPr>
          <w:b/>
        </w:rPr>
        <w:t xml:space="preserve">Problem: </w:t>
      </w:r>
      <w:r>
        <w:t xml:space="preserve">Active branch tumor thrombus and imaging-policy language could misclassify the standard route. </w:t>
      </w:r>
      <w:r>
        <w:rPr>
          <w:b/>
        </w:rPr>
        <w:t xml:space="preserve">Correction and reason: </w:t>
      </w:r>
      <w:r>
        <w:t xml:space="preserve">Excluded active tumor macrovascular invasion; clarified CEUS versus required CT/MRI staging, strict four/five-lesion downstaging dimensions and the recurrence exception category.</w:t>
      </w:r>
    </w:p>
    <w:p>
      <w:pPr>
        <w:pStyle w:val="Normal"/>
        <w:keepNext/>
        <w:widowControl/>
        <w:keepLines/>
      </w:pPr>
      <w:r>
        <w:rPr>
          <w:b/>
        </w:rPr>
        <w:t xml:space="preserve">Problem: </w:t>
      </w:r>
      <w:r>
        <w:t xml:space="preserve">Observation intervals and quality targets appeared more firmly established than their evidence supports. </w:t>
      </w:r>
      <w:r>
        <w:rPr>
          <w:b/>
        </w:rPr>
        <w:t xml:space="preserve">Correction and reason: </w:t>
      </w:r>
      <w:r>
        <w:t xml:space="preserve">Labeled local LDLT timing and audit targets as proposed; separated recipient-only studies from LDLT intention-to-treat evidence.</w:t>
      </w:r>
    </w:p>
    <w:p>
      <w:pPr>
        <w:pStyle w:val="Normal"/>
        <w:keepNext/>
        <w:widowControl/>
        <w:keepLines/>
      </w:pPr>
      <w:r>
        <w:rPr>
          <w:b/>
        </w:rPr>
        <w:t xml:space="preserve">Problem: </w:t>
      </w:r>
      <w:r>
        <w:t xml:space="preserve">Post-LT ICI counseling used pre-LT data, and everolimus risk was understated. </w:t>
      </w:r>
      <w:r>
        <w:rPr>
          <w:b/>
        </w:rPr>
        <w:t xml:space="preserve">Correction and reason: </w:t>
      </w:r>
      <w:r>
        <w:t xml:space="preserve">Used the post-LT rejection/death cohort, individualized immunosuppression and restored the everolimus hepatic-artery-thrombosis warning and day-30 safety floor.</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2"/>
        <w:widowControl/>
        <w:keepNext/>
      </w:pPr>
      <w:r>
        <w:t xml:space="preserve">Revision note — balanced treatment content</w:t>
      </w:r>
    </w:p>
    <w:p>
      <w:pPr>
        <w:pStyle w:val="Normal"/>
        <w:widowControl/>
        <w:spacing w:after="120"/>
        <w:keepLines/>
      </w:pPr>
      <w:r>
        <w:t xml:space="preserve">2026-10-24 18:47 CDT. Problem: broad treatment summaries were duplicated inside transplant pathways. Correction: retain transplant-specific treatment intent, response and safety instructions; link general regimen comparisons to the cancer roadmap. Rationale: one balanced treatment reference without duplicating individual study highlights. Eligibility, allocation rules and B-decision cutoffs are unchanged.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467">
        <w:r>
          <w:rPr>
            <w:color w:val="0563C1"/>
            <w:u w:val="single"/>
          </w:rPr>
          <w:t>Source</w:t>
        </w:r>
      </w:hyperlink>
      <w:r>
        <w:t xml:space="preserve"> | </w:t>
      </w:r>
      <w:hyperlink r:id="rId468">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469">
        <w:r>
          <w:rPr>
            <w:color w:val="0563C1"/>
            <w:u w:val="single"/>
          </w:rPr>
          <w:t>Source</w:t>
        </w:r>
      </w:hyperlink>
      <w:r>
        <w:t xml:space="preserve"> | </w:t>
      </w:r>
      <w:hyperlink r:id="rId470">
        <w:r>
          <w:rPr>
            <w:color w:val="0563C1"/>
            <w:u w:val="single"/>
          </w:rPr>
          <w:t>Full-text access</w:t>
        </w:r>
      </w:hyperlink>
    </w:p>
    <w:p>
      <w:pPr>
        <w:pStyle w:val="Normal"/>
        <w:widowControl/>
        <w:spacing w:after="120"/>
      </w:pPr>
      <w:r>
        <w:t xml:space="preserve"/>
      </w:r>
      <w:r>
        <w:t xml:space="preserve">[V12-3] National Comprehensive Cancer Network. NCCN Clinical Practice Guidelines in Oncology: Hepatocellular Carcinoma, Version 2.2026 (14 August 2026). . 2026. </w:t>
      </w:r>
      <w:hyperlink r:id="rId471">
        <w:r>
          <w:rPr>
            <w:color w:val="0563C1"/>
            <w:u w:val="single"/>
          </w:rPr>
          <w:t>Source</w:t>
        </w:r>
      </w:hyperlink>
      <w:r>
        <w:t xml:space="preserve"> | </w:t>
      </w:r>
      <w:hyperlink r:id="rId472">
        <w:r>
          <w:rPr>
            <w:color w:val="0563C1"/>
            <w:u w:val="single"/>
          </w:rPr>
          <w:t>Full-text access</w:t>
        </w:r>
      </w:hyperlink>
    </w:p>
    <w:p>
      <w:pPr>
        <w:pStyle w:val="Normal"/>
        <w:widowControl/>
        <w:spacing w:after="120"/>
      </w:pPr>
      <w:r>
        <w:t xml:space="preserve"/>
      </w:r>
      <w:r>
        <w:t xml:space="preserve">[V12-4] Dove, Lorna; Chadha, Ryan M.; Lai, Jennifer C.; et al. AASLD AST Practice Guideline on adult liver transplantation: Candidate evaluation. Hepatology. 2026; 83(6):1609-1645. </w:t>
      </w:r>
      <w:hyperlink r:id="rId473">
        <w:r>
          <w:rPr>
            <w:color w:val="0563C1"/>
            <w:u w:val="single"/>
          </w:rPr>
          <w:t>Source</w:t>
        </w:r>
      </w:hyperlink>
      <w:r>
        <w:t xml:space="preserve"> | </w:t>
      </w:r>
      <w:hyperlink r:id="rId474">
        <w:r>
          <w:rPr>
            <w:color w:val="0563C1"/>
            <w:u w:val="single"/>
          </w:rPr>
          <w:t>Full-text access</w:t>
        </w:r>
      </w:hyperlink>
    </w:p>
    <w:p>
      <w:pPr>
        <w:pStyle w:val="Normal"/>
        <w:widowControl/>
        <w:spacing w:after="120"/>
      </w:pPr>
      <w:r>
        <w:t xml:space="preserve"/>
      </w:r>
      <w:r>
        <w:t xml:space="preserve">[V12-5] Singal, Amit G; Llovet, Josep M; Yarchoan, Mark; et al. AASLD Practice Guidance on prevention, diagnosis, and treatment of hepatocellular carcinoma. Hepatology (Baltimore, Md.). 2023; 78(6):1922-1965. </w:t>
      </w:r>
      <w:hyperlink r:id="rId475">
        <w:r>
          <w:rPr>
            <w:color w:val="0563C1"/>
            <w:u w:val="single"/>
          </w:rPr>
          <w:t>Source</w:t>
        </w:r>
      </w:hyperlink>
      <w:r>
        <w:t xml:space="preserve"> | </w:t>
      </w:r>
      <w:hyperlink r:id="rId476">
        <w:r>
          <w:rPr>
            <w:color w:val="0563C1"/>
            <w:u w:val="single"/>
          </w:rPr>
          <w:t>Full-text access</w:t>
        </w:r>
      </w:hyperlink>
    </w:p>
    <w:p>
      <w:pPr>
        <w:pStyle w:val="Normal"/>
        <w:widowControl/>
        <w:spacing w:after="120"/>
      </w:pPr>
      <w:r>
        <w:t xml:space="preserve"/>
      </w:r>
      <w:r>
        <w:t xml:space="preserve">[V12-6] Sposito, Carlo; Berardi, Giammauro; Viganò, Mauro; et al. Outcomes of Y90-radioembolization as downstaging to liver transplantation in patients with hepatocellular carcinoma and tumoral portal vein thrombosis. Hepatology. 2026. </w:t>
      </w:r>
      <w:hyperlink r:id="rId477">
        <w:r>
          <w:rPr>
            <w:color w:val="0563C1"/>
            <w:u w:val="single"/>
          </w:rPr>
          <w:t>Source</w:t>
        </w:r>
      </w:hyperlink>
      <w:r>
        <w:t xml:space="preserve"> | </w:t>
      </w:r>
      <w:hyperlink r:id="rId478">
        <w:r>
          <w:rPr>
            <w:color w:val="0563C1"/>
            <w:u w:val="single"/>
          </w:rPr>
          <w:t>Full-text access</w:t>
        </w:r>
      </w:hyperlink>
    </w:p>
    <w:p>
      <w:pPr>
        <w:pStyle w:val="Normal"/>
        <w:widowControl/>
        <w:spacing w:after="120"/>
      </w:pPr>
      <w:r>
        <w:t xml:space="preserve"/>
      </w:r>
      <w:r>
        <w:t xml:space="preserve">[V12-7] Mehta N; Dodge JL; Roberts JP; et al. Alpha-Fetoprotein Decrease from &gt; 1,000 to &lt; 500 ng/mL in Patients with Hepatocellular Carcinoma Leads to Improved Posttransplant Outcomes.. Hepatology (Baltimore, Md.). 2019; 69(3):1193-1205. </w:t>
      </w:r>
      <w:hyperlink r:id="rId479">
        <w:r>
          <w:rPr>
            <w:color w:val="0563C1"/>
            <w:u w:val="single"/>
          </w:rPr>
          <w:t>Source</w:t>
        </w:r>
      </w:hyperlink>
      <w:r>
        <w:t xml:space="preserve"> | </w:t>
      </w:r>
      <w:hyperlink r:id="rId480">
        <w:r>
          <w:rPr>
            <w:color w:val="0563C1"/>
            <w:u w:val="single"/>
          </w:rPr>
          <w:t>Full-text access</w:t>
        </w:r>
      </w:hyperlink>
    </w:p>
    <w:p>
      <w:pPr>
        <w:pStyle w:val="Normal"/>
        <w:widowControl/>
        <w:spacing w:after="120"/>
      </w:pPr>
      <w:r>
        <w:t xml:space="preserve"/>
      </w:r>
      <w:r>
        <w:t xml:space="preserve">[V12-8] Halazun KJ; Rosenblatt RE; Mehta N; et al. Dynamic α-Fetoprotein Response and Outcomes After Liver Transplant for Hepatocellular Carcinoma.. JAMA surgery. 2021; 156(6):559-567. </w:t>
      </w:r>
      <w:hyperlink r:id="rId481">
        <w:r>
          <w:rPr>
            <w:color w:val="0563C1"/>
            <w:u w:val="single"/>
          </w:rPr>
          <w:t>Source</w:t>
        </w:r>
      </w:hyperlink>
      <w:r>
        <w:t xml:space="preserve"> | </w:t>
      </w:r>
      <w:hyperlink r:id="rId482">
        <w:r>
          <w:rPr>
            <w:color w:val="0563C1"/>
            <w:u w:val="single"/>
          </w:rPr>
          <w:t>Full-text access</w:t>
        </w:r>
      </w:hyperlink>
    </w:p>
    <w:p>
      <w:pPr>
        <w:pStyle w:val="Normal"/>
        <w:widowControl/>
        <w:spacing w:after="120"/>
      </w:pPr>
      <w:r>
        <w:t xml:space="preserve"/>
      </w:r>
      <w:r>
        <w:t xml:space="preserve">[V12-9] Moriyama M; Tateishi R; Matsushita Y; et al. Management and Prognosis of HCC Patients With Elevated Tumor Markers but no Imaging Recurrence After Radiofrequency Ablation.. Cancer medicine. 2026; 15(4):e71812. </w:t>
      </w:r>
      <w:hyperlink r:id="rId483">
        <w:r>
          <w:rPr>
            <w:color w:val="0563C1"/>
            <w:u w:val="single"/>
          </w:rPr>
          <w:t>Source</w:t>
        </w:r>
      </w:hyperlink>
      <w:r>
        <w:t xml:space="preserve"> | </w:t>
      </w:r>
      <w:hyperlink r:id="rId484">
        <w:r>
          <w:rPr>
            <w:color w:val="0563C1"/>
            <w:u w:val="single"/>
          </w:rPr>
          <w:t>Full-text access</w:t>
        </w:r>
      </w:hyperlink>
    </w:p>
    <w:p>
      <w:pPr>
        <w:pStyle w:val="Normal"/>
        <w:widowControl/>
        <w:spacing w:after="120"/>
      </w:pPr>
      <w:r>
        <w:t xml:space="preserve"/>
      </w:r>
      <w:r>
        <w:t xml:space="preserve">[V12-10]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485">
        <w:r>
          <w:rPr>
            <w:color w:val="0563C1"/>
            <w:u w:val="single"/>
          </w:rPr>
          <w:t>Source</w:t>
        </w:r>
      </w:hyperlink>
      <w:r>
        <w:t xml:space="preserve"> | </w:t>
      </w:r>
      <w:hyperlink r:id="rId486">
        <w:r>
          <w:rPr>
            <w:color w:val="0563C1"/>
            <w:u w:val="single"/>
          </w:rPr>
          <w:t>Full-text access</w:t>
        </w:r>
      </w:hyperlink>
    </w:p>
    <w:p>
      <w:pPr>
        <w:pStyle w:val="Normal"/>
        <w:widowControl/>
        <w:spacing w:after="120"/>
      </w:pPr>
      <w:r>
        <w:t xml:space="preserve"/>
      </w:r>
      <w:r>
        <w:t xml:space="preserve">[V12-11] Giard JM; Mehta N; Dodge JL; et al. Alpha-Fetoprotein Slope &gt;7.5 ng/mL per Month Predicts Microvascular Invasion and Tumor Recurrence After Liver Transplantation for Hepatocellular Carcinoma.. Transplantation. 2018; 102(5):816-822. </w:t>
      </w:r>
      <w:hyperlink r:id="rId487">
        <w:r>
          <w:rPr>
            <w:color w:val="0563C1"/>
            <w:u w:val="single"/>
          </w:rPr>
          <w:t>Source</w:t>
        </w:r>
      </w:hyperlink>
      <w:r>
        <w:t xml:space="preserve"> | </w:t>
      </w:r>
      <w:hyperlink r:id="rId488">
        <w:r>
          <w:rPr>
            <w:color w:val="0563C1"/>
            <w:u w:val="single"/>
          </w:rPr>
          <w:t>Full-text access</w:t>
        </w:r>
      </w:hyperlink>
    </w:p>
    <w:p>
      <w:pPr>
        <w:pStyle w:val="Normal"/>
        <w:widowControl/>
        <w:spacing w:after="120"/>
      </w:pPr>
      <w:r>
        <w:t xml:space="preserve"/>
      </w:r>
      <w:r>
        <w:t xml:space="preserve">[V12-12] Sangro, Bruno; Argemi, Josepmaria; Ronot, Maxime; et al. EASL Clinical Practice Guidelines on the management of hepatocellular carcinoma. Journal of Hepatology. 2025; 82(2):315-374. </w:t>
      </w:r>
      <w:hyperlink r:id="rId489">
        <w:r>
          <w:rPr>
            <w:color w:val="0563C1"/>
            <w:u w:val="single"/>
          </w:rPr>
          <w:t>Source</w:t>
        </w:r>
      </w:hyperlink>
      <w:r>
        <w:t xml:space="preserve"> | </w:t>
      </w:r>
      <w:hyperlink r:id="rId490">
        <w:r>
          <w:rPr>
            <w:color w:val="0563C1"/>
            <w:u w:val="single"/>
          </w:rPr>
          <w:t>Full-text access</w:t>
        </w:r>
      </w:hyperlink>
    </w:p>
    <w:p>
      <w:pPr>
        <w:pStyle w:val="Normal"/>
        <w:widowControl/>
        <w:spacing w:after="120"/>
      </w:pPr>
      <w:r>
        <w:t xml:space="preserve"/>
      </w:r>
      <w:r>
        <w:t xml:space="preserve">[V12-13] Apisarnthanarax, Smith; Barry, Aisling; Cao, Minsong; et al. External Beam Radiation Therapy for Primary Liver Cancers: An ASTRO Clinical Practice Guideline. Practical Radiation Oncology. 2022; 12(1):28-51. </w:t>
      </w:r>
      <w:hyperlink r:id="rId491">
        <w:r>
          <w:rPr>
            <w:color w:val="0563C1"/>
            <w:u w:val="single"/>
          </w:rPr>
          <w:t>Source</w:t>
        </w:r>
      </w:hyperlink>
      <w:r>
        <w:t xml:space="preserve"> | </w:t>
      </w:r>
      <w:hyperlink r:id="rId492">
        <w:r>
          <w:rPr>
            <w:color w:val="0563C1"/>
            <w:u w:val="single"/>
          </w:rPr>
          <w:t>Full-text access</w:t>
        </w:r>
      </w:hyperlink>
    </w:p>
    <w:p>
      <w:pPr>
        <w:pStyle w:val="Normal"/>
        <w:widowControl/>
        <w:spacing w:after="120"/>
      </w:pPr>
      <w:r>
        <w:t xml:space="preserve"/>
      </w:r>
      <w:r>
        <w:t xml:space="preserve">[V12-14] American College of Radiology. LI RADS CT MRI Radiation Treatment Response Assessment version 2024 Core. ACR. 2024. </w:t>
      </w:r>
      <w:hyperlink r:id="rId493">
        <w:r>
          <w:rPr>
            <w:color w:val="0563C1"/>
            <w:u w:val="single"/>
          </w:rPr>
          <w:t>Source</w:t>
        </w:r>
      </w:hyperlink>
      <w:r>
        <w:t xml:space="preserve"> | </w:t>
      </w:r>
      <w:hyperlink r:id="rId494">
        <w:r>
          <w:rPr>
            <w:color w:val="0563C1"/>
            <w:u w:val="single"/>
          </w:rPr>
          <w:t>Full-text access</w:t>
        </w:r>
      </w:hyperlink>
    </w:p>
    <w:p>
      <w:pPr>
        <w:pStyle w:val="Normal"/>
        <w:widowControl/>
        <w:spacing w:after="120"/>
      </w:pPr>
      <w:r>
        <w:t xml:space="preserve"/>
      </w:r>
      <w:r>
        <w:t xml:space="preserve">[V12-15] Moeckli, Beat; Wassmer, Charles-Henri; El Hajji, Sofia; et al. Determining safe washout period for immune checkpoint inhibitors prior to liver transplantation: An international retrospective cohort study. Hepatology. 2025; 82(5):1122-1137. </w:t>
      </w:r>
      <w:hyperlink r:id="rId495">
        <w:r>
          <w:rPr>
            <w:color w:val="0563C1"/>
            <w:u w:val="single"/>
          </w:rPr>
          <w:t>Source</w:t>
        </w:r>
      </w:hyperlink>
      <w:r>
        <w:t xml:space="preserve"> | </w:t>
      </w:r>
      <w:hyperlink r:id="rId496">
        <w:r>
          <w:rPr>
            <w:color w:val="0563C1"/>
            <w:u w:val="single"/>
          </w:rPr>
          <w:t>Full-text access</w:t>
        </w:r>
      </w:hyperlink>
    </w:p>
    <w:p>
      <w:pPr>
        <w:pStyle w:val="Normal"/>
        <w:widowControl/>
        <w:spacing w:after="120"/>
      </w:pPr>
      <w:r>
        <w:t xml:space="preserve"/>
      </w:r>
      <w:r>
        <w:t xml:space="preserve">[V12-16] Tabrizian, Parissa; Holzner, Matthew L.; Ajmera, Veeral; et al. Intention-to-treat outcomes of patients with hepatocellular carcinoma receiving immunotherapy before liver transplant: The multicenter VITALITY study. Journal of Hepatology. 2025; 82(3):512-522. </w:t>
      </w:r>
      <w:hyperlink r:id="rId497">
        <w:r>
          <w:rPr>
            <w:color w:val="0563C1"/>
            <w:u w:val="single"/>
          </w:rPr>
          <w:t>Source</w:t>
        </w:r>
      </w:hyperlink>
      <w:r>
        <w:t xml:space="preserve"> | </w:t>
      </w:r>
      <w:hyperlink r:id="rId498">
        <w:r>
          <w:rPr>
            <w:color w:val="0563C1"/>
            <w:u w:val="single"/>
          </w:rPr>
          <w:t>Full-text access</w:t>
        </w:r>
      </w:hyperlink>
    </w:p>
    <w:p>
      <w:pPr>
        <w:pStyle w:val="Normal"/>
        <w:widowControl/>
        <w:spacing w:after="120"/>
      </w:pPr>
      <w:r>
        <w:t xml:space="preserve"/>
      </w:r>
      <w:r>
        <w:t xml:space="preserve">[V12-17] Genentech. Avastin bevacizumab US prescribing information. US prescribing information. 2022. </w:t>
      </w:r>
      <w:hyperlink r:id="rId499">
        <w:r>
          <w:rPr>
            <w:color w:val="0563C1"/>
            <w:u w:val="single"/>
          </w:rPr>
          <w:t>Source</w:t>
        </w:r>
      </w:hyperlink>
      <w:r>
        <w:t xml:space="preserve"> | </w:t>
      </w:r>
      <w:hyperlink r:id="rId500">
        <w:r>
          <w:rPr>
            <w:color w:val="0563C1"/>
            <w:u w:val="single"/>
          </w:rPr>
          <w:t>Full-text access</w:t>
        </w:r>
      </w:hyperlink>
    </w:p>
    <w:p>
      <w:pPr>
        <w:pStyle w:val="Normal"/>
        <w:widowControl/>
        <w:spacing w:after="120"/>
      </w:pPr>
      <w:r>
        <w:t xml:space="preserve"/>
      </w:r>
      <w:r>
        <w:t xml:space="preserve">[V12-18] Wassmer, Charles-Henri; El Hajji, Sofia; Papazarkadas, Xenofon; et al. Immunotherapy and Liver Transplantation: A Narrative Review of Basic and Clinical Data. Cancers. 2023; 15(18):4574. </w:t>
      </w:r>
      <w:hyperlink r:id="rId501">
        <w:r>
          <w:rPr>
            <w:color w:val="0563C1"/>
            <w:u w:val="single"/>
          </w:rPr>
          <w:t>Source</w:t>
        </w:r>
      </w:hyperlink>
      <w:r>
        <w:t xml:space="preserve"> | </w:t>
      </w:r>
      <w:hyperlink r:id="rId502">
        <w:r>
          <w:rPr>
            <w:color w:val="0563C1"/>
            <w:u w:val="single"/>
          </w:rPr>
          <w:t>Full-text access</w:t>
        </w:r>
      </w:hyperlink>
    </w:p>
    <w:p>
      <w:pPr>
        <w:pStyle w:val="Normal"/>
        <w:widowControl/>
        <w:spacing w:after="120"/>
      </w:pPr>
      <w:r>
        <w:t xml:space="preserve"/>
      </w:r>
      <w:r>
        <w:t xml:space="preserve">[V12-19] Xu, Edison; Tabrizian, Parissa; Gutierrez, Julio; et al. Downstaging of hepatocellular carcinoma before liver transplantation: Results from a national multicenter prospective cohort study. Hepatology (Baltimore, Md.). 2025; 82(3):612-625. </w:t>
      </w:r>
      <w:hyperlink r:id="rId503">
        <w:r>
          <w:rPr>
            <w:color w:val="0563C1"/>
            <w:u w:val="single"/>
          </w:rPr>
          <w:t>Source</w:t>
        </w:r>
      </w:hyperlink>
      <w:r>
        <w:t xml:space="preserve"> | </w:t>
      </w:r>
      <w:hyperlink r:id="rId504">
        <w:r>
          <w:rPr>
            <w:color w:val="0563C1"/>
            <w:u w:val="single"/>
          </w:rPr>
          <w:t>Full-text access</w:t>
        </w:r>
      </w:hyperlink>
    </w:p>
    <w:p>
      <w:pPr>
        <w:pStyle w:val="Normal"/>
        <w:widowControl/>
        <w:spacing w:after="120"/>
      </w:pPr>
      <w:r>
        <w:t xml:space="preserve"/>
      </w:r>
      <w:r>
        <w:t xml:space="preserve">[V12-20] Abdelrahim, Maen; Esmail, Abdullah; Al-Judaibi, Bandar; et al. Peri-transplant use of immune checkpoint inhibitors in hepatocellular carcinoma: a transplant oncology perspective on safety, timing, post-transplant management, and future directions. Frontiers in Oncology. 2026; 16. </w:t>
      </w:r>
      <w:hyperlink r:id="rId505">
        <w:r>
          <w:rPr>
            <w:color w:val="0563C1"/>
            <w:u w:val="single"/>
          </w:rPr>
          <w:t>Source</w:t>
        </w:r>
      </w:hyperlink>
      <w:r>
        <w:t xml:space="preserve"> | </w:t>
      </w:r>
      <w:hyperlink r:id="rId506">
        <w:r>
          <w:rPr>
            <w:color w:val="0563C1"/>
            <w:u w:val="single"/>
          </w:rPr>
          <w:t>Full-text access</w:t>
        </w:r>
      </w:hyperlink>
    </w:p>
    <w:p>
      <w:pPr>
        <w:pStyle w:val="Normal"/>
        <w:widowControl/>
        <w:spacing w:after="120"/>
      </w:pPr>
      <w:r>
        <w:t xml:space="preserve"/>
      </w:r>
      <w:r>
        <w:t xml:space="preserve">[V12-21] Clavien, Pierre-Alain; Lesurtel, Mickael; Bossuyt, Patrick MM; et al. Recommendations for liver transplantation for hepatocellular carcinoma: an international consensus conference report. The Lancet Oncology. 2012; 13(1):e11-e22. </w:t>
      </w:r>
      <w:hyperlink r:id="rId507">
        <w:r>
          <w:rPr>
            <w:color w:val="0563C1"/>
            <w:u w:val="single"/>
          </w:rPr>
          <w:t>Source</w:t>
        </w:r>
      </w:hyperlink>
      <w:r>
        <w:t xml:space="preserve"> | </w:t>
      </w:r>
      <w:hyperlink r:id="rId508">
        <w:r>
          <w:rPr>
            <w:color w:val="0563C1"/>
            <w:u w:val="single"/>
          </w:rPr>
          <w:t>Full-text access</w:t>
        </w:r>
      </w:hyperlink>
    </w:p>
    <w:p>
      <w:pPr>
        <w:pStyle w:val="Normal"/>
        <w:widowControl/>
        <w:spacing w:after="120"/>
      </w:pPr>
      <w:r>
        <w:t xml:space="preserve"/>
      </w:r>
      <w:r>
        <w:t xml:space="preserve">[V12-22] Kulkarni, Anand V.; Singal, Amit G.; Reddy, K. Rajender. Review Article: Liver Transplantation for Hepatocellular Carcinoma in the Era of Immune Checkpoint Inhibitors. Alimentary Pharmacology &amp; Therapeutics. 2025; 62(6):585-601. </w:t>
      </w:r>
      <w:hyperlink r:id="rId509">
        <w:r>
          <w:rPr>
            <w:color w:val="0563C1"/>
            <w:u w:val="single"/>
          </w:rPr>
          <w:t>Source</w:t>
        </w:r>
      </w:hyperlink>
      <w:r>
        <w:t xml:space="preserve"> | </w:t>
      </w:r>
      <w:hyperlink r:id="rId510">
        <w:r>
          <w:rPr>
            <w:color w:val="0563C1"/>
            <w:u w:val="single"/>
          </w:rPr>
          <w:t>Full-text access</w:t>
        </w:r>
      </w:hyperlink>
    </w:p>
    <w:p>
      <w:pPr>
        <w:pStyle w:val="Normal"/>
        <w:widowControl/>
        <w:spacing w:after="120"/>
      </w:pPr>
      <w:r>
        <w:t xml:space="preserve"/>
      </w:r>
      <w:r>
        <w:t xml:space="preserve">[V12-23] Te, Helen S.; Agopian, Vatche G.; Demetris, Anthony J.; et al. AASLD AST Practice Guideline on adult liver transplantation: Diagnosis and management of graft-related complications. Liver Transplantation. 2025; 32(3):444-490. </w:t>
      </w:r>
      <w:hyperlink r:id="rId511">
        <w:r>
          <w:rPr>
            <w:color w:val="0563C1"/>
            <w:u w:val="single"/>
          </w:rPr>
          <w:t>Source</w:t>
        </w:r>
      </w:hyperlink>
      <w:r>
        <w:t xml:space="preserve"> | </w:t>
      </w:r>
      <w:hyperlink r:id="rId512">
        <w:r>
          <w:rPr>
            <w:color w:val="0563C1"/>
            <w:u w:val="single"/>
          </w:rPr>
          <w:t>Full-text access</w:t>
        </w:r>
      </w:hyperlink>
    </w:p>
    <w:p>
      <w:pPr>
        <w:pStyle w:val="Normal"/>
        <w:widowControl/>
        <w:spacing w:after="120"/>
      </w:pPr>
      <w:r>
        <w:t xml:space="preserve"/>
      </w:r>
      <w:r>
        <w:t xml:space="preserve">[V12-24] Novartis Pharmaceuticals Corporation. Zortress (everolimus) US prescribing information, updated 16 September 2026. DailyMed. 2026. </w:t>
      </w:r>
      <w:hyperlink r:id="rId513">
        <w:r>
          <w:rPr>
            <w:color w:val="0563C1"/>
            <w:u w:val="single"/>
          </w:rPr>
          <w:t>Source</w:t>
        </w:r>
      </w:hyperlink>
      <w:r>
        <w:t xml:space="preserve"> | </w:t>
      </w:r>
      <w:hyperlink r:id="rId514">
        <w:r>
          <w:rPr>
            <w:color w:val="0563C1"/>
            <w:u w:val="single"/>
          </w:rPr>
          <w:t>Full-text access</w:t>
        </w:r>
      </w:hyperlink>
    </w:p>
    <w:p>
      <w:pPr>
        <w:pStyle w:val="Normal"/>
        <w:widowControl/>
        <w:spacing w:after="120"/>
      </w:pPr>
      <w:r>
        <w:t xml:space="preserve"/>
      </w:r>
      <w:r>
        <w:t xml:space="preserve">[V12-25] Geissler, Edward K; Schnitzbauer, Andreas A; Zülke, Carl; et al. Sirolimus Use in Liver Transplant Recipients With Hepatocellular Carcinoma: A Randomized, Multicenter, Open-Label Phase 3 Trial. Transplantation. 2016; 100(1):116-25. </w:t>
      </w:r>
      <w:hyperlink r:id="rId515">
        <w:r>
          <w:rPr>
            <w:color w:val="0563C1"/>
            <w:u w:val="single"/>
          </w:rPr>
          <w:t>Source</w:t>
        </w:r>
      </w:hyperlink>
      <w:r>
        <w:t xml:space="preserve"> | </w:t>
      </w:r>
      <w:hyperlink r:id="rId516">
        <w:r>
          <w:rPr>
            <w:color w:val="0563C1"/>
            <w:u w:val="single"/>
          </w:rPr>
          <w:t>Full-text access</w:t>
        </w:r>
      </w:hyperlink>
    </w:p>
    <w:p>
      <w:pPr>
        <w:pStyle w:val="Normal"/>
        <w:widowControl/>
        <w:spacing w:after="120"/>
      </w:pPr>
      <w:r>
        <w:t xml:space="preserve"/>
      </w:r>
      <w:r>
        <w:t xml:space="preserve">[V12-26] Au, Kin Pan; Chok, Kenneth Siu Ho. Multidisciplinary approach for post-liver transplant recurrence of hepatocellular carcinoma: A proposed management algorithm. World Journal of Gastroenterology. 2018; 24(45):5081-5094. </w:t>
      </w:r>
      <w:hyperlink r:id="rId517">
        <w:r>
          <w:rPr>
            <w:color w:val="0563C1"/>
            <w:u w:val="single"/>
          </w:rPr>
          <w:t>Source</w:t>
        </w:r>
      </w:hyperlink>
      <w:r>
        <w:t xml:space="preserve"> | </w:t>
      </w:r>
      <w:hyperlink r:id="rId518">
        <w:r>
          <w:rPr>
            <w:color w:val="0563C1"/>
            <w:u w:val="single"/>
          </w:rPr>
          <w:t>Full-text access</w:t>
        </w:r>
      </w:hyperlink>
    </w:p>
    <w:p>
      <w:pPr>
        <w:pStyle w:val="Normal"/>
        <w:widowControl/>
        <w:spacing w:after="120"/>
      </w:pPr>
      <w:r>
        <w:t xml:space="preserve"/>
      </w:r>
      <w:r>
        <w:t xml:space="preserve">[V12-27] Sposito, Carlo; Citterio, Davide; Virdis, Matteo; et al. Therapeutic strategies for post-transplant recurrence of hepatocellular carcinoma. World Journal of Gastroenterology. 2022; 28(34):4929-4942. </w:t>
      </w:r>
      <w:hyperlink r:id="rId519">
        <w:r>
          <w:rPr>
            <w:color w:val="0563C1"/>
            <w:u w:val="single"/>
          </w:rPr>
          <w:t>Source</w:t>
        </w:r>
      </w:hyperlink>
      <w:r>
        <w:t xml:space="preserve"> | </w:t>
      </w:r>
      <w:hyperlink r:id="rId520">
        <w:r>
          <w:rPr>
            <w:color w:val="0563C1"/>
            <w:u w:val="single"/>
          </w:rPr>
          <w:t>Full-text access</w:t>
        </w:r>
      </w:hyperlink>
    </w:p>
    <w:p>
      <w:pPr>
        <w:pStyle w:val="Normal"/>
        <w:widowControl/>
        <w:spacing w:after="120"/>
      </w:pPr>
      <w:r>
        <w:t xml:space="preserve"/>
      </w:r>
      <w:r>
        <w:t xml:space="preserve">[V12-28] De Martin, Eleonora; Antonini, Teresa Maria; Uguen, Thomas; et al. Immune checkpoint inhibitors after liver transplantation: The role of immunosuppressive management. American Journal of Transplantation. 2026; 26(8):1958-1971. </w:t>
      </w:r>
      <w:hyperlink r:id="rId521">
        <w:r>
          <w:rPr>
            <w:color w:val="0563C1"/>
            <w:u w:val="single"/>
          </w:rPr>
          <w:t>Source</w:t>
        </w:r>
      </w:hyperlink>
      <w:r>
        <w:t xml:space="preserve"> | </w:t>
      </w:r>
      <w:hyperlink r:id="rId522">
        <w:r>
          <w:rPr>
            <w:color w:val="0563C1"/>
            <w:u w:val="single"/>
          </w:rPr>
          <w:t>Full-text access</w:t>
        </w:r>
      </w:hyperlink>
    </w:p>
    <w:p>
      <w:pPr>
        <w:pStyle w:val="Normal"/>
        <w:widowControl/>
        <w:spacing w:after="120"/>
      </w:pPr>
      <w:r>
        <w:t xml:space="preserve"/>
      </w:r>
      <w:r>
        <w:t xml:space="preserve">[V12-29] Budiman, Deny; Chu, Chong Woo; Oh, Jongwook; et al. Liver Transplantation Criteria for Hepatocellular Carcinoma: A Systematic Review. Transplantation Proceedings. 2026; 58(4):748-754. </w:t>
      </w:r>
      <w:hyperlink r:id="rId523">
        <w:r>
          <w:rPr>
            <w:color w:val="0563C1"/>
            <w:u w:val="single"/>
          </w:rPr>
          <w:t>Source</w:t>
        </w:r>
      </w:hyperlink>
      <w:r>
        <w:t xml:space="preserve"> | </w:t>
      </w:r>
      <w:hyperlink r:id="rId524">
        <w:r>
          <w:rPr>
            <w:color w:val="0563C1"/>
            <w:u w:val="single"/>
          </w:rPr>
          <w:t>Full-text access</w:t>
        </w:r>
      </w:hyperlink>
    </w:p>
    <w:p>
      <w:pPr>
        <w:pStyle w:val="Normal"/>
        <w:widowControl/>
        <w:spacing w:after="120"/>
      </w:pPr>
      <w:r>
        <w:t xml:space="preserve"/>
      </w:r>
      <w:r>
        <w:t xml:space="preserve">[V12-30] Assalino, Michela; Terraz, Sylvain; Grat, Michal; et al. Liver transplantation for hepatocellular carcinoma after successful treatment of macrovascular invasion – a multi‐center retrospective cohort study. Transplant International. 2020; 33(5):567-575. </w:t>
      </w:r>
      <w:hyperlink r:id="rId525">
        <w:r>
          <w:rPr>
            <w:color w:val="0563C1"/>
            <w:u w:val="single"/>
          </w:rPr>
          <w:t>Source</w:t>
        </w:r>
      </w:hyperlink>
      <w:r>
        <w:t xml:space="preserve"> | </w:t>
      </w:r>
      <w:hyperlink r:id="rId526">
        <w:r>
          <w:rPr>
            <w:color w:val="0563C1"/>
            <w:u w:val="single"/>
          </w:rPr>
          <w:t>Full-text access</w:t>
        </w:r>
      </w:hyperlink>
    </w:p>
    <w:p>
      <w:pPr>
        <w:pStyle w:val="Normal"/>
        <w:widowControl/>
        <w:spacing w:after="120"/>
      </w:pPr>
      <w:r>
        <w:t xml:space="preserve"/>
      </w:r>
      <w:r>
        <w:t xml:space="preserve">[V12-31] Abecassis, M.M.; Fisher, R.A.; Olthoff, K.M.; et al. Complications of Living Donor Hepatic Lobectomy—A Comprehensive Report. American Journal of Transplantation. 2012; 12(5):1208-1217. </w:t>
      </w:r>
      <w:hyperlink r:id="rId527">
        <w:r>
          <w:rPr>
            <w:color w:val="0563C1"/>
            <w:u w:val="single"/>
          </w:rPr>
          <w:t>Source</w:t>
        </w:r>
      </w:hyperlink>
      <w:r>
        <w:t xml:space="preserve"> | </w:t>
      </w:r>
      <w:hyperlink r:id="rId528">
        <w:r>
          <w:rPr>
            <w:color w:val="0563C1"/>
            <w:u w:val="single"/>
          </w:rPr>
          <w:t>Full-text access</w:t>
        </w:r>
      </w:hyperlink>
    </w:p>
    <w:p>
      <w:pPr>
        <w:pStyle w:val="Normal"/>
        <w:widowControl/>
        <w:spacing w:after="120"/>
      </w:pPr>
      <w:r>
        <w:t xml:space="preserve"/>
      </w:r>
      <w:r>
        <w:t xml:space="preserve">[V12-32] DiMartini, A.; Dew, M.A.; Liu, Q.; et al. Social and Financial Outcomes of Living Liver Donation: A Prospective Investigation Within the Adult-to-Adult Living Donor Liver Transplantation Cohort Study 2 (A2ALL-2). American Journal of Transplantation. 2017; 17(4):1081-1096. </w:t>
      </w:r>
      <w:hyperlink r:id="rId529">
        <w:r>
          <w:rPr>
            <w:color w:val="0563C1"/>
            <w:u w:val="single"/>
          </w:rPr>
          <w:t>Source</w:t>
        </w:r>
      </w:hyperlink>
      <w:r>
        <w:t xml:space="preserve"> | </w:t>
      </w:r>
      <w:hyperlink r:id="rId530">
        <w:r>
          <w:rPr>
            <w:color w:val="0563C1"/>
            <w:u w:val="single"/>
          </w:rPr>
          <w:t>Full-text access</w:t>
        </w:r>
      </w:hyperlink>
    </w:p>
    <w:p>
      <w:pPr>
        <w:pStyle w:val="Normal"/>
        <w:widowControl/>
        <w:spacing w:after="120"/>
      </w:pPr>
      <w:r>
        <w:t xml:space="preserve"/>
      </w:r>
      <w:r>
        <w:t xml:space="preserve">[V12-33] Xiao, Jieling; Zeng, Rebecca Wenling; Lim, Wen Hui; et al. The incidence of adverse outcome in donors after living donor liver transplantation: A meta-analysis of 60,829 donors. Liver Transplantation. 2024; 30(5):493-504. </w:t>
      </w:r>
      <w:hyperlink r:id="rId531">
        <w:r>
          <w:rPr>
            <w:color w:val="0563C1"/>
            <w:u w:val="single"/>
          </w:rPr>
          <w:t>Source</w:t>
        </w:r>
      </w:hyperlink>
      <w:r>
        <w:t xml:space="preserve"> | </w:t>
      </w:r>
      <w:hyperlink r:id="rId532">
        <w:r>
          <w:rPr>
            <w:color w:val="0563C1"/>
            <w:u w:val="single"/>
          </w:rPr>
          <w:t>Full-text access</w:t>
        </w:r>
      </w:hyperlink>
    </w:p>
    <w:p>
      <w:pPr>
        <w:pStyle w:val="Normal"/>
        <w:widowControl/>
        <w:spacing w:after="120"/>
      </w:pPr>
      <w:r>
        <w:t xml:space="preserve"/>
      </w:r>
      <w:r>
        <w:t xml:space="preserve">[V12-34] Allen, Elisa; Taylor, Rhiannon; Gimson, Alexander; et al. Transplant benefit-based offering of deceased donor livers in the United Kingdom. Journal of Hepatology. 2024; 81(3):471-478. </w:t>
      </w:r>
      <w:hyperlink r:id="rId533">
        <w:r>
          <w:rPr>
            <w:color w:val="0563C1"/>
            <w:u w:val="single"/>
          </w:rPr>
          <w:t>Source</w:t>
        </w:r>
      </w:hyperlink>
      <w:r>
        <w:t xml:space="preserve"> | </w:t>
      </w:r>
      <w:hyperlink r:id="rId534">
        <w:r>
          <w:rPr>
            <w:color w:val="0563C1"/>
            <w:u w:val="single"/>
          </w:rPr>
          <w:t>Full-text access</w:t>
        </w:r>
      </w:hyperlink>
    </w:p>
    <w:p>
      <w:pPr>
        <w:pStyle w:val="Normal"/>
        <w:widowControl/>
        <w:spacing w:after="120"/>
      </w:pPr>
      <w:r>
        <w:t xml:space="preserve"/>
      </w:r>
      <w:r>
        <w:t xml:space="preserve">[V12-35] Goudsmit, Ben F.J.; Ilaria Prosepe, ; Tushuizen, Maarten E.; et al. Survival benefit from liver transplantation for patients with and without hepatocellular carcinoma. JHEP Reports. 2023; 5(12):100907. </w:t>
      </w:r>
      <w:hyperlink r:id="rId535">
        <w:r>
          <w:rPr>
            <w:color w:val="0563C1"/>
            <w:u w:val="single"/>
          </w:rPr>
          <w:t>Source</w:t>
        </w:r>
      </w:hyperlink>
      <w:r>
        <w:t xml:space="preserve"> | </w:t>
      </w:r>
      <w:hyperlink r:id="rId536">
        <w:r>
          <w:rPr>
            <w:color w:val="0563C1"/>
            <w:u w:val="single"/>
          </w:rPr>
          <w:t>Full-text access</w:t>
        </w:r>
      </w:hyperlink>
    </w:p>
    <w:p>
      <w:pPr>
        <w:pStyle w:val="Normal"/>
        <w:widowControl/>
        <w:spacing w:after="120"/>
      </w:pPr>
      <w:r>
        <w:t xml:space="preserve"/>
      </w:r>
      <w:r>
        <w:t xml:space="preserve">[V12-36] Huang, Annsa C.; Dodge, Jennifer L.; Yao, Francis Y.; et al. National Experience on Waitlist Outcomes for Down-Staging of Hepatocellular Carcinoma: High Dropout Rate in All-Comers. Clinical Gastroenterology and Hepatology. 2023; 21(6):1581-1589. </w:t>
      </w:r>
      <w:hyperlink r:id="rId537">
        <w:r>
          <w:rPr>
            <w:color w:val="0563C1"/>
            <w:u w:val="single"/>
          </w:rPr>
          <w:t>Source</w:t>
        </w:r>
      </w:hyperlink>
      <w:r>
        <w:t xml:space="preserve"> | </w:t>
      </w:r>
      <w:hyperlink r:id="rId538">
        <w:r>
          <w:rPr>
            <w:color w:val="0563C1"/>
            <w:u w:val="single"/>
          </w:rPr>
          <w:t>Full-text access</w:t>
        </w:r>
      </w:hyperlink>
    </w:p>
    <w:p>
      <w:pPr>
        <w:pStyle w:val="Normal"/>
        <w:widowControl/>
        <w:spacing w:after="120"/>
      </w:pPr>
      <w:r>
        <w:t xml:space="preserve"/>
      </w:r>
      <w:r>
        <w:t xml:space="preserve">[V12-37] Lai, Quirino; Vitale, Alessandro; Iesari, Samuele; et al. Intention-to-Treat Survival Benefit of Liver Transplantation in Patients With Hepatocellular Cancer. Hepatology. 2017; 66(6):1910-1919. </w:t>
      </w:r>
      <w:hyperlink r:id="rId539">
        <w:r>
          <w:rPr>
            <w:color w:val="0563C1"/>
            <w:u w:val="single"/>
          </w:rPr>
          <w:t>Source</w:t>
        </w:r>
      </w:hyperlink>
      <w:r>
        <w:t xml:space="preserve"> | </w:t>
      </w:r>
      <w:hyperlink r:id="rId540">
        <w:r>
          <w:rPr>
            <w:color w:val="0563C1"/>
            <w:u w:val="single"/>
          </w:rPr>
          <w:t>Full-text access</w:t>
        </w:r>
      </w:hyperlink>
    </w:p>
    <w:p>
      <w:pPr>
        <w:pStyle w:val="Normal"/>
        <w:widowControl/>
        <w:spacing w:after="120"/>
      </w:pPr>
      <w:r>
        <w:t xml:space="preserve"/>
      </w:r>
      <w:r>
        <w:t xml:space="preserve">[V12-38] Liu, Hao; Zhang, Wei; Di, Mengyang; et al. Survival benefit associated with liver transplantation for hepatocellular carcinoma based on tumor burden scores at listing. Hepatology Communications. 2025; 9(1):e0619. </w:t>
      </w:r>
      <w:hyperlink r:id="rId541">
        <w:r>
          <w:rPr>
            <w:color w:val="0563C1"/>
            <w:u w:val="single"/>
          </w:rPr>
          <w:t>Source</w:t>
        </w:r>
      </w:hyperlink>
      <w:r>
        <w:t xml:space="preserve"> | </w:t>
      </w:r>
      <w:hyperlink r:id="rId542">
        <w:r>
          <w:rPr>
            <w:color w:val="0563C1"/>
            <w:u w:val="single"/>
          </w:rPr>
          <w:t>Full-text access</w:t>
        </w:r>
      </w:hyperlink>
    </w:p>
    <w:p>
      <w:pPr>
        <w:pStyle w:val="Normal"/>
        <w:widowControl/>
        <w:spacing w:after="120"/>
      </w:pPr>
      <w:r>
        <w:t xml:space="preserve"/>
      </w:r>
      <w:r>
        <w:t xml:space="preserve">[V12-39] Mehta, Neil; Frenette, Catherine; Tabrizian, Parissa; et al. Downstaging Outcomes for Hepatocellular Carcinoma: Results From the Multicenter Evaluation of Reduction in Tumor Size before Liver Transplantation (MERITS-LT) Consortium. Gastroenterology. 2021; 161(5):1502-1512. </w:t>
      </w:r>
      <w:hyperlink r:id="rId543">
        <w:r>
          <w:rPr>
            <w:color w:val="0563C1"/>
            <w:u w:val="single"/>
          </w:rPr>
          <w:t>Source</w:t>
        </w:r>
      </w:hyperlink>
      <w:r>
        <w:t xml:space="preserve"> | </w:t>
      </w:r>
      <w:hyperlink r:id="rId544">
        <w:r>
          <w:rPr>
            <w:color w:val="0563C1"/>
            <w:u w:val="single"/>
          </w:rPr>
          <w:t>Full-text access</w:t>
        </w:r>
      </w:hyperlink>
    </w:p>
    <w:p>
      <w:pPr>
        <w:pStyle w:val="Normal"/>
        <w:widowControl/>
        <w:spacing w:after="120"/>
      </w:pPr>
      <w:r>
        <w:t xml:space="preserve"/>
      </w:r>
      <w:r>
        <w:t xml:space="preserve">[V12-40] Natarajan, Brahma; Tabrizian, Parissa; Hoteit, Maarouf; et al. Downstaging hepatocellular carcinoma before liver transplantation: A multicenter analysis of the “all-comers” protocol in the Multicenter Evaluation of Reduction in Tumor Size before Liver Transplantation (MERITS-LT) consortium. American Journal of Transplantation. 2023; 23(11):1771-1780. </w:t>
      </w:r>
      <w:hyperlink r:id="rId545">
        <w:r>
          <w:rPr>
            <w:color w:val="0563C1"/>
            <w:u w:val="single"/>
          </w:rPr>
          <w:t>Source</w:t>
        </w:r>
      </w:hyperlink>
      <w:r>
        <w:t xml:space="preserve"> | </w:t>
      </w:r>
      <w:hyperlink r:id="rId546">
        <w:r>
          <w:rPr>
            <w:color w:val="0563C1"/>
            <w:u w:val="single"/>
          </w:rPr>
          <w:t>Full-text access</w:t>
        </w:r>
      </w:hyperlink>
    </w:p>
    <w:p>
      <w:pPr>
        <w:pStyle w:val="Normal"/>
        <w:widowControl/>
        <w:spacing w:after="120"/>
      </w:pPr>
      <w:r>
        <w:t xml:space="preserve"/>
      </w:r>
      <w:r>
        <w:t xml:space="preserve">[V12-41] Prosepe, Ilaria; van Geloven, Nan; de Ferrante, Hans; et al. Estimating conditional survival benefit for the allocation of scarce resources. Statistical Methods in Medical Research. 2026; 35(4):812-826. </w:t>
      </w:r>
      <w:hyperlink r:id="rId547">
        <w:r>
          <w:rPr>
            <w:color w:val="0563C1"/>
            <w:u w:val="single"/>
          </w:rPr>
          <w:t>Source</w:t>
        </w:r>
      </w:hyperlink>
      <w:r>
        <w:t xml:space="preserve"> | </w:t>
      </w:r>
      <w:hyperlink r:id="rId548">
        <w:r>
          <w:rPr>
            <w:color w:val="0563C1"/>
            <w:u w:val="single"/>
          </w:rPr>
          <w:t>Full-text access</w:t>
        </w:r>
      </w:hyperlink>
    </w:p>
    <w:p>
      <w:pPr>
        <w:pStyle w:val="Normal"/>
        <w:widowControl/>
        <w:spacing w:after="120"/>
      </w:pPr>
      <w:r>
        <w:t xml:space="preserve"/>
      </w:r>
      <w:r>
        <w:t xml:space="preserve">[V12-42] Sinha, Jasmine; Mehta, Neil; Dodge, Jennifer L.; et al. Are There Upper Limits in Tumor Burden for Down‐Staging of Hepatocellular Carcinoma to Liver Transplant? Analysis of the All‐Comers Protocol. Hepatology. 2019; 70(4):1185-1196. </w:t>
      </w:r>
      <w:hyperlink r:id="rId549">
        <w:r>
          <w:rPr>
            <w:color w:val="0563C1"/>
            <w:u w:val="single"/>
          </w:rPr>
          <w:t>Source</w:t>
        </w:r>
      </w:hyperlink>
      <w:r>
        <w:t xml:space="preserve"> | </w:t>
      </w:r>
      <w:hyperlink r:id="rId550">
        <w:r>
          <w:rPr>
            <w:color w:val="0563C1"/>
            <w:u w:val="single"/>
          </w:rPr>
          <w:t>Full-text access</w:t>
        </w:r>
      </w:hyperlink>
    </w:p>
    <w:p>
      <w:pPr>
        <w:pStyle w:val="Normal"/>
        <w:widowControl/>
        <w:spacing w:after="120"/>
      </w:pPr>
      <w:r>
        <w:t xml:space="preserve"/>
      </w:r>
      <w:r>
        <w:t xml:space="preserve">[V12-43] Tabrizian, Parissa; Holzner, Matthew L.; Mehta, Neil; et al. Ten-Year Outcomes of Liver Transplant and Downstaging for Hepatocellular Carcinoma. JAMA Surgery. 2022; 157(9):779-788. </w:t>
      </w:r>
      <w:hyperlink r:id="rId551">
        <w:r>
          <w:rPr>
            <w:color w:val="0563C1"/>
            <w:u w:val="single"/>
          </w:rPr>
          <w:t>Source</w:t>
        </w:r>
      </w:hyperlink>
      <w:r>
        <w:t xml:space="preserve"> | </w:t>
      </w:r>
      <w:hyperlink r:id="rId552">
        <w:r>
          <w:rPr>
            <w:color w:val="0563C1"/>
            <w:u w:val="single"/>
          </w:rPr>
          <w:t>Full-text access</w:t>
        </w:r>
      </w:hyperlink>
    </w:p>
    <w:p>
      <w:pPr>
        <w:pStyle w:val="Normal"/>
        <w:widowControl/>
        <w:spacing w:after="120"/>
      </w:pPr>
      <w:r>
        <w:t xml:space="preserve"/>
      </w:r>
      <w:r>
        <w:t xml:space="preserve">[V12-44] Yao, Francis Y.; Mehta, Neil; Flemming, Jennifer; et al. Downstaging of hepatocellular cancer before liver transplant: Long‐term outcome compared to tumors within Milan criteria. Hepatology. 2015; 61(6):1968-1977. </w:t>
      </w:r>
      <w:hyperlink r:id="rId553">
        <w:r>
          <w:rPr>
            <w:color w:val="0563C1"/>
            <w:u w:val="single"/>
          </w:rPr>
          <w:t>Source</w:t>
        </w:r>
      </w:hyperlink>
      <w:r>
        <w:t xml:space="preserve"> | </w:t>
      </w:r>
      <w:hyperlink r:id="rId554">
        <w:r>
          <w:rPr>
            <w:color w:val="0563C1"/>
            <w:u w:val="single"/>
          </w:rPr>
          <w:t>Full-text access</w:t>
        </w:r>
      </w:hyperlink>
    </w:p>
    <w:p>
      <w:pPr>
        <w:pStyle w:val="Normal"/>
        <w:widowControl/>
        <w:spacing w:after="120"/>
      </w:pPr>
      <w:r>
        <w:t xml:space="preserve"/>
      </w:r>
      <w:r>
        <w:t xml:space="preserve">[V12-45] Ong, Meiching; He, Kang; Wang, Feng; et al. Immune Checkpoint Inhibitor–Based Downstaging Therapy for Hepatocellular Carcinoma. JAMA Oncology. 2026. </w:t>
      </w:r>
      <w:hyperlink r:id="rId555">
        <w:r>
          <w:rPr>
            <w:color w:val="0563C1"/>
            <w:u w:val="single"/>
          </w:rPr>
          <w:t>Source</w:t>
        </w:r>
      </w:hyperlink>
      <w:r>
        <w:t xml:space="preserve"> | </w:t>
      </w:r>
      <w:hyperlink r:id="rId556">
        <w:r>
          <w:rPr>
            <w:color w:val="0563C1"/>
            <w:u w:val="single"/>
          </w:rPr>
          <w:t>Full-text access</w:t>
        </w:r>
      </w:hyperlink>
    </w:p>
    <w:p>
      <w:pPr>
        <w:pStyle w:val="Normal"/>
        <w:widowControl/>
        <w:spacing w:after="120"/>
      </w:pPr>
      <w:r>
        <w:t xml:space="preserve"/>
      </w:r>
      <w:r>
        <w:t xml:space="preserve">[V12-46] Bhoori, Sherrie; Rivoltini, Licia; Pinato, David J.; et al. Efficacy of liver transplantation after response to atezolizumab-bevacizumab downstaging of intermediate and advanced hepatocellular carcinoma (ImmunoXXL). Journal of Hepatology. 2026; 85(1):117-129. </w:t>
      </w:r>
      <w:hyperlink r:id="rId557">
        <w:r>
          <w:rPr>
            <w:color w:val="0563C1"/>
            <w:u w:val="single"/>
          </w:rPr>
          <w:t>Source</w:t>
        </w:r>
      </w:hyperlink>
      <w:r>
        <w:t xml:space="preserve"> | </w:t>
      </w:r>
      <w:hyperlink r:id="rId558">
        <w:r>
          <w:rPr>
            <w:color w:val="0563C1"/>
            <w:u w:val="single"/>
          </w:rPr>
          <w:t>Full-text access</w:t>
        </w:r>
      </w:hyperlink>
    </w:p>
    <w:p>
      <w:pPr>
        <w:pStyle w:val="Normal"/>
        <w:widowControl/>
        <w:spacing w:after="120"/>
      </w:pPr>
      <w:r>
        <w:t xml:space="preserve"/>
      </w:r>
      <w:r>
        <w:t xml:space="preserve">[V12-47] Bauer, Ulrike; Troppmair, Maria R; Khaled, Najib Ben; et al. Liver Transplantation After Immune Checkpoint Inhibition in Hepatocellular Carcinoma-Data From the Multinational LITCHI Registry. Liver international : official journal of the International Association for the Study of the Liver. 2026; 46(6):e70692. </w:t>
      </w:r>
      <w:hyperlink r:id="rId559">
        <w:r>
          <w:rPr>
            <w:color w:val="0563C1"/>
            <w:u w:val="single"/>
          </w:rPr>
          <w:t>Source</w:t>
        </w:r>
      </w:hyperlink>
      <w:r>
        <w:t xml:space="preserve"> | </w:t>
      </w:r>
      <w:hyperlink r:id="rId560">
        <w:r>
          <w:rPr>
            <w:color w:val="0563C1"/>
            <w:u w:val="single"/>
          </w:rPr>
          <w:t>Full-text access</w:t>
        </w:r>
      </w:hyperlink>
    </w:p>
    <w:p>
      <w:pPr>
        <w:pStyle w:val="Normal"/>
        <w:widowControl/>
        <w:spacing w:after="120"/>
      </w:pPr>
      <w:r>
        <w:t xml:space="preserve"/>
      </w:r>
      <w:r>
        <w:t xml:space="preserve">[V12-48] Choi, Ho Joong; Kim, Dong Goo; Na, Gun Hyung; et al. The clinical outcomes of patients with portal vein tumor thrombi after living donor liver transplantation. Liver Transplantation. 2017; 23(8):1023-1031. </w:t>
      </w:r>
      <w:hyperlink r:id="rId561">
        <w:r>
          <w:rPr>
            <w:color w:val="0563C1"/>
            <w:u w:val="single"/>
          </w:rPr>
          <w:t>Source</w:t>
        </w:r>
      </w:hyperlink>
      <w:r>
        <w:t xml:space="preserve"> | </w:t>
      </w:r>
      <w:hyperlink r:id="rId562">
        <w:r>
          <w:rPr>
            <w:color w:val="0563C1"/>
            <w:u w:val="single"/>
          </w:rPr>
          <w:t>Full-text access</w:t>
        </w:r>
      </w:hyperlink>
    </w:p>
    <w:p>
      <w:pPr>
        <w:pStyle w:val="Normal"/>
        <w:widowControl/>
        <w:spacing w:after="120"/>
      </w:pPr>
      <w:r>
        <w:t xml:space="preserve"/>
      </w:r>
      <w:r>
        <w:t xml:space="preserve">[V12-49] Soin, Arvinder S; Bhangui, Prashant; Kataria, Tejinder; et al. Experience With LDLT in Patients With Hepatocellular Carcinoma and Portal Vein Tumor Thrombosis Postdownstaging. Transplantation. 2020; 104(11):2334-2345. </w:t>
      </w:r>
      <w:hyperlink r:id="rId563">
        <w:r>
          <w:rPr>
            <w:color w:val="0563C1"/>
            <w:u w:val="single"/>
          </w:rPr>
          <w:t>Source</w:t>
        </w:r>
      </w:hyperlink>
      <w:r>
        <w:t xml:space="preserve"> | </w:t>
      </w:r>
      <w:hyperlink r:id="rId564">
        <w:r>
          <w:rPr>
            <w:color w:val="0563C1"/>
            <w:u w:val="single"/>
          </w:rPr>
          <w:t>Full-text access</w:t>
        </w:r>
      </w:hyperlink>
    </w:p>
    <w:p>
      <w:pPr>
        <w:pStyle w:val="Normal"/>
        <w:widowControl/>
        <w:spacing w:after="120"/>
      </w:pPr>
      <w:r>
        <w:t xml:space="preserve"/>
      </w:r>
      <w:r>
        <w:t xml:space="preserve">[V12-50] Yang, Z; Luo, FZ; Wang, S; et al. Alpha-fetoprotein and 18F-FDG standard uptake value predict tumor recurrence after liver transplantation for hepatocellular carcinoma with portal vein tumor thrombosis: Preliminary experience. Hepatobiliary &amp; Pancreatic Diseases International. 2020; 19(3):229-234. </w:t>
      </w:r>
      <w:hyperlink r:id="rId565">
        <w:r>
          <w:rPr>
            <w:color w:val="0563C1"/>
            <w:u w:val="single"/>
          </w:rPr>
          <w:t>Source</w:t>
        </w:r>
      </w:hyperlink>
      <w:r>
        <w:t xml:space="preserve"> | </w:t>
      </w:r>
      <w:hyperlink r:id="rId566">
        <w:r>
          <w:rPr>
            <w:color w:val="0563C1"/>
            <w:u w:val="single"/>
          </w:rPr>
          <w:t>Full-text access</w:t>
        </w:r>
      </w:hyperlink>
    </w:p>
    <w:p>
      <w:pPr>
        <w:pStyle w:val="Normal"/>
        <w:widowControl/>
        <w:spacing w:after="120"/>
      </w:pPr>
      <w:r>
        <w:t xml:space="preserve"/>
      </w:r>
      <w:r>
        <w:t xml:space="preserve">[V12-51] Demirors, Berkay; Lin, Matthew Yu-Sheng; Spitz, Francis J.; et al. Balancing Tumor Response and Rejection Risk After Pre-Transplant Immunotherapy: A Scoping Review. Cancers. 2026; 18(8):1284. </w:t>
      </w:r>
      <w:hyperlink r:id="rId567">
        <w:r>
          <w:rPr>
            <w:color w:val="0563C1"/>
            <w:u w:val="single"/>
          </w:rPr>
          <w:t>Source</w:t>
        </w:r>
      </w:hyperlink>
      <w:r>
        <w:t xml:space="preserve"> | </w:t>
      </w:r>
      <w:hyperlink r:id="rId568">
        <w:r>
          <w:rPr>
            <w:color w:val="0563C1"/>
            <w:u w:val="single"/>
          </w:rPr>
          <w:t>Full-text access</w:t>
        </w:r>
      </w:hyperlink>
    </w:p>
    <w:p>
      <w:pPr>
        <w:pStyle w:val="Normal"/>
        <w:widowControl/>
        <w:spacing w:after="120"/>
      </w:pPr>
      <w:r>
        <w:t xml:space="preserve"/>
      </w:r>
      <w:r>
        <w:t xml:space="preserve">[V12-52] Fakhoury, Butros; Jahagirdar, Vinay; Alsaqa, Marwan; et al. Evolving trends and comparative outcomes of bridging transarterial locoregional therapy in liver transplant candidates with hepatocellular carcinoma. Liver Transplantation. 2025; 32(6):799-811. </w:t>
      </w:r>
      <w:hyperlink r:id="rId569">
        <w:r>
          <w:rPr>
            <w:color w:val="0563C1"/>
            <w:u w:val="single"/>
          </w:rPr>
          <w:t>Source</w:t>
        </w:r>
      </w:hyperlink>
      <w:r>
        <w:t xml:space="preserve"> | </w:t>
      </w:r>
      <w:hyperlink r:id="rId570">
        <w:r>
          <w:rPr>
            <w:color w:val="0563C1"/>
            <w:u w:val="single"/>
          </w:rPr>
          <w:t>Full-text access</w:t>
        </w:r>
      </w:hyperlink>
    </w:p>
    <w:p>
      <w:pPr>
        <w:pStyle w:val="Normal"/>
        <w:widowControl/>
        <w:spacing w:after="120"/>
      </w:pPr>
      <w:r>
        <w:t xml:space="preserve"/>
      </w:r>
      <w:r>
        <w:t xml:space="preserve">[V12-53] Fernandes, Matheus Vanzin; Rodriguez, Santiago; Barbosa Martins, Marcelo Albuquerque; et al. Stereotactic body radiation therapy as bridging or downstaging therapy for hepatocellular carcinoma in liver transplant candidates: A systematic review and meta-analysis. Liver Transplantation. 2025; 32(8):1114-1127. </w:t>
      </w:r>
      <w:hyperlink r:id="rId571">
        <w:r>
          <w:rPr>
            <w:color w:val="0563C1"/>
            <w:u w:val="single"/>
          </w:rPr>
          <w:t>Source</w:t>
        </w:r>
      </w:hyperlink>
      <w:r>
        <w:t xml:space="preserve"> | </w:t>
      </w:r>
      <w:hyperlink r:id="rId572">
        <w:r>
          <w:rPr>
            <w:color w:val="0563C1"/>
            <w:u w:val="single"/>
          </w:rPr>
          <w:t>Full-text access</w:t>
        </w:r>
      </w:hyperlink>
      <w:r>
        <w:fldChar w:fldCharType="end"/>
      </w:r>
    </w:p>
    <w:p>
      <w:pPr>
        <w:pStyle w:val="Heading1"/>
        <w:widowControl/>
        <w:keepNext/>
      </w:pPr>
      <w:r>
        <w:t xml:space="preserve">Revision history</w:t>
      </w:r>
    </w:p>
    <w:p>
      <w:pPr>
        <w:pStyle w:val="Normal"/>
        <w:widowControl/>
        <w:spacing w:after="120"/>
      </w:pPr>
      <w:r>
        <w:t xml:space="preserve">2026-10-25 04:38 CDT. Problem and correction: Integrate HCC full-text findings at the treatment/selection interface. Separate systemic cancer control from transplant eligibility and allocation. Add HCC B1.1 AFP-only review with unapproved clinical cutoffs explicitly OPEN.</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6">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lrxb-njeletugqmmsxsk" Type="http://schemas.openxmlformats.org/officeDocument/2006/relationships/hyperlink" Target="https://www.nccn.org/professionals/physician_gls/pdf/hcc.pdf#page=10" TargetMode="External"/><Relationship Id="rIdmjvvzvxullpnrltz1vgm_" Type="http://schemas.openxmlformats.org/officeDocument/2006/relationships/hyperlink" Target="https://doi.org/10.1097/HEP.0000000000001644" TargetMode="External"/><Relationship Id="rId_hbeafakn_hgndoic6fjz" Type="http://schemas.openxmlformats.org/officeDocument/2006/relationships/hyperlink" Target="https://www.ncbi.nlm.nih.gov/pmc/articles/PMC10663390/" TargetMode="External"/><Relationship Id="rIdi7ldhdyetl-ajv6irg6pm" Type="http://schemas.openxmlformats.org/officeDocument/2006/relationships/hyperlink" Target="https://pubmed.ncbi.nlm.nih.gov/41056563" TargetMode="External"/><Relationship Id="rIden93sz_22sktxulquzuyc" Type="http://schemas.openxmlformats.org/officeDocument/2006/relationships/hyperlink" Target="https://pubmed.ncbi.nlm.nih.gov/41490475" TargetMode="External"/><Relationship Id="rIdlojurg3krzsjhmzdutxk7" Type="http://schemas.openxmlformats.org/officeDocument/2006/relationships/hyperlink" Target="https://pubmed.ncbi.nlm.nih.gov/39808828" TargetMode="External"/><Relationship Id="rIdgbbqa5e13x3shydiqs8-n" Type="http://schemas.openxmlformats.org/officeDocument/2006/relationships/hyperlink" Target="https://pubmed.ncbi.nlm.nih.gov/42294332" TargetMode="External"/><Relationship Id="rIdcit1rwr_ch9ctpr4ukzg-" Type="http://schemas.openxmlformats.org/officeDocument/2006/relationships/hyperlink" Target="https://pubmed.ncbi.nlm.nih.gov/22047762" TargetMode="External"/><Relationship Id="rIdchrdc6i-rpejz4jugan1l" Type="http://schemas.openxmlformats.org/officeDocument/2006/relationships/hyperlink" Target="https://pubmed.ncbi.nlm.nih.gov/40789776" TargetMode="External"/><Relationship Id="rIdhbnea2cq__tuvntu1is6k" Type="http://schemas.openxmlformats.org/officeDocument/2006/relationships/hyperlink" Target="https://onlinelibrary.wiley.com/doi/10.1111/apt.70333" TargetMode="External"/><Relationship Id="rIdmctpjrl5wr8fch1tyqkmu" Type="http://schemas.openxmlformats.org/officeDocument/2006/relationships/hyperlink" Target="https://doi.org/10.1097/LVT.0000000000000715" TargetMode="External"/><Relationship Id="rIdq4wadstbsegih6_mrjlxy" Type="http://schemas.openxmlformats.org/officeDocument/2006/relationships/hyperlink" Target="https://pubmed.ncbi.nlm.nih.gov/30568386" TargetMode="External"/><Relationship Id="rIds-qz-3-_mlawvv-f2tdbr" Type="http://schemas.openxmlformats.org/officeDocument/2006/relationships/hyperlink" Target="https://pubmed.ncbi.nlm.nih.gov/36160651" TargetMode="External"/><Relationship Id="rIdolr8dqj40o6ixexaccyqg" Type="http://schemas.openxmlformats.org/officeDocument/2006/relationships/hyperlink" Target="https://pubmed.ncbi.nlm.nih.gov/41622628" TargetMode="External"/><Relationship Id="rIdwkz08jt6a-pmtrkvfzbxp" Type="http://schemas.openxmlformats.org/officeDocument/2006/relationships/hyperlink" Target="https://pubmed.ncbi.nlm.nih.gov/41986186" TargetMode="External"/><Relationship Id="rId21" Type="http://schemas.openxmlformats.org/officeDocument/2006/relationships/fontTable" Target="fontTable.xml"/><Relationship Id="rId22" Type="http://schemas.openxmlformats.org/officeDocument/2006/relationships/hyperlink" Target="https://doi.org/10.1111/tri.13586" TargetMode="External"/><Relationship Id="rId23" Type="http://schemas.openxmlformats.org/officeDocument/2006/relationships/hyperlink" Target="https://libkey.io/libraries/480/10.1111/tri.13586" TargetMode="External"/><Relationship Id="rId24" Type="http://schemas.openxmlformats.org/officeDocument/2006/relationships/hyperlink" Target="https://doi.org/10.1097/HEP.0000000000001644" TargetMode="External"/><Relationship Id="rId25" Type="http://schemas.openxmlformats.org/officeDocument/2006/relationships/hyperlink" Target="https://libkey.io/libraries/480/10.1097/HEP.0000000000001644" TargetMode="External"/><Relationship Id="rId26" Type="http://schemas.openxmlformats.org/officeDocument/2006/relationships/hyperlink" Target="https://doi.org/10.1111/j.1600-6143.2011.03972.x" TargetMode="External"/><Relationship Id="rId27" Type="http://schemas.openxmlformats.org/officeDocument/2006/relationships/hyperlink" Target="https://libkey.io/libraries/480/10.1111/j.1600-6143.2011.03972.x" TargetMode="External"/><Relationship Id="rId28" Type="http://schemas.openxmlformats.org/officeDocument/2006/relationships/hyperlink" Target="https://doi.org/10.1111/ajt.14055" TargetMode="External"/><Relationship Id="rId29" Type="http://schemas.openxmlformats.org/officeDocument/2006/relationships/hyperlink" Target="https://libkey.io/libraries/480/10.1111/ajt.14055" TargetMode="External"/><Relationship Id="rId30" Type="http://schemas.openxmlformats.org/officeDocument/2006/relationships/hyperlink" Target="https://doi.org/10.1097/LVT.0000000000000303" TargetMode="External"/><Relationship Id="rId31" Type="http://schemas.openxmlformats.org/officeDocument/2006/relationships/hyperlink" Target="https://libkey.io/libraries/480/10.1097/LVT.0000000000000303" TargetMode="External"/><Relationship Id="rId32" Type="http://schemas.openxmlformats.org/officeDocument/2006/relationships/hyperlink" Target="https://doi.org/10.1016/j.jhep.2024.03.020" TargetMode="External"/><Relationship Id="rId33" Type="http://schemas.openxmlformats.org/officeDocument/2006/relationships/hyperlink" Target="https://libkey.io/libraries/480/10.1016/j.jhep.2024.03.020" TargetMode="External"/><Relationship Id="rId34" Type="http://schemas.openxmlformats.org/officeDocument/2006/relationships/hyperlink" Target="https://doi.org/10.1016/j.jhepr.2023.100907" TargetMode="External"/><Relationship Id="rId35" Type="http://schemas.openxmlformats.org/officeDocument/2006/relationships/hyperlink" Target="https://libkey.io/libraries/480/10.1016/j.jhepr.2023.100907" TargetMode="External"/><Relationship Id="rId36" Type="http://schemas.openxmlformats.org/officeDocument/2006/relationships/hyperlink" Target="https://doi.org/10.1016/j.cgh.2022.08.023" TargetMode="External"/><Relationship Id="rId37" Type="http://schemas.openxmlformats.org/officeDocument/2006/relationships/hyperlink" Target="https://libkey.io/libraries/480/10.1016/j.cgh.2022.08.023" TargetMode="External"/><Relationship Id="rId38" Type="http://schemas.openxmlformats.org/officeDocument/2006/relationships/hyperlink" Target="https://doi.org/10.1002/hep.29342" TargetMode="External"/><Relationship Id="rId39" Type="http://schemas.openxmlformats.org/officeDocument/2006/relationships/hyperlink" Target="https://libkey.io/libraries/480/10.1002/hep.29342" TargetMode="External"/><Relationship Id="rId40" Type="http://schemas.openxmlformats.org/officeDocument/2006/relationships/hyperlink" Target="https://doi.org/10.1097/HC9.0000000000000619" TargetMode="External"/><Relationship Id="rId41" Type="http://schemas.openxmlformats.org/officeDocument/2006/relationships/hyperlink" Target="https://libkey.io/libraries/480/10.1097/HC9.0000000000000619" TargetMode="External"/><Relationship Id="rId42" Type="http://schemas.openxmlformats.org/officeDocument/2006/relationships/hyperlink" Target="https://doi.org/10.1053/j.gastro.2021.07.033" TargetMode="External"/><Relationship Id="rId43" Type="http://schemas.openxmlformats.org/officeDocument/2006/relationships/hyperlink" Target="https://libkey.io/libraries/480/10.1053/j.gastro.2021.07.033" TargetMode="External"/><Relationship Id="rId44" Type="http://schemas.openxmlformats.org/officeDocument/2006/relationships/hyperlink" Target="https://doi.org/10.1016/j.ajt.2023.07.021" TargetMode="External"/><Relationship Id="rId45" Type="http://schemas.openxmlformats.org/officeDocument/2006/relationships/hyperlink" Target="https://libkey.io/libraries/480/10.1016/j.ajt.2023.07.021" TargetMode="External"/><Relationship Id="rId46" Type="http://schemas.openxmlformats.org/officeDocument/2006/relationships/hyperlink" Target="https://doi.org/10.1177/09622802261420699" TargetMode="External"/><Relationship Id="rId47" Type="http://schemas.openxmlformats.org/officeDocument/2006/relationships/hyperlink" Target="https://libkey.io/libraries/480/10.1177/09622802261420699" TargetMode="External"/><Relationship Id="rId48" Type="http://schemas.openxmlformats.org/officeDocument/2006/relationships/hyperlink" Target="https://doi.org/10.1002/hep.30570" TargetMode="External"/><Relationship Id="rId49" Type="http://schemas.openxmlformats.org/officeDocument/2006/relationships/hyperlink" Target="https://libkey.io/libraries/480/10.1002/hep.30570" TargetMode="External"/><Relationship Id="rId50" Type="http://schemas.openxmlformats.org/officeDocument/2006/relationships/hyperlink" Target="https://doi.org/10.1001/jamasurg.2022.2800" TargetMode="External"/><Relationship Id="rId51" Type="http://schemas.openxmlformats.org/officeDocument/2006/relationships/hyperlink" Target="https://libkey.io/libraries/480/10.1001/jamasurg.2022.2800" TargetMode="External"/><Relationship Id="rId52" Type="http://schemas.openxmlformats.org/officeDocument/2006/relationships/hyperlink" Target="https://doi.org/10.1002/hep.27752" TargetMode="External"/><Relationship Id="rId53" Type="http://schemas.openxmlformats.org/officeDocument/2006/relationships/hyperlink" Target="https://libkey.io/libraries/480/10.1002/hep.27752" TargetMode="External"/><Relationship Id="rId54" Type="http://schemas.openxmlformats.org/officeDocument/2006/relationships/hyperlink" Target="https://doi.org/10.1001/jamaoncol.2026.3901" TargetMode="External"/><Relationship Id="rId55" Type="http://schemas.openxmlformats.org/officeDocument/2006/relationships/hyperlink" Target="https://libkey.io/libraries/480/10.1001/jamaoncol.2026.3901" TargetMode="External"/><Relationship Id="rId56" Type="http://schemas.openxmlformats.org/officeDocument/2006/relationships/hyperlink" Target="https://doi.org/10.1016/j.jhep.2026.02.019" TargetMode="External"/><Relationship Id="rId57" Type="http://schemas.openxmlformats.org/officeDocument/2006/relationships/hyperlink" Target="https://libkey.io/libraries/480/10.1016/j.jhep.2026.02.019" TargetMode="External"/><Relationship Id="rId58" Type="http://schemas.openxmlformats.org/officeDocument/2006/relationships/hyperlink" Target="https://doi.org/10.1111/liv.70692" TargetMode="External"/><Relationship Id="rId59" Type="http://schemas.openxmlformats.org/officeDocument/2006/relationships/hyperlink" Target="https://libkey.io/libraries/480/10.1111/liv.70692" TargetMode="External"/><Relationship Id="rId60" Type="http://schemas.openxmlformats.org/officeDocument/2006/relationships/hyperlink" Target="https://doi.org/10.1097/HEP.0000000000001289" TargetMode="External"/><Relationship Id="rId61" Type="http://schemas.openxmlformats.org/officeDocument/2006/relationships/hyperlink" Target="https://libkey.io/libraries/480/10.1097/HEP.0000000000001289" TargetMode="External"/><Relationship Id="rId62" Type="http://schemas.openxmlformats.org/officeDocument/2006/relationships/hyperlink" Target="https://doi.org/10.1016/j.ajt.2026.02.010" TargetMode="External"/><Relationship Id="rId63" Type="http://schemas.openxmlformats.org/officeDocument/2006/relationships/hyperlink" Target="https://libkey.io/libraries/480/10.1016/j.ajt.2026.02.010" TargetMode="External"/><Relationship Id="rId64" Type="http://schemas.openxmlformats.org/officeDocument/2006/relationships/hyperlink" Target="https://doi.org/10.1002/lt.24782" TargetMode="External"/><Relationship Id="rId65" Type="http://schemas.openxmlformats.org/officeDocument/2006/relationships/hyperlink" Target="https://libkey.io/libraries/480/10.1002/lt.24782" TargetMode="External"/><Relationship Id="rId66" Type="http://schemas.openxmlformats.org/officeDocument/2006/relationships/hyperlink" Target="https://doi.org/10.1097/TP.0000000000003162" TargetMode="External"/><Relationship Id="rId67" Type="http://schemas.openxmlformats.org/officeDocument/2006/relationships/hyperlink" Target="https://libkey.io/libraries/480/10.1097/TP.0000000000003162" TargetMode="External"/><Relationship Id="rId68" Type="http://schemas.openxmlformats.org/officeDocument/2006/relationships/hyperlink" Target="https://doi.org/10.1016/j.hbpd.2020.03.009" TargetMode="External"/><Relationship Id="rId69" Type="http://schemas.openxmlformats.org/officeDocument/2006/relationships/hyperlink" Target="https://libkey.io/libraries/480/10.1016/j.hbpd.2020.03.009" TargetMode="External"/><Relationship Id="rId70" Type="http://schemas.openxmlformats.org/officeDocument/2006/relationships/hyperlink" Target="https://doi.org/10.1097/TP.0000000000000965" TargetMode="External"/><Relationship Id="rId71" Type="http://schemas.openxmlformats.org/officeDocument/2006/relationships/hyperlink" Target="https://libkey.io/libraries/480/10.1097/TP.0000000000000965" TargetMode="External"/><Relationship Id="rId72" Type="http://schemas.openxmlformats.org/officeDocument/2006/relationships/hyperlink" Target="https://pubmed.ncbi.nlm.nih.gov/42073607" TargetMode="External"/><Relationship Id="rId73" Type="http://schemas.openxmlformats.org/officeDocument/2006/relationships/hyperlink" Target="https://libkey.io/libraries/480/10.3390/cancers18081284" TargetMode="External"/><Relationship Id="rId74" Type="http://schemas.openxmlformats.org/officeDocument/2006/relationships/hyperlink" Target="https://pubmed.ncbi.nlm.nih.gov/41986186" TargetMode="External"/><Relationship Id="rId75" Type="http://schemas.openxmlformats.org/officeDocument/2006/relationships/hyperlink" Target="https://libkey.io/libraries/480/10.1016/j.transproceed.2026.03.021" TargetMode="External"/><Relationship Id="rId76" Type="http://schemas.openxmlformats.org/officeDocument/2006/relationships/hyperlink" Target="https://pubmed.ncbi.nlm.nih.gov/30568386" TargetMode="External"/><Relationship Id="rId77" Type="http://schemas.openxmlformats.org/officeDocument/2006/relationships/hyperlink" Target="https://libkey.io/libraries/480/10.3748/wjg.v24.i45.5081" TargetMode="External"/><Relationship Id="rId78" Type="http://schemas.openxmlformats.org/officeDocument/2006/relationships/hyperlink" Target="https://onlinelibrary.wiley.com/doi/10.1111/apt.70333" TargetMode="External"/><Relationship Id="rId79" Type="http://schemas.openxmlformats.org/officeDocument/2006/relationships/hyperlink" Target="https://libkey.io/libraries/480/10.1111/apt.70333" TargetMode="External"/><Relationship Id="rId80" Type="http://schemas.openxmlformats.org/officeDocument/2006/relationships/hyperlink" Target="https://pubmed.ncbi.nlm.nih.gov/42294332" TargetMode="External"/><Relationship Id="rId81" Type="http://schemas.openxmlformats.org/officeDocument/2006/relationships/hyperlink" Target="https://libkey.io/libraries/480/10.3389/fonc.2026.1826765" TargetMode="External"/><Relationship Id="rId82" Type="http://schemas.openxmlformats.org/officeDocument/2006/relationships/hyperlink" Target="https://pubmed.ncbi.nlm.nih.gov/36160651" TargetMode="External"/><Relationship Id="rId83" Type="http://schemas.openxmlformats.org/officeDocument/2006/relationships/hyperlink" Target="https://libkey.io/libraries/480/10.3748/wjg.v28.i34.4929" TargetMode="External"/><Relationship Id="rId84" Type="http://schemas.openxmlformats.org/officeDocument/2006/relationships/hyperlink" Target="https://pubmed.ncbi.nlm.nih.gov/41056563" TargetMode="External"/><Relationship Id="rId85" Type="http://schemas.openxmlformats.org/officeDocument/2006/relationships/hyperlink" Target="https://libkey.io/libraries/480/10.1097/lvt.0000000000000743" TargetMode="External"/><Relationship Id="rId86" Type="http://schemas.openxmlformats.org/officeDocument/2006/relationships/hyperlink" Target="https://doi.org/10.1097/lvt.0000000000000715" TargetMode="External"/><Relationship Id="rId87" Type="http://schemas.openxmlformats.org/officeDocument/2006/relationships/hyperlink" Target="https://libkey.io/libraries/480/10.1097/lvt.0000000000000715" TargetMode="External"/><Relationship Id="rId88" Type="http://schemas.openxmlformats.org/officeDocument/2006/relationships/hyperlink" Target="https://pubmed.ncbi.nlm.nih.gov/41490475" TargetMode="External"/><Relationship Id="rId89" Type="http://schemas.openxmlformats.org/officeDocument/2006/relationships/hyperlink" Target="https://libkey.io/libraries/480/10.1097/lvt.0000000000000803" TargetMode="External"/><Relationship Id="rId90" Type="http://schemas.openxmlformats.org/officeDocument/2006/relationships/hyperlink" Target="https://www.nccn.org/professionals/physician_gls/pdf/hcc.pdf#page=10" TargetMode="External"/><Relationship Id="rId91" Type="http://schemas.openxmlformats.org/officeDocument/2006/relationships/hyperlink" Target="https://drliuhao.github.io/mh-liver-pathways/evidence/2026-10-25/" TargetMode="External"/><Relationship Id="rId92" Type="http://schemas.openxmlformats.org/officeDocument/2006/relationships/hyperlink" Target="https://pubmed.ncbi.nlm.nih.gov/22047762" TargetMode="External"/><Relationship Id="rId93" Type="http://schemas.openxmlformats.org/officeDocument/2006/relationships/hyperlink" Target="https://libkey.io/libraries/480/10.1016/s1470-2045(11)70175-9" TargetMode="External"/><Relationship Id="rId94" Type="http://schemas.openxmlformats.org/officeDocument/2006/relationships/hyperlink" Target="https://doi.org/10.1016/j.jhep.2024.09.003" TargetMode="External"/><Relationship Id="rId95" Type="http://schemas.openxmlformats.org/officeDocument/2006/relationships/hyperlink" Target="https://libkey.io/libraries/480/10.1016/j.jhep.2024.09.003" TargetMode="External"/><Relationship Id="rId96" Type="http://schemas.openxmlformats.org/officeDocument/2006/relationships/hyperlink" Target="https://doi.org/10.1097/HEP.0000000000001801" TargetMode="External"/><Relationship Id="rId97" Type="http://schemas.openxmlformats.org/officeDocument/2006/relationships/hyperlink" Target="https://libkey.io/libraries/480/10.1097/HEP.0000000000001801" TargetMode="External"/><Relationship Id="rId98" Type="http://schemas.openxmlformats.org/officeDocument/2006/relationships/hyperlink" Target="https://drliuhao.github.io/mh-liver-pathways/evidence/2026-10-25/docs/01_HCC_Alignment_and_Meeting_Decisions_v12.docx" TargetMode="External"/><Relationship Id="rId99" Type="http://schemas.openxmlformats.org/officeDocument/2006/relationships/hyperlink" Target="https://drliuhao.github.io/mh-liver-pathways/evidence/2026-10-25/" TargetMode="External"/><Relationship Id="rId100" Type="http://schemas.openxmlformats.org/officeDocument/2006/relationships/hyperlink" Target="https://drliuhao.github.io/mh-liver-pathways/evidence/2026-10-25/" TargetMode="External"/><Relationship Id="rId101" Type="http://schemas.openxmlformats.org/officeDocument/2006/relationships/hyperlink" Target="https://www.hrsa.gov/sites/default/files/hrsa/optn/optn_policies.pdf" TargetMode="External"/><Relationship Id="rId102" Type="http://schemas.openxmlformats.org/officeDocument/2006/relationships/hyperlink" Target="https://drliuhao.github.io/mh-liver-pathways/evidence/2026-10-25/" TargetMode="External"/><Relationship Id="rId103" Type="http://schemas.openxmlformats.org/officeDocument/2006/relationships/hyperlink" Target="https://www.hrsa.gov/sites/default/files/hrsa/optn/adult-meld-exception-transplant-oncology-review-guidance.pdf" TargetMode="External"/><Relationship Id="rId104" Type="http://schemas.openxmlformats.org/officeDocument/2006/relationships/hyperlink" Target="https://drliuhao.github.io/mh-liver-pathways/evidence/2026-10-25/" TargetMode="External"/><Relationship Id="rId105" Type="http://schemas.openxmlformats.org/officeDocument/2006/relationships/hyperlink" Target="https://www.nccn.org/professionals/physician_gls/pdf/hcc.pdf#page=10" TargetMode="External"/><Relationship Id="rId106" Type="http://schemas.openxmlformats.org/officeDocument/2006/relationships/hyperlink" Target="https://drliuhao.github.io/mh-liver-pathways/evidence/2026-10-25/" TargetMode="External"/><Relationship Id="rId107" Type="http://schemas.openxmlformats.org/officeDocument/2006/relationships/hyperlink" Target="https://doi.org/10.1097/HEP.0000000000001644" TargetMode="External"/><Relationship Id="rId108" Type="http://schemas.openxmlformats.org/officeDocument/2006/relationships/hyperlink" Target="https://libkey.io/libraries/480/10.1097/HEP.0000000000001644" TargetMode="External"/><Relationship Id="rId109" Type="http://schemas.openxmlformats.org/officeDocument/2006/relationships/hyperlink" Target="https://doi.org/10.1097/HEP.0000000000000466" TargetMode="External"/><Relationship Id="rId110" Type="http://schemas.openxmlformats.org/officeDocument/2006/relationships/hyperlink" Target="https://libkey.io/libraries/480/10.1097/HEP.0000000000000466" TargetMode="External"/><Relationship Id="rId111" Type="http://schemas.openxmlformats.org/officeDocument/2006/relationships/hyperlink" Target="https://doi.org/10.1097/HEP.0000000000001801" TargetMode="External"/><Relationship Id="rId112" Type="http://schemas.openxmlformats.org/officeDocument/2006/relationships/hyperlink" Target="https://libkey.io/libraries/480/10.1097/HEP.0000000000001801" TargetMode="External"/><Relationship Id="rId113" Type="http://schemas.openxmlformats.org/officeDocument/2006/relationships/hyperlink" Target="https://pubmed.ncbi.nlm.nih.gov/41056563" TargetMode="External"/><Relationship Id="rId114" Type="http://schemas.openxmlformats.org/officeDocument/2006/relationships/hyperlink" Target="https://libkey.io/libraries/480/10.1097/lvt.0000000000000743" TargetMode="External"/><Relationship Id="rId115" Type="http://schemas.openxmlformats.org/officeDocument/2006/relationships/hyperlink" Target="https://pubmed.ncbi.nlm.nih.gov/41490475" TargetMode="External"/><Relationship Id="rId116" Type="http://schemas.openxmlformats.org/officeDocument/2006/relationships/hyperlink" Target="https://libkey.io/libraries/480/10.1097/lvt.0000000000000803" TargetMode="External"/><Relationship Id="rId117" Type="http://schemas.openxmlformats.org/officeDocument/2006/relationships/hyperlink" Target="https://doi.org/10.1097/HEP.0000000000001231" TargetMode="External"/><Relationship Id="rId118" Type="http://schemas.openxmlformats.org/officeDocument/2006/relationships/hyperlink" Target="https://libkey.io/libraries/480/10.1097/HEP.0000000000001231" TargetMode="External"/><Relationship Id="rId119" Type="http://schemas.openxmlformats.org/officeDocument/2006/relationships/hyperlink" Target="https://pubmed.ncbi.nlm.nih.gov/42294332" TargetMode="External"/><Relationship Id="rId120" Type="http://schemas.openxmlformats.org/officeDocument/2006/relationships/hyperlink" Target="https://libkey.io/libraries/480/10.3389/fonc.2026.1826765" TargetMode="External"/><Relationship Id="rId121" Type="http://schemas.openxmlformats.org/officeDocument/2006/relationships/hyperlink" Target="https://pubmed.ncbi.nlm.nih.gov/22047762" TargetMode="External"/><Relationship Id="rId122" Type="http://schemas.openxmlformats.org/officeDocument/2006/relationships/hyperlink" Target="https://libkey.io/libraries/480/10.1016/s1470-2045(11)70175-9" TargetMode="External"/><Relationship Id="rId123" Type="http://schemas.openxmlformats.org/officeDocument/2006/relationships/hyperlink" Target="https://onlinelibrary.wiley.com/doi/10.1111/apt.70333" TargetMode="External"/><Relationship Id="rId124" Type="http://schemas.openxmlformats.org/officeDocument/2006/relationships/hyperlink" Target="https://libkey.io/libraries/480/10.1111/apt.70333" TargetMode="External"/><Relationship Id="rId125" Type="http://schemas.openxmlformats.org/officeDocument/2006/relationships/hyperlink" Target="https://doi.org/10.1097/lvt.0000000000000715" TargetMode="External"/><Relationship Id="rId126" Type="http://schemas.openxmlformats.org/officeDocument/2006/relationships/hyperlink" Target="https://libkey.io/libraries/480/10.1097/lvt.0000000000000715" TargetMode="External"/><Relationship Id="rId127" Type="http://schemas.openxmlformats.org/officeDocument/2006/relationships/hyperlink" Target="https://dailymed.nlm.nih.gov/dailymed/drugInfo.cfm?setid=e082a024-7850-400b-a5c2-2a140612562a" TargetMode="External"/><Relationship Id="rId128" Type="http://schemas.openxmlformats.org/officeDocument/2006/relationships/hyperlink" Target="https://drliuhao.github.io/mh-liver-pathways/evidence/2026-10-25/" TargetMode="External"/><Relationship Id="rId129" Type="http://schemas.openxmlformats.org/officeDocument/2006/relationships/hyperlink" Target="https://doi.org/10.1097/TP.0000000000000965" TargetMode="External"/><Relationship Id="rId130" Type="http://schemas.openxmlformats.org/officeDocument/2006/relationships/hyperlink" Target="https://libkey.io/libraries/480/10.1097/TP.0000000000000965" TargetMode="External"/><Relationship Id="rId131" Type="http://schemas.openxmlformats.org/officeDocument/2006/relationships/hyperlink" Target="https://pubmed.ncbi.nlm.nih.gov/30568386" TargetMode="External"/><Relationship Id="rId132" Type="http://schemas.openxmlformats.org/officeDocument/2006/relationships/hyperlink" Target="https://libkey.io/libraries/480/10.3748/wjg.v24.i45.5081" TargetMode="External"/><Relationship Id="rId133" Type="http://schemas.openxmlformats.org/officeDocument/2006/relationships/hyperlink" Target="https://pubmed.ncbi.nlm.nih.gov/36160651" TargetMode="External"/><Relationship Id="rId134" Type="http://schemas.openxmlformats.org/officeDocument/2006/relationships/hyperlink" Target="https://libkey.io/libraries/480/10.3748/wjg.v28.i34.4929" TargetMode="External"/><Relationship Id="rId135" Type="http://schemas.openxmlformats.org/officeDocument/2006/relationships/hyperlink" Target="https://doi.org/10.1016/j.ajt.2026.02.010" TargetMode="External"/><Relationship Id="rId136" Type="http://schemas.openxmlformats.org/officeDocument/2006/relationships/hyperlink" Target="https://libkey.io/libraries/480/10.1016/j.ajt.2026.02.010" TargetMode="External"/><Relationship Id="rId137" Type="http://schemas.openxmlformats.org/officeDocument/2006/relationships/hyperlink" Target="https://pubmed.ncbi.nlm.nih.gov/41986186" TargetMode="External"/><Relationship Id="rId138" Type="http://schemas.openxmlformats.org/officeDocument/2006/relationships/hyperlink" Target="https://libkey.io/libraries/480/10.1016/j.transproceed.2026.03.021" TargetMode="External"/><Relationship Id="rId139" Type="http://schemas.openxmlformats.org/officeDocument/2006/relationships/hyperlink" Target="https://doi.org/10.1111/tri.13586" TargetMode="External"/><Relationship Id="rId140" Type="http://schemas.openxmlformats.org/officeDocument/2006/relationships/hyperlink" Target="https://libkey.io/libraries/480/10.1111/tri.13586" TargetMode="External"/><Relationship Id="rId141" Type="http://schemas.openxmlformats.org/officeDocument/2006/relationships/hyperlink" Target="https://doi.org/10.1111/j.1600-6143.2011.03972.x" TargetMode="External"/><Relationship Id="rId142" Type="http://schemas.openxmlformats.org/officeDocument/2006/relationships/hyperlink" Target="https://libkey.io/libraries/480/10.1111/j.1600-6143.2011.03972.x" TargetMode="External"/><Relationship Id="rId143" Type="http://schemas.openxmlformats.org/officeDocument/2006/relationships/hyperlink" Target="https://doi.org/10.1111/ajt.14055" TargetMode="External"/><Relationship Id="rId144" Type="http://schemas.openxmlformats.org/officeDocument/2006/relationships/hyperlink" Target="https://libkey.io/libraries/480/10.1111/ajt.14055" TargetMode="External"/><Relationship Id="rId145" Type="http://schemas.openxmlformats.org/officeDocument/2006/relationships/hyperlink" Target="https://doi.org/10.1097/LVT.0000000000000303" TargetMode="External"/><Relationship Id="rId146" Type="http://schemas.openxmlformats.org/officeDocument/2006/relationships/hyperlink" Target="https://libkey.io/libraries/480/10.1097/LVT.0000000000000303" TargetMode="External"/><Relationship Id="rId147" Type="http://schemas.openxmlformats.org/officeDocument/2006/relationships/hyperlink" Target="https://doi.org/10.1016/j.jhep.2024.03.020" TargetMode="External"/><Relationship Id="rId148" Type="http://schemas.openxmlformats.org/officeDocument/2006/relationships/hyperlink" Target="https://libkey.io/libraries/480/10.1016/j.jhep.2024.03.020" TargetMode="External"/><Relationship Id="rId149" Type="http://schemas.openxmlformats.org/officeDocument/2006/relationships/hyperlink" Target="https://doi.org/10.1016/j.jhepr.2023.100907" TargetMode="External"/><Relationship Id="rId150" Type="http://schemas.openxmlformats.org/officeDocument/2006/relationships/hyperlink" Target="https://libkey.io/libraries/480/10.1016/j.jhepr.2023.100907" TargetMode="External"/><Relationship Id="rId151" Type="http://schemas.openxmlformats.org/officeDocument/2006/relationships/hyperlink" Target="https://doi.org/10.1016/j.cgh.2022.08.023" TargetMode="External"/><Relationship Id="rId152" Type="http://schemas.openxmlformats.org/officeDocument/2006/relationships/hyperlink" Target="https://libkey.io/libraries/480/10.1016/j.cgh.2022.08.023" TargetMode="External"/><Relationship Id="rId153" Type="http://schemas.openxmlformats.org/officeDocument/2006/relationships/hyperlink" Target="https://doi.org/10.1002/hep.29342" TargetMode="External"/><Relationship Id="rId154" Type="http://schemas.openxmlformats.org/officeDocument/2006/relationships/hyperlink" Target="https://libkey.io/libraries/480/10.1002/hep.29342" TargetMode="External"/><Relationship Id="rId155" Type="http://schemas.openxmlformats.org/officeDocument/2006/relationships/hyperlink" Target="https://doi.org/10.1097/HC9.0000000000000619" TargetMode="External"/><Relationship Id="rId156" Type="http://schemas.openxmlformats.org/officeDocument/2006/relationships/hyperlink" Target="https://libkey.io/libraries/480/10.1097/HC9.0000000000000619" TargetMode="External"/><Relationship Id="rId157" Type="http://schemas.openxmlformats.org/officeDocument/2006/relationships/hyperlink" Target="https://doi.org/10.1053/j.gastro.2021.07.033" TargetMode="External"/><Relationship Id="rId158" Type="http://schemas.openxmlformats.org/officeDocument/2006/relationships/hyperlink" Target="https://libkey.io/libraries/480/10.1053/j.gastro.2021.07.033" TargetMode="External"/><Relationship Id="rId159" Type="http://schemas.openxmlformats.org/officeDocument/2006/relationships/hyperlink" Target="https://doi.org/10.1016/j.ajt.2023.07.021" TargetMode="External"/><Relationship Id="rId160" Type="http://schemas.openxmlformats.org/officeDocument/2006/relationships/hyperlink" Target="https://libkey.io/libraries/480/10.1016/j.ajt.2023.07.021" TargetMode="External"/><Relationship Id="rId161" Type="http://schemas.openxmlformats.org/officeDocument/2006/relationships/hyperlink" Target="https://doi.org/10.1177/09622802261420699" TargetMode="External"/><Relationship Id="rId162" Type="http://schemas.openxmlformats.org/officeDocument/2006/relationships/hyperlink" Target="https://libkey.io/libraries/480/10.1177/09622802261420699" TargetMode="External"/><Relationship Id="rId163" Type="http://schemas.openxmlformats.org/officeDocument/2006/relationships/hyperlink" Target="https://doi.org/10.1002/hep.30570" TargetMode="External"/><Relationship Id="rId164" Type="http://schemas.openxmlformats.org/officeDocument/2006/relationships/hyperlink" Target="https://libkey.io/libraries/480/10.1002/hep.30570" TargetMode="External"/><Relationship Id="rId165" Type="http://schemas.openxmlformats.org/officeDocument/2006/relationships/hyperlink" Target="https://doi.org/10.1001/jamasurg.2022.2800" TargetMode="External"/><Relationship Id="rId166" Type="http://schemas.openxmlformats.org/officeDocument/2006/relationships/hyperlink" Target="https://libkey.io/libraries/480/10.1001/jamasurg.2022.2800" TargetMode="External"/><Relationship Id="rId167" Type="http://schemas.openxmlformats.org/officeDocument/2006/relationships/hyperlink" Target="https://doi.org/10.1002/hep.27752" TargetMode="External"/><Relationship Id="rId168" Type="http://schemas.openxmlformats.org/officeDocument/2006/relationships/hyperlink" Target="https://libkey.io/libraries/480/10.1002/hep.27752" TargetMode="External"/><Relationship Id="rId169" Type="http://schemas.openxmlformats.org/officeDocument/2006/relationships/hyperlink" Target="https://doi.org/10.1001/jamaoncol.2026.3901" TargetMode="External"/><Relationship Id="rId170" Type="http://schemas.openxmlformats.org/officeDocument/2006/relationships/hyperlink" Target="https://libkey.io/libraries/480/10.1001/jamaoncol.2026.3901" TargetMode="External"/><Relationship Id="rId171" Type="http://schemas.openxmlformats.org/officeDocument/2006/relationships/hyperlink" Target="https://doi.org/10.1016/j.jhep.2026.02.019" TargetMode="External"/><Relationship Id="rId172" Type="http://schemas.openxmlformats.org/officeDocument/2006/relationships/hyperlink" Target="https://libkey.io/libraries/480/10.1016/j.jhep.2026.02.019" TargetMode="External"/><Relationship Id="rId173" Type="http://schemas.openxmlformats.org/officeDocument/2006/relationships/hyperlink" Target="https://doi.org/10.1111/liv.70692" TargetMode="External"/><Relationship Id="rId174" Type="http://schemas.openxmlformats.org/officeDocument/2006/relationships/hyperlink" Target="https://libkey.io/libraries/480/10.1111/liv.70692" TargetMode="External"/><Relationship Id="rId175" Type="http://schemas.openxmlformats.org/officeDocument/2006/relationships/hyperlink" Target="https://doi.org/10.1097/HEP.0000000000001289" TargetMode="External"/><Relationship Id="rId176" Type="http://schemas.openxmlformats.org/officeDocument/2006/relationships/hyperlink" Target="https://libkey.io/libraries/480/10.1097/HEP.0000000000001289" TargetMode="External"/><Relationship Id="rId177" Type="http://schemas.openxmlformats.org/officeDocument/2006/relationships/hyperlink" Target="https://doi.org/10.1002/lt.24782" TargetMode="External"/><Relationship Id="rId178" Type="http://schemas.openxmlformats.org/officeDocument/2006/relationships/hyperlink" Target="https://libkey.io/libraries/480/10.1002/lt.24782" TargetMode="External"/><Relationship Id="rId179" Type="http://schemas.openxmlformats.org/officeDocument/2006/relationships/hyperlink" Target="https://doi.org/10.1097/TP.0000000000003162" TargetMode="External"/><Relationship Id="rId180" Type="http://schemas.openxmlformats.org/officeDocument/2006/relationships/hyperlink" Target="https://libkey.io/libraries/480/10.1097/TP.0000000000003162" TargetMode="External"/><Relationship Id="rId181" Type="http://schemas.openxmlformats.org/officeDocument/2006/relationships/hyperlink" Target="https://doi.org/10.1016/j.hbpd.2020.03.009" TargetMode="External"/><Relationship Id="rId182" Type="http://schemas.openxmlformats.org/officeDocument/2006/relationships/hyperlink" Target="https://libkey.io/libraries/480/10.1016/j.hbpd.2020.03.009" TargetMode="External"/><Relationship Id="rId183" Type="http://schemas.openxmlformats.org/officeDocument/2006/relationships/hyperlink" Target="https://pubmed.ncbi.nlm.nih.gov/42073607" TargetMode="External"/><Relationship Id="rId184" Type="http://schemas.openxmlformats.org/officeDocument/2006/relationships/hyperlink" Target="https://libkey.io/libraries/480/10.3390/cancers18081284" TargetMode="External"/><Relationship Id="rId185" Type="http://schemas.openxmlformats.org/officeDocument/2006/relationships/hyperlink" Target="https://doi.org/10.1016/j.jhep.2024.09.003" TargetMode="External"/><Relationship Id="rId186" Type="http://schemas.openxmlformats.org/officeDocument/2006/relationships/hyperlink" Target="https://libkey.io/libraries/480/10.1016/j.jhep.2024.09.003" TargetMode="External"/><Relationship Id="rId187" Type="http://schemas.openxmlformats.org/officeDocument/2006/relationships/hyperlink" Target="https://www.hrsa.gov/sites/default/files/hrsa/optn/optn_policies.pdf" TargetMode="External"/><Relationship Id="rId188" Type="http://schemas.openxmlformats.org/officeDocument/2006/relationships/hyperlink" Target="https://drliuhao.github.io/mh-liver-pathways/evidence/2026-10-25/" TargetMode="External"/><Relationship Id="rId189" Type="http://schemas.openxmlformats.org/officeDocument/2006/relationships/hyperlink" Target="https://www.hrsa.gov/sites/default/files/hrsa/optn/adult-meld-exception-transplant-oncology-review-guidance.pdf" TargetMode="External"/><Relationship Id="rId190" Type="http://schemas.openxmlformats.org/officeDocument/2006/relationships/hyperlink" Target="https://drliuhao.github.io/mh-liver-pathways/evidence/2026-10-25/" TargetMode="External"/><Relationship Id="rId191" Type="http://schemas.openxmlformats.org/officeDocument/2006/relationships/hyperlink" Target="https://www.nccn.org/professionals/physician_gls/pdf/hcc.pdf#page=10" TargetMode="External"/><Relationship Id="rId192" Type="http://schemas.openxmlformats.org/officeDocument/2006/relationships/hyperlink" Target="https://drliuhao.github.io/mh-liver-pathways/evidence/2026-10-25/" TargetMode="External"/><Relationship Id="rId193" Type="http://schemas.openxmlformats.org/officeDocument/2006/relationships/hyperlink" Target="https://doi.org/10.1097/HEP.0000000000001644" TargetMode="External"/><Relationship Id="rId194" Type="http://schemas.openxmlformats.org/officeDocument/2006/relationships/hyperlink" Target="https://libkey.io/libraries/480/10.1097/HEP.0000000000001644" TargetMode="External"/><Relationship Id="rId195" Type="http://schemas.openxmlformats.org/officeDocument/2006/relationships/hyperlink" Target="https://doi.org/10.1097/HEP.0000000000000466" TargetMode="External"/><Relationship Id="rId196" Type="http://schemas.openxmlformats.org/officeDocument/2006/relationships/hyperlink" Target="https://libkey.io/libraries/480/10.1097/HEP.0000000000000466" TargetMode="External"/><Relationship Id="rId197" Type="http://schemas.openxmlformats.org/officeDocument/2006/relationships/hyperlink" Target="https://doi.org/10.1097/HEP.0000000000001801" TargetMode="External"/><Relationship Id="rId198" Type="http://schemas.openxmlformats.org/officeDocument/2006/relationships/hyperlink" Target="https://libkey.io/libraries/480/10.1097/HEP.0000000000001801" TargetMode="External"/><Relationship Id="rId199" Type="http://schemas.openxmlformats.org/officeDocument/2006/relationships/hyperlink" Target="https://doi.org/10.1016/j.jhep.2024.08.028" TargetMode="External"/><Relationship Id="rId200" Type="http://schemas.openxmlformats.org/officeDocument/2006/relationships/hyperlink" Target="https://libkey.io/libraries/480/10.1016/j.jhep.2024.08.028" TargetMode="External"/><Relationship Id="rId201" Type="http://schemas.openxmlformats.org/officeDocument/2006/relationships/hyperlink" Target="https://doi.org/10.1016/S2468-1253(22)00091-7" TargetMode="External"/><Relationship Id="rId202" Type="http://schemas.openxmlformats.org/officeDocument/2006/relationships/hyperlink" Target="https://libkey.io/libraries/480/10.1016/S2468-1253(22)00091-7" TargetMode="External"/><Relationship Id="rId203" Type="http://schemas.openxmlformats.org/officeDocument/2006/relationships/hyperlink" Target="https://doi.org/10.1002/hep.31819" TargetMode="External"/><Relationship Id="rId204" Type="http://schemas.openxmlformats.org/officeDocument/2006/relationships/hyperlink" Target="https://libkey.io/libraries/480/10.1002/hep.31819" TargetMode="External"/><Relationship Id="rId205" Type="http://schemas.openxmlformats.org/officeDocument/2006/relationships/hyperlink" Target="https://doi.org/10.1016/j.prro.2021.09.004" TargetMode="External"/><Relationship Id="rId206" Type="http://schemas.openxmlformats.org/officeDocument/2006/relationships/hyperlink" Target="https://libkey.io/libraries/480/10.1016/j.prro.2021.09.004" TargetMode="External"/><Relationship Id="rId207" Type="http://schemas.openxmlformats.org/officeDocument/2006/relationships/hyperlink" Target="https://doi.org/10.1200/JCO.21.01963" TargetMode="External"/><Relationship Id="rId208" Type="http://schemas.openxmlformats.org/officeDocument/2006/relationships/hyperlink" Target="https://libkey.io/libraries/480/10.1200/JCO.21.01963" TargetMode="External"/><Relationship Id="rId209" Type="http://schemas.openxmlformats.org/officeDocument/2006/relationships/hyperlink" Target="https://doi.org/10.1148/radiol.233051" TargetMode="External"/><Relationship Id="rId210" Type="http://schemas.openxmlformats.org/officeDocument/2006/relationships/hyperlink" Target="https://libkey.io/libraries/480/10.1148/radiol.233051" TargetMode="External"/><Relationship Id="rId211" Type="http://schemas.openxmlformats.org/officeDocument/2006/relationships/hyperlink" Target="https://edge.sitecorecloud.io/americancoldf5f-acrorgf92a-productioncb02-3650/media/ACR/Files/RADS/LI-RADS/LI-RADS-CTMR-Radiation-TRA-v2024-Core.pdf" TargetMode="External"/><Relationship Id="rId212" Type="http://schemas.openxmlformats.org/officeDocument/2006/relationships/hyperlink" Target="https://drliuhao.github.io/mh-liver-pathways/evidence/2026-10-25/" TargetMode="External"/><Relationship Id="rId213" Type="http://schemas.openxmlformats.org/officeDocument/2006/relationships/hyperlink" Target="https://www.gene.com/download/pdf/avastin_prescribing.pdf" TargetMode="External"/><Relationship Id="rId214" Type="http://schemas.openxmlformats.org/officeDocument/2006/relationships/hyperlink" Target="https://drliuhao.github.io/mh-liver-pathways/evidence/2026-10-25/" TargetMode="External"/><Relationship Id="rId215" Type="http://schemas.openxmlformats.org/officeDocument/2006/relationships/hyperlink" Target="https://www.accessdata.fda.gov/drugsatfda_docs/label/2025/125554s129lbl.pdf" TargetMode="External"/><Relationship Id="rId216" Type="http://schemas.openxmlformats.org/officeDocument/2006/relationships/hyperlink" Target="https://drliuhao.github.io/mh-liver-pathways/evidence/2026-10-25/" TargetMode="External"/><Relationship Id="rId217" Type="http://schemas.openxmlformats.org/officeDocument/2006/relationships/hyperlink" Target="https://doi.org/10.1056/NEJMoa1915745" TargetMode="External"/><Relationship Id="rId218" Type="http://schemas.openxmlformats.org/officeDocument/2006/relationships/hyperlink" Target="https://libkey.io/libraries/480/10.1056/NEJMoa1915745" TargetMode="External"/><Relationship Id="rId219" Type="http://schemas.openxmlformats.org/officeDocument/2006/relationships/hyperlink" Target="https://doi.org/10.1016/j.jhep.2021.11.030" TargetMode="External"/><Relationship Id="rId220" Type="http://schemas.openxmlformats.org/officeDocument/2006/relationships/hyperlink" Target="https://libkey.io/libraries/480/10.1016/j.jhep.2021.11.030" TargetMode="External"/><Relationship Id="rId221" Type="http://schemas.openxmlformats.org/officeDocument/2006/relationships/hyperlink" Target="https://doi.org/10.1056/EVIDoa2100070" TargetMode="External"/><Relationship Id="rId222" Type="http://schemas.openxmlformats.org/officeDocument/2006/relationships/hyperlink" Target="https://libkey.io/libraries/480/10.1056/EVIDoa2100070" TargetMode="External"/><Relationship Id="rId223" Type="http://schemas.openxmlformats.org/officeDocument/2006/relationships/hyperlink" Target="https://doi.org/10.1016/S0140-6736(25)00403-9" TargetMode="External"/><Relationship Id="rId224" Type="http://schemas.openxmlformats.org/officeDocument/2006/relationships/hyperlink" Target="https://libkey.io/libraries/480/10.1016/S0140-6736(25)00403-9" TargetMode="External"/><Relationship Id="rId225" Type="http://schemas.openxmlformats.org/officeDocument/2006/relationships/hyperlink" Target="https://www.accessdata.fda.gov/drugsatfda_docs/label/2026/761232s018lbl.pdf" TargetMode="External"/><Relationship Id="rId226" Type="http://schemas.openxmlformats.org/officeDocument/2006/relationships/hyperlink" Target="https://drliuhao.github.io/mh-liver-pathways/evidence/2026-10-25/" TargetMode="External"/><Relationship Id="rId227" Type="http://schemas.openxmlformats.org/officeDocument/2006/relationships/hyperlink" Target="https://www.accessdata.fda.gov/drugsatfda_docs/label/2025/125514s178lbl.pdf" TargetMode="External"/><Relationship Id="rId228" Type="http://schemas.openxmlformats.org/officeDocument/2006/relationships/hyperlink" Target="https://drliuhao.github.io/mh-liver-pathways/evidence/2026-10-25/" TargetMode="External"/><Relationship Id="rId229" Type="http://schemas.openxmlformats.org/officeDocument/2006/relationships/hyperlink" Target="https://doi.org/10.1056/NEJMoa1717002" TargetMode="External"/><Relationship Id="rId230" Type="http://schemas.openxmlformats.org/officeDocument/2006/relationships/hyperlink" Target="https://libkey.io/libraries/480/10.1056/NEJMoa1717002" TargetMode="External"/><Relationship Id="rId231" Type="http://schemas.openxmlformats.org/officeDocument/2006/relationships/hyperlink" Target="https://doi.org/10.1016/S0140-6736(16)32453-9" TargetMode="External"/><Relationship Id="rId232" Type="http://schemas.openxmlformats.org/officeDocument/2006/relationships/hyperlink" Target="https://libkey.io/libraries/480/10.1016/S0140-6736(16)32453-9" TargetMode="External"/><Relationship Id="rId233" Type="http://schemas.openxmlformats.org/officeDocument/2006/relationships/hyperlink" Target="https://doi.org/10.1016/S1470-2045(18)30937-9" TargetMode="External"/><Relationship Id="rId234" Type="http://schemas.openxmlformats.org/officeDocument/2006/relationships/hyperlink" Target="https://libkey.io/libraries/480/10.1016/S1470-2045(18)30937-9" TargetMode="External"/><Relationship Id="rId235" Type="http://schemas.openxmlformats.org/officeDocument/2006/relationships/hyperlink" Target="https://doi.org/10.1200/JCO.22.00620" TargetMode="External"/><Relationship Id="rId236" Type="http://schemas.openxmlformats.org/officeDocument/2006/relationships/hyperlink" Target="https://libkey.io/libraries/480/10.1200/JCO.22.00620" TargetMode="External"/><Relationship Id="rId237" Type="http://schemas.openxmlformats.org/officeDocument/2006/relationships/hyperlink" Target="https://doi.org/10.1016/S0140-6736(24)02575-3" TargetMode="External"/><Relationship Id="rId238" Type="http://schemas.openxmlformats.org/officeDocument/2006/relationships/hyperlink" Target="https://libkey.io/libraries/480/10.1016/S0140-6736(24)02575-3" TargetMode="External"/><Relationship Id="rId239" Type="http://schemas.openxmlformats.org/officeDocument/2006/relationships/hyperlink" Target="https://doi.org/10.1016/S0140-6736(24)02551-0" TargetMode="External"/><Relationship Id="rId240" Type="http://schemas.openxmlformats.org/officeDocument/2006/relationships/hyperlink" Target="https://libkey.io/libraries/480/10.1016/S0140-6736(24)02551-0" TargetMode="External"/><Relationship Id="rId241" Type="http://schemas.openxmlformats.org/officeDocument/2006/relationships/hyperlink" Target="https://doi.org/10.1016/S1470-2045(26)00278-0" TargetMode="External"/><Relationship Id="rId242" Type="http://schemas.openxmlformats.org/officeDocument/2006/relationships/hyperlink" Target="https://libkey.io/libraries/480/10.1016/S1470-2045(26)00278-0" TargetMode="External"/><Relationship Id="rId243" Type="http://schemas.openxmlformats.org/officeDocument/2006/relationships/hyperlink" Target="https://doi.org/10.1097/HEP.0000000000001269" TargetMode="External"/><Relationship Id="rId244" Type="http://schemas.openxmlformats.org/officeDocument/2006/relationships/hyperlink" Target="https://libkey.io/libraries/480/10.1097/HEP.0000000000001269" TargetMode="External"/><Relationship Id="rId245" Type="http://schemas.openxmlformats.org/officeDocument/2006/relationships/hyperlink" Target="https://doi.org/10.1016/j.jhep.2026.01.006" TargetMode="External"/><Relationship Id="rId246" Type="http://schemas.openxmlformats.org/officeDocument/2006/relationships/hyperlink" Target="https://libkey.io/libraries/480/10.1016/j.jhep.2026.01.006" TargetMode="External"/><Relationship Id="rId247" Type="http://schemas.openxmlformats.org/officeDocument/2006/relationships/hyperlink" Target="https://doi.org/10.1016/j.jhep.2024.06.042" TargetMode="External"/><Relationship Id="rId248" Type="http://schemas.openxmlformats.org/officeDocument/2006/relationships/hyperlink" Target="https://libkey.io/libraries/480/10.1016/j.jhep.2024.06.042" TargetMode="External"/><Relationship Id="rId249" Type="http://schemas.openxmlformats.org/officeDocument/2006/relationships/hyperlink" Target="https://doi.org/10.1097/HEP.0000000000001289" TargetMode="External"/><Relationship Id="rId250" Type="http://schemas.openxmlformats.org/officeDocument/2006/relationships/hyperlink" Target="https://libkey.io/libraries/480/10.1097/HEP.0000000000001289" TargetMode="External"/><Relationship Id="rId251" Type="http://schemas.openxmlformats.org/officeDocument/2006/relationships/hyperlink" Target="https://doi.org/10.1016/j.jhep.2024.09.003" TargetMode="External"/><Relationship Id="rId252" Type="http://schemas.openxmlformats.org/officeDocument/2006/relationships/hyperlink" Target="https://libkey.io/libraries/480/10.1016/j.jhep.2024.09.003" TargetMode="External"/><Relationship Id="rId253" Type="http://schemas.openxmlformats.org/officeDocument/2006/relationships/hyperlink" Target="https://doi.org/10.1097/HEP.0000000000001231" TargetMode="External"/><Relationship Id="rId254" Type="http://schemas.openxmlformats.org/officeDocument/2006/relationships/hyperlink" Target="https://libkey.io/libraries/480/10.1097/HEP.0000000000001231" TargetMode="External"/><Relationship Id="rId255" Type="http://schemas.openxmlformats.org/officeDocument/2006/relationships/hyperlink" Target="https://pubmed.ncbi.nlm.nih.gov/42294332" TargetMode="External"/><Relationship Id="rId256" Type="http://schemas.openxmlformats.org/officeDocument/2006/relationships/hyperlink" Target="https://libkey.io/libraries/480/10.3389/fonc.2026.1826765" TargetMode="External"/><Relationship Id="rId257" Type="http://schemas.openxmlformats.org/officeDocument/2006/relationships/hyperlink" Target="https://pubmed.ncbi.nlm.nih.gov/22047762" TargetMode="External"/><Relationship Id="rId258" Type="http://schemas.openxmlformats.org/officeDocument/2006/relationships/hyperlink" Target="https://libkey.io/libraries/480/10.1016/s1470-2045(11)70175-9" TargetMode="External"/><Relationship Id="rId259" Type="http://schemas.openxmlformats.org/officeDocument/2006/relationships/hyperlink" Target="https://onlinelibrary.wiley.com/doi/10.1111/apt.70333" TargetMode="External"/><Relationship Id="rId260" Type="http://schemas.openxmlformats.org/officeDocument/2006/relationships/hyperlink" Target="https://libkey.io/libraries/480/10.1111/apt.70333" TargetMode="External"/><Relationship Id="rId261" Type="http://schemas.openxmlformats.org/officeDocument/2006/relationships/hyperlink" Target="https://doi.org/10.1097/lvt.0000000000000715" TargetMode="External"/><Relationship Id="rId262" Type="http://schemas.openxmlformats.org/officeDocument/2006/relationships/hyperlink" Target="https://libkey.io/libraries/480/10.1097/lvt.0000000000000715" TargetMode="External"/><Relationship Id="rId263" Type="http://schemas.openxmlformats.org/officeDocument/2006/relationships/hyperlink" Target="https://dailymed.nlm.nih.gov/dailymed/drugInfo.cfm?setid=e082a024-7850-400b-a5c2-2a140612562a" TargetMode="External"/><Relationship Id="rId264" Type="http://schemas.openxmlformats.org/officeDocument/2006/relationships/hyperlink" Target="https://drliuhao.github.io/mh-liver-pathways/evidence/2026-10-25/" TargetMode="External"/><Relationship Id="rId265" Type="http://schemas.openxmlformats.org/officeDocument/2006/relationships/hyperlink" Target="https://doi.org/10.1097/TP.0000000000000965" TargetMode="External"/><Relationship Id="rId266" Type="http://schemas.openxmlformats.org/officeDocument/2006/relationships/hyperlink" Target="https://libkey.io/libraries/480/10.1097/TP.0000000000000965" TargetMode="External"/><Relationship Id="rId267" Type="http://schemas.openxmlformats.org/officeDocument/2006/relationships/hyperlink" Target="https://pubmed.ncbi.nlm.nih.gov/30568386" TargetMode="External"/><Relationship Id="rId268" Type="http://schemas.openxmlformats.org/officeDocument/2006/relationships/hyperlink" Target="https://libkey.io/libraries/480/10.3748/wjg.v24.i45.5081" TargetMode="External"/><Relationship Id="rId269" Type="http://schemas.openxmlformats.org/officeDocument/2006/relationships/hyperlink" Target="https://pubmed.ncbi.nlm.nih.gov/36160651" TargetMode="External"/><Relationship Id="rId270" Type="http://schemas.openxmlformats.org/officeDocument/2006/relationships/hyperlink" Target="https://libkey.io/libraries/480/10.3748/wjg.v28.i34.4929" TargetMode="External"/><Relationship Id="rId271" Type="http://schemas.openxmlformats.org/officeDocument/2006/relationships/hyperlink" Target="https://doi.org/10.1016/j.ajt.2026.02.010" TargetMode="External"/><Relationship Id="rId272" Type="http://schemas.openxmlformats.org/officeDocument/2006/relationships/hyperlink" Target="https://libkey.io/libraries/480/10.1016/j.ajt.2026.02.010" TargetMode="External"/><Relationship Id="rId273" Type="http://schemas.openxmlformats.org/officeDocument/2006/relationships/hyperlink" Target="https://pubmed.ncbi.nlm.nih.gov/41986186" TargetMode="External"/><Relationship Id="rId274" Type="http://schemas.openxmlformats.org/officeDocument/2006/relationships/hyperlink" Target="https://libkey.io/libraries/480/10.1016/j.transproceed.2026.03.021" TargetMode="External"/><Relationship Id="rId275" Type="http://schemas.openxmlformats.org/officeDocument/2006/relationships/hyperlink" Target="https://doi.org/10.1111/tri.13586" TargetMode="External"/><Relationship Id="rId276" Type="http://schemas.openxmlformats.org/officeDocument/2006/relationships/hyperlink" Target="https://libkey.io/libraries/480/10.1111/tri.13586" TargetMode="External"/><Relationship Id="rId277" Type="http://schemas.openxmlformats.org/officeDocument/2006/relationships/hyperlink" Target="https://doi.org/10.1111/j.1600-6143.2011.03972.x" TargetMode="External"/><Relationship Id="rId278" Type="http://schemas.openxmlformats.org/officeDocument/2006/relationships/hyperlink" Target="https://libkey.io/libraries/480/10.1111/j.1600-6143.2011.03972.x" TargetMode="External"/><Relationship Id="rId279" Type="http://schemas.openxmlformats.org/officeDocument/2006/relationships/hyperlink" Target="https://doi.org/10.1111/ajt.14055" TargetMode="External"/><Relationship Id="rId280" Type="http://schemas.openxmlformats.org/officeDocument/2006/relationships/hyperlink" Target="https://libkey.io/libraries/480/10.1111/ajt.14055" TargetMode="External"/><Relationship Id="rId281" Type="http://schemas.openxmlformats.org/officeDocument/2006/relationships/hyperlink" Target="https://doi.org/10.1097/LVT.0000000000000303" TargetMode="External"/><Relationship Id="rId282" Type="http://schemas.openxmlformats.org/officeDocument/2006/relationships/hyperlink" Target="https://libkey.io/libraries/480/10.1097/LVT.0000000000000303" TargetMode="External"/><Relationship Id="rId283" Type="http://schemas.openxmlformats.org/officeDocument/2006/relationships/hyperlink" Target="https://doi.org/10.1016/j.jhep.2024.03.020" TargetMode="External"/><Relationship Id="rId284" Type="http://schemas.openxmlformats.org/officeDocument/2006/relationships/hyperlink" Target="https://libkey.io/libraries/480/10.1016/j.jhep.2024.03.020" TargetMode="External"/><Relationship Id="rId285" Type="http://schemas.openxmlformats.org/officeDocument/2006/relationships/hyperlink" Target="https://doi.org/10.1016/j.jhepr.2023.100907" TargetMode="External"/><Relationship Id="rId286" Type="http://schemas.openxmlformats.org/officeDocument/2006/relationships/hyperlink" Target="https://libkey.io/libraries/480/10.1016/j.jhepr.2023.100907" TargetMode="External"/><Relationship Id="rId287" Type="http://schemas.openxmlformats.org/officeDocument/2006/relationships/hyperlink" Target="https://doi.org/10.1016/j.cgh.2022.08.023" TargetMode="External"/><Relationship Id="rId288" Type="http://schemas.openxmlformats.org/officeDocument/2006/relationships/hyperlink" Target="https://libkey.io/libraries/480/10.1016/j.cgh.2022.08.023" TargetMode="External"/><Relationship Id="rId289" Type="http://schemas.openxmlformats.org/officeDocument/2006/relationships/hyperlink" Target="https://doi.org/10.1002/hep.29342" TargetMode="External"/><Relationship Id="rId290" Type="http://schemas.openxmlformats.org/officeDocument/2006/relationships/hyperlink" Target="https://libkey.io/libraries/480/10.1002/hep.29342" TargetMode="External"/><Relationship Id="rId291" Type="http://schemas.openxmlformats.org/officeDocument/2006/relationships/hyperlink" Target="https://doi.org/10.1097/HC9.0000000000000619" TargetMode="External"/><Relationship Id="rId292" Type="http://schemas.openxmlformats.org/officeDocument/2006/relationships/hyperlink" Target="https://libkey.io/libraries/480/10.1097/HC9.0000000000000619" TargetMode="External"/><Relationship Id="rId293" Type="http://schemas.openxmlformats.org/officeDocument/2006/relationships/hyperlink" Target="https://doi.org/10.1053/j.gastro.2021.07.033" TargetMode="External"/><Relationship Id="rId294" Type="http://schemas.openxmlformats.org/officeDocument/2006/relationships/hyperlink" Target="https://libkey.io/libraries/480/10.1053/j.gastro.2021.07.033" TargetMode="External"/><Relationship Id="rId295" Type="http://schemas.openxmlformats.org/officeDocument/2006/relationships/hyperlink" Target="https://doi.org/10.1016/j.ajt.2023.07.021" TargetMode="External"/><Relationship Id="rId296" Type="http://schemas.openxmlformats.org/officeDocument/2006/relationships/hyperlink" Target="https://libkey.io/libraries/480/10.1016/j.ajt.2023.07.021" TargetMode="External"/><Relationship Id="rId297" Type="http://schemas.openxmlformats.org/officeDocument/2006/relationships/hyperlink" Target="https://doi.org/10.1177/09622802261420699" TargetMode="External"/><Relationship Id="rId298" Type="http://schemas.openxmlformats.org/officeDocument/2006/relationships/hyperlink" Target="https://libkey.io/libraries/480/10.1177/09622802261420699" TargetMode="External"/><Relationship Id="rId299" Type="http://schemas.openxmlformats.org/officeDocument/2006/relationships/hyperlink" Target="https://doi.org/10.1002/hep.30570" TargetMode="External"/><Relationship Id="rId300" Type="http://schemas.openxmlformats.org/officeDocument/2006/relationships/hyperlink" Target="https://libkey.io/libraries/480/10.1002/hep.30570" TargetMode="External"/><Relationship Id="rId301" Type="http://schemas.openxmlformats.org/officeDocument/2006/relationships/hyperlink" Target="https://doi.org/10.1001/jamasurg.2022.2800" TargetMode="External"/><Relationship Id="rId302" Type="http://schemas.openxmlformats.org/officeDocument/2006/relationships/hyperlink" Target="https://libkey.io/libraries/480/10.1001/jamasurg.2022.2800" TargetMode="External"/><Relationship Id="rId303" Type="http://schemas.openxmlformats.org/officeDocument/2006/relationships/hyperlink" Target="https://doi.org/10.1002/hep.27752" TargetMode="External"/><Relationship Id="rId304" Type="http://schemas.openxmlformats.org/officeDocument/2006/relationships/hyperlink" Target="https://libkey.io/libraries/480/10.1002/hep.27752" TargetMode="External"/><Relationship Id="rId305" Type="http://schemas.openxmlformats.org/officeDocument/2006/relationships/hyperlink" Target="https://doi.org/10.1001/jamaoncol.2026.3901" TargetMode="External"/><Relationship Id="rId306" Type="http://schemas.openxmlformats.org/officeDocument/2006/relationships/hyperlink" Target="https://libkey.io/libraries/480/10.1001/jamaoncol.2026.3901" TargetMode="External"/><Relationship Id="rId307" Type="http://schemas.openxmlformats.org/officeDocument/2006/relationships/hyperlink" Target="https://doi.org/10.1016/j.jhep.2026.02.019" TargetMode="External"/><Relationship Id="rId308" Type="http://schemas.openxmlformats.org/officeDocument/2006/relationships/hyperlink" Target="https://libkey.io/libraries/480/10.1016/j.jhep.2026.02.019" TargetMode="External"/><Relationship Id="rId309" Type="http://schemas.openxmlformats.org/officeDocument/2006/relationships/hyperlink" Target="https://doi.org/10.1111/liv.70692" TargetMode="External"/><Relationship Id="rId310" Type="http://schemas.openxmlformats.org/officeDocument/2006/relationships/hyperlink" Target="https://libkey.io/libraries/480/10.1111/liv.70692" TargetMode="External"/><Relationship Id="rId311" Type="http://schemas.openxmlformats.org/officeDocument/2006/relationships/hyperlink" Target="https://doi.org/10.1002/lt.24782" TargetMode="External"/><Relationship Id="rId312" Type="http://schemas.openxmlformats.org/officeDocument/2006/relationships/hyperlink" Target="https://libkey.io/libraries/480/10.1002/lt.24782" TargetMode="External"/><Relationship Id="rId313" Type="http://schemas.openxmlformats.org/officeDocument/2006/relationships/hyperlink" Target="https://doi.org/10.1097/TP.0000000000003162" TargetMode="External"/><Relationship Id="rId314" Type="http://schemas.openxmlformats.org/officeDocument/2006/relationships/hyperlink" Target="https://libkey.io/libraries/480/10.1097/TP.0000000000003162" TargetMode="External"/><Relationship Id="rId315" Type="http://schemas.openxmlformats.org/officeDocument/2006/relationships/hyperlink" Target="https://doi.org/10.1016/j.hbpd.2020.03.009" TargetMode="External"/><Relationship Id="rId316" Type="http://schemas.openxmlformats.org/officeDocument/2006/relationships/hyperlink" Target="https://libkey.io/libraries/480/10.1016/j.hbpd.2020.03.009" TargetMode="External"/><Relationship Id="rId317" Type="http://schemas.openxmlformats.org/officeDocument/2006/relationships/hyperlink" Target="https://pubmed.ncbi.nlm.nih.gov/42073607" TargetMode="External"/><Relationship Id="rId318" Type="http://schemas.openxmlformats.org/officeDocument/2006/relationships/hyperlink" Target="https://libkey.io/libraries/480/10.3390/cancers18081284" TargetMode="External"/><Relationship Id="rId319" Type="http://schemas.openxmlformats.org/officeDocument/2006/relationships/hyperlink" Target="https://pubmed.ncbi.nlm.nih.gov/41056563" TargetMode="External"/><Relationship Id="rId320" Type="http://schemas.openxmlformats.org/officeDocument/2006/relationships/hyperlink" Target="https://libkey.io/libraries/480/10.1097/lvt.0000000000000743" TargetMode="External"/><Relationship Id="rId321" Type="http://schemas.openxmlformats.org/officeDocument/2006/relationships/hyperlink" Target="https://pubmed.ncbi.nlm.nih.gov/41490475" TargetMode="External"/><Relationship Id="rId322" Type="http://schemas.openxmlformats.org/officeDocument/2006/relationships/hyperlink" Target="https://libkey.io/libraries/480/10.1097/lvt.0000000000000803" TargetMode="External"/><Relationship Id="rId323" Type="http://schemas.openxmlformats.org/officeDocument/2006/relationships/hyperlink" Target="https://drliuhao.github.io/mh-liver-pathways/evidence/2026-10-25/docs/Memorial_Hermann_HCC_System_Roadmap_v12.docx" TargetMode="External"/><Relationship Id="rId324" Type="http://schemas.openxmlformats.org/officeDocument/2006/relationships/hyperlink" Target="https://drliuhao.github.io/mh-liver-pathways/evidence/2026-10-25/" TargetMode="External"/><Relationship Id="rId325" Type="http://schemas.openxmlformats.org/officeDocument/2006/relationships/hyperlink" Target="https://www.hrsa.gov/sites/default/files/hrsa/optn/optn_policies.pdf" TargetMode="External"/><Relationship Id="rId326" Type="http://schemas.openxmlformats.org/officeDocument/2006/relationships/hyperlink" Target="https://drliuhao.github.io/mh-liver-pathways/evidence/2026-10-25/" TargetMode="External"/><Relationship Id="rId327" Type="http://schemas.openxmlformats.org/officeDocument/2006/relationships/hyperlink" Target="https://www.hrsa.gov/sites/default/files/hrsa/optn/adult-meld-exception-transplant-oncology-review-guidance.pdf" TargetMode="External"/><Relationship Id="rId328" Type="http://schemas.openxmlformats.org/officeDocument/2006/relationships/hyperlink" Target="https://drliuhao.github.io/mh-liver-pathways/evidence/2026-10-25/" TargetMode="External"/><Relationship Id="rId329" Type="http://schemas.openxmlformats.org/officeDocument/2006/relationships/hyperlink" Target="https://www.nccn.org/professionals/physician_gls/pdf/hcc.pdf#page=10" TargetMode="External"/><Relationship Id="rId330" Type="http://schemas.openxmlformats.org/officeDocument/2006/relationships/hyperlink" Target="https://drliuhao.github.io/mh-liver-pathways/evidence/2026-10-25/" TargetMode="External"/><Relationship Id="rId331" Type="http://schemas.openxmlformats.org/officeDocument/2006/relationships/hyperlink" Target="https://doi.org/10.1097/HEP.0000000000001644" TargetMode="External"/><Relationship Id="rId332" Type="http://schemas.openxmlformats.org/officeDocument/2006/relationships/hyperlink" Target="https://libkey.io/libraries/480/10.1097/HEP.0000000000001644" TargetMode="External"/><Relationship Id="rId333" Type="http://schemas.openxmlformats.org/officeDocument/2006/relationships/hyperlink" Target="https://doi.org/10.1097/HEP.0000000000000466" TargetMode="External"/><Relationship Id="rId334" Type="http://schemas.openxmlformats.org/officeDocument/2006/relationships/hyperlink" Target="https://libkey.io/libraries/480/10.1097/HEP.0000000000000466" TargetMode="External"/><Relationship Id="rId335" Type="http://schemas.openxmlformats.org/officeDocument/2006/relationships/hyperlink" Target="https://doi.org/10.1097/HEP.0000000000001801" TargetMode="External"/><Relationship Id="rId336" Type="http://schemas.openxmlformats.org/officeDocument/2006/relationships/hyperlink" Target="https://libkey.io/libraries/480/10.1097/HEP.0000000000001801" TargetMode="External"/><Relationship Id="rId337" Type="http://schemas.openxmlformats.org/officeDocument/2006/relationships/hyperlink" Target="https://doi.org/10.1016/j.jhep.2024.08.028" TargetMode="External"/><Relationship Id="rId338" Type="http://schemas.openxmlformats.org/officeDocument/2006/relationships/hyperlink" Target="https://libkey.io/libraries/480/10.1016/j.jhep.2024.08.028" TargetMode="External"/><Relationship Id="rId339" Type="http://schemas.openxmlformats.org/officeDocument/2006/relationships/hyperlink" Target="https://doi.org/10.1016/j.prro.2021.09.004" TargetMode="External"/><Relationship Id="rId340" Type="http://schemas.openxmlformats.org/officeDocument/2006/relationships/hyperlink" Target="https://libkey.io/libraries/480/10.1016/j.prro.2021.09.004" TargetMode="External"/><Relationship Id="rId341" Type="http://schemas.openxmlformats.org/officeDocument/2006/relationships/hyperlink" Target="https://edge.sitecorecloud.io/americancoldf5f-acrorgf92a-productioncb02-3650/media/ACR/Files/RADS/LI-RADS/LI-RADS-CTMR-Radiation-TRA-v2024-Core.pdf" TargetMode="External"/><Relationship Id="rId342" Type="http://schemas.openxmlformats.org/officeDocument/2006/relationships/hyperlink" Target="https://drliuhao.github.io/mh-liver-pathways/evidence/2026-10-25/" TargetMode="External"/><Relationship Id="rId343" Type="http://schemas.openxmlformats.org/officeDocument/2006/relationships/hyperlink" Target="https://doi.org/10.1097/HEP.0000000000001289" TargetMode="External"/><Relationship Id="rId344" Type="http://schemas.openxmlformats.org/officeDocument/2006/relationships/hyperlink" Target="https://libkey.io/libraries/480/10.1097/HEP.0000000000001289" TargetMode="External"/><Relationship Id="rId345" Type="http://schemas.openxmlformats.org/officeDocument/2006/relationships/hyperlink" Target="https://doi.org/10.1016/j.jhep.2024.09.003" TargetMode="External"/><Relationship Id="rId346" Type="http://schemas.openxmlformats.org/officeDocument/2006/relationships/hyperlink" Target="https://libkey.io/libraries/480/10.1016/j.jhep.2024.09.003" TargetMode="External"/><Relationship Id="rId347" Type="http://schemas.openxmlformats.org/officeDocument/2006/relationships/hyperlink" Target="https://www.gene.com/download/pdf/avastin_prescribing.pdf" TargetMode="External"/><Relationship Id="rId348" Type="http://schemas.openxmlformats.org/officeDocument/2006/relationships/hyperlink" Target="https://drliuhao.github.io/mh-liver-pathways/evidence/2026-10-25/" TargetMode="External"/><Relationship Id="rId349" Type="http://schemas.openxmlformats.org/officeDocument/2006/relationships/hyperlink" Target="https://pubmed.ncbi.nlm.nih.gov/37760542" TargetMode="External"/><Relationship Id="rId350" Type="http://schemas.openxmlformats.org/officeDocument/2006/relationships/hyperlink" Target="https://libkey.io/libraries/480/10.3390/cancers15184574" TargetMode="External"/><Relationship Id="rId351" Type="http://schemas.openxmlformats.org/officeDocument/2006/relationships/hyperlink" Target="https://doi.org/10.1097/HEP.0000000000001231" TargetMode="External"/><Relationship Id="rId352" Type="http://schemas.openxmlformats.org/officeDocument/2006/relationships/hyperlink" Target="https://libkey.io/libraries/480/10.1097/HEP.0000000000001231" TargetMode="External"/><Relationship Id="rId353" Type="http://schemas.openxmlformats.org/officeDocument/2006/relationships/hyperlink" Target="https://pubmed.ncbi.nlm.nih.gov/42294332" TargetMode="External"/><Relationship Id="rId354" Type="http://schemas.openxmlformats.org/officeDocument/2006/relationships/hyperlink" Target="https://libkey.io/libraries/480/10.3389/fonc.2026.1826765" TargetMode="External"/><Relationship Id="rId355" Type="http://schemas.openxmlformats.org/officeDocument/2006/relationships/hyperlink" Target="https://pubmed.ncbi.nlm.nih.gov/22047762" TargetMode="External"/><Relationship Id="rId356" Type="http://schemas.openxmlformats.org/officeDocument/2006/relationships/hyperlink" Target="https://libkey.io/libraries/480/10.1016/s1470-2045(11)70175-9" TargetMode="External"/><Relationship Id="rId357" Type="http://schemas.openxmlformats.org/officeDocument/2006/relationships/hyperlink" Target="https://onlinelibrary.wiley.com/doi/10.1111/apt.70333" TargetMode="External"/><Relationship Id="rId358" Type="http://schemas.openxmlformats.org/officeDocument/2006/relationships/hyperlink" Target="https://libkey.io/libraries/480/10.1111/apt.70333" TargetMode="External"/><Relationship Id="rId359" Type="http://schemas.openxmlformats.org/officeDocument/2006/relationships/hyperlink" Target="https://doi.org/10.1097/lvt.0000000000000715" TargetMode="External"/><Relationship Id="rId360" Type="http://schemas.openxmlformats.org/officeDocument/2006/relationships/hyperlink" Target="https://libkey.io/libraries/480/10.1097/lvt.0000000000000715" TargetMode="External"/><Relationship Id="rId361" Type="http://schemas.openxmlformats.org/officeDocument/2006/relationships/hyperlink" Target="https://dailymed.nlm.nih.gov/dailymed/drugInfo.cfm?setid=e082a024-7850-400b-a5c2-2a140612562a" TargetMode="External"/><Relationship Id="rId362" Type="http://schemas.openxmlformats.org/officeDocument/2006/relationships/hyperlink" Target="https://drliuhao.github.io/mh-liver-pathways/evidence/2026-10-25/" TargetMode="External"/><Relationship Id="rId363" Type="http://schemas.openxmlformats.org/officeDocument/2006/relationships/hyperlink" Target="https://doi.org/10.1097/TP.0000000000000965" TargetMode="External"/><Relationship Id="rId364" Type="http://schemas.openxmlformats.org/officeDocument/2006/relationships/hyperlink" Target="https://libkey.io/libraries/480/10.1097/TP.0000000000000965" TargetMode="External"/><Relationship Id="rId365" Type="http://schemas.openxmlformats.org/officeDocument/2006/relationships/hyperlink" Target="https://pubmed.ncbi.nlm.nih.gov/30568386" TargetMode="External"/><Relationship Id="rId366" Type="http://schemas.openxmlformats.org/officeDocument/2006/relationships/hyperlink" Target="https://libkey.io/libraries/480/10.3748/wjg.v24.i45.5081" TargetMode="External"/><Relationship Id="rId367" Type="http://schemas.openxmlformats.org/officeDocument/2006/relationships/hyperlink" Target="https://pubmed.ncbi.nlm.nih.gov/36160651" TargetMode="External"/><Relationship Id="rId368" Type="http://schemas.openxmlformats.org/officeDocument/2006/relationships/hyperlink" Target="https://libkey.io/libraries/480/10.3748/wjg.v28.i34.4929" TargetMode="External"/><Relationship Id="rId369" Type="http://schemas.openxmlformats.org/officeDocument/2006/relationships/hyperlink" Target="https://doi.org/10.1016/j.ajt.2026.02.010" TargetMode="External"/><Relationship Id="rId370" Type="http://schemas.openxmlformats.org/officeDocument/2006/relationships/hyperlink" Target="https://libkey.io/libraries/480/10.1016/j.ajt.2026.02.010" TargetMode="External"/><Relationship Id="rId371" Type="http://schemas.openxmlformats.org/officeDocument/2006/relationships/hyperlink" Target="https://pubmed.ncbi.nlm.nih.gov/41986186" TargetMode="External"/><Relationship Id="rId372" Type="http://schemas.openxmlformats.org/officeDocument/2006/relationships/hyperlink" Target="https://libkey.io/libraries/480/10.1016/j.transproceed.2026.03.021" TargetMode="External"/><Relationship Id="rId373" Type="http://schemas.openxmlformats.org/officeDocument/2006/relationships/hyperlink" Target="https://doi.org/10.1111/tri.13586" TargetMode="External"/><Relationship Id="rId374" Type="http://schemas.openxmlformats.org/officeDocument/2006/relationships/hyperlink" Target="https://libkey.io/libraries/480/10.1111/tri.13586" TargetMode="External"/><Relationship Id="rId375" Type="http://schemas.openxmlformats.org/officeDocument/2006/relationships/hyperlink" Target="https://doi.org/10.1111/j.1600-6143.2011.03972.x" TargetMode="External"/><Relationship Id="rId376" Type="http://schemas.openxmlformats.org/officeDocument/2006/relationships/hyperlink" Target="https://libkey.io/libraries/480/10.1111/j.1600-6143.2011.03972.x" TargetMode="External"/><Relationship Id="rId377" Type="http://schemas.openxmlformats.org/officeDocument/2006/relationships/hyperlink" Target="https://doi.org/10.1111/ajt.14055" TargetMode="External"/><Relationship Id="rId378" Type="http://schemas.openxmlformats.org/officeDocument/2006/relationships/hyperlink" Target="https://libkey.io/libraries/480/10.1111/ajt.14055" TargetMode="External"/><Relationship Id="rId379" Type="http://schemas.openxmlformats.org/officeDocument/2006/relationships/hyperlink" Target="https://doi.org/10.1097/LVT.0000000000000303" TargetMode="External"/><Relationship Id="rId380" Type="http://schemas.openxmlformats.org/officeDocument/2006/relationships/hyperlink" Target="https://libkey.io/libraries/480/10.1097/LVT.0000000000000303" TargetMode="External"/><Relationship Id="rId381" Type="http://schemas.openxmlformats.org/officeDocument/2006/relationships/hyperlink" Target="https://doi.org/10.1016/j.jhep.2024.03.020" TargetMode="External"/><Relationship Id="rId382" Type="http://schemas.openxmlformats.org/officeDocument/2006/relationships/hyperlink" Target="https://libkey.io/libraries/480/10.1016/j.jhep.2024.03.020" TargetMode="External"/><Relationship Id="rId383" Type="http://schemas.openxmlformats.org/officeDocument/2006/relationships/hyperlink" Target="https://doi.org/10.1016/j.jhepr.2023.100907" TargetMode="External"/><Relationship Id="rId384" Type="http://schemas.openxmlformats.org/officeDocument/2006/relationships/hyperlink" Target="https://libkey.io/libraries/480/10.1016/j.jhepr.2023.100907" TargetMode="External"/><Relationship Id="rId385" Type="http://schemas.openxmlformats.org/officeDocument/2006/relationships/hyperlink" Target="https://doi.org/10.1016/j.cgh.2022.08.023" TargetMode="External"/><Relationship Id="rId386" Type="http://schemas.openxmlformats.org/officeDocument/2006/relationships/hyperlink" Target="https://libkey.io/libraries/480/10.1016/j.cgh.2022.08.023" TargetMode="External"/><Relationship Id="rId387" Type="http://schemas.openxmlformats.org/officeDocument/2006/relationships/hyperlink" Target="https://doi.org/10.1002/hep.29342" TargetMode="External"/><Relationship Id="rId388" Type="http://schemas.openxmlformats.org/officeDocument/2006/relationships/hyperlink" Target="https://libkey.io/libraries/480/10.1002/hep.29342" TargetMode="External"/><Relationship Id="rId389" Type="http://schemas.openxmlformats.org/officeDocument/2006/relationships/hyperlink" Target="https://doi.org/10.1097/HC9.0000000000000619" TargetMode="External"/><Relationship Id="rId390" Type="http://schemas.openxmlformats.org/officeDocument/2006/relationships/hyperlink" Target="https://libkey.io/libraries/480/10.1097/HC9.0000000000000619" TargetMode="External"/><Relationship Id="rId391" Type="http://schemas.openxmlformats.org/officeDocument/2006/relationships/hyperlink" Target="https://doi.org/10.1053/j.gastro.2021.07.033" TargetMode="External"/><Relationship Id="rId392" Type="http://schemas.openxmlformats.org/officeDocument/2006/relationships/hyperlink" Target="https://libkey.io/libraries/480/10.1053/j.gastro.2021.07.033" TargetMode="External"/><Relationship Id="rId393" Type="http://schemas.openxmlformats.org/officeDocument/2006/relationships/hyperlink" Target="https://doi.org/10.1016/j.ajt.2023.07.021" TargetMode="External"/><Relationship Id="rId394" Type="http://schemas.openxmlformats.org/officeDocument/2006/relationships/hyperlink" Target="https://libkey.io/libraries/480/10.1016/j.ajt.2023.07.021" TargetMode="External"/><Relationship Id="rId395" Type="http://schemas.openxmlformats.org/officeDocument/2006/relationships/hyperlink" Target="https://doi.org/10.1177/09622802261420699" TargetMode="External"/><Relationship Id="rId396" Type="http://schemas.openxmlformats.org/officeDocument/2006/relationships/hyperlink" Target="https://libkey.io/libraries/480/10.1177/09622802261420699" TargetMode="External"/><Relationship Id="rId397" Type="http://schemas.openxmlformats.org/officeDocument/2006/relationships/hyperlink" Target="https://doi.org/10.1002/hep.30570" TargetMode="External"/><Relationship Id="rId398" Type="http://schemas.openxmlformats.org/officeDocument/2006/relationships/hyperlink" Target="https://libkey.io/libraries/480/10.1002/hep.30570" TargetMode="External"/><Relationship Id="rId399" Type="http://schemas.openxmlformats.org/officeDocument/2006/relationships/hyperlink" Target="https://doi.org/10.1001/jamasurg.2022.2800" TargetMode="External"/><Relationship Id="rId400" Type="http://schemas.openxmlformats.org/officeDocument/2006/relationships/hyperlink" Target="https://libkey.io/libraries/480/10.1001/jamasurg.2022.2800" TargetMode="External"/><Relationship Id="rId401" Type="http://schemas.openxmlformats.org/officeDocument/2006/relationships/hyperlink" Target="https://doi.org/10.1002/hep.27752" TargetMode="External"/><Relationship Id="rId402" Type="http://schemas.openxmlformats.org/officeDocument/2006/relationships/hyperlink" Target="https://libkey.io/libraries/480/10.1002/hep.27752" TargetMode="External"/><Relationship Id="rId403" Type="http://schemas.openxmlformats.org/officeDocument/2006/relationships/hyperlink" Target="https://doi.org/10.1001/jamaoncol.2026.3901" TargetMode="External"/><Relationship Id="rId404" Type="http://schemas.openxmlformats.org/officeDocument/2006/relationships/hyperlink" Target="https://libkey.io/libraries/480/10.1001/jamaoncol.2026.3901" TargetMode="External"/><Relationship Id="rId405" Type="http://schemas.openxmlformats.org/officeDocument/2006/relationships/hyperlink" Target="https://doi.org/10.1016/j.jhep.2026.02.019" TargetMode="External"/><Relationship Id="rId406" Type="http://schemas.openxmlformats.org/officeDocument/2006/relationships/hyperlink" Target="https://libkey.io/libraries/480/10.1016/j.jhep.2026.02.019" TargetMode="External"/><Relationship Id="rId407" Type="http://schemas.openxmlformats.org/officeDocument/2006/relationships/hyperlink" Target="https://doi.org/10.1111/liv.70692" TargetMode="External"/><Relationship Id="rId408" Type="http://schemas.openxmlformats.org/officeDocument/2006/relationships/hyperlink" Target="https://libkey.io/libraries/480/10.1111/liv.70692" TargetMode="External"/><Relationship Id="rId409" Type="http://schemas.openxmlformats.org/officeDocument/2006/relationships/hyperlink" Target="https://doi.org/10.1002/lt.24782" TargetMode="External"/><Relationship Id="rId410" Type="http://schemas.openxmlformats.org/officeDocument/2006/relationships/hyperlink" Target="https://libkey.io/libraries/480/10.1002/lt.24782" TargetMode="External"/><Relationship Id="rId411" Type="http://schemas.openxmlformats.org/officeDocument/2006/relationships/hyperlink" Target="https://doi.org/10.1097/TP.0000000000003162" TargetMode="External"/><Relationship Id="rId412" Type="http://schemas.openxmlformats.org/officeDocument/2006/relationships/hyperlink" Target="https://libkey.io/libraries/480/10.1097/TP.0000000000003162" TargetMode="External"/><Relationship Id="rId413" Type="http://schemas.openxmlformats.org/officeDocument/2006/relationships/hyperlink" Target="https://doi.org/10.1016/j.hbpd.2020.03.009" TargetMode="External"/><Relationship Id="rId414" Type="http://schemas.openxmlformats.org/officeDocument/2006/relationships/hyperlink" Target="https://libkey.io/libraries/480/10.1016/j.hbpd.2020.03.009" TargetMode="External"/><Relationship Id="rId415" Type="http://schemas.openxmlformats.org/officeDocument/2006/relationships/hyperlink" Target="https://pubmed.ncbi.nlm.nih.gov/42073607" TargetMode="External"/><Relationship Id="rId416" Type="http://schemas.openxmlformats.org/officeDocument/2006/relationships/hyperlink" Target="https://libkey.io/libraries/480/10.3390/cancers18081284" TargetMode="External"/><Relationship Id="rId417" Type="http://schemas.openxmlformats.org/officeDocument/2006/relationships/hyperlink" Target="https://pubmed.ncbi.nlm.nih.gov/41056563" TargetMode="External"/><Relationship Id="rId418" Type="http://schemas.openxmlformats.org/officeDocument/2006/relationships/hyperlink" Target="https://libkey.io/libraries/480/10.1097/lvt.0000000000000743" TargetMode="External"/><Relationship Id="rId419" Type="http://schemas.openxmlformats.org/officeDocument/2006/relationships/hyperlink" Target="https://pubmed.ncbi.nlm.nih.gov/41490475" TargetMode="External"/><Relationship Id="rId420" Type="http://schemas.openxmlformats.org/officeDocument/2006/relationships/hyperlink" Target="https://libkey.io/libraries/480/10.1097/lvt.0000000000000803" TargetMode="External"/><Relationship Id="rId421" Type="http://schemas.openxmlformats.org/officeDocument/2006/relationships/hyperlink" Target="https://drliuhao.github.io/mh-liver-pathways/evidence/2026-10-25/docs/HCC_B1_1_AFP_Evidence_and_Open_Meeting_Record_v12.docx" TargetMode="External"/><Relationship Id="rId422" Type="http://schemas.openxmlformats.org/officeDocument/2006/relationships/hyperlink" Target="https://drliuhao.github.io/mh-liver-pathways/evidence/2026-10-25/docs/HPB_Cross_Tumor_Systemic_Treatment_Matrix_2026-10-25.docx" TargetMode="External"/><Relationship Id="rId423" Type="http://schemas.openxmlformats.org/officeDocument/2006/relationships/hyperlink" Target="https://www.hrsa.gov/sites/default/files/hrsa/optn/optn_policies.pdf" TargetMode="External"/><Relationship Id="rId424" Type="http://schemas.openxmlformats.org/officeDocument/2006/relationships/hyperlink" Target="https://drliuhao.github.io/mh-liver-pathways/evidence/2026-10-25/" TargetMode="External"/><Relationship Id="rId425" Type="http://schemas.openxmlformats.org/officeDocument/2006/relationships/hyperlink" Target="https://www.hrsa.gov/sites/default/files/hrsa/optn/adult-meld-exception-transplant-oncology-review-guidance.pdf" TargetMode="External"/><Relationship Id="rId426" Type="http://schemas.openxmlformats.org/officeDocument/2006/relationships/hyperlink" Target="https://drliuhao.github.io/mh-liver-pathways/evidence/2026-10-25/" TargetMode="External"/><Relationship Id="rId427" Type="http://schemas.openxmlformats.org/officeDocument/2006/relationships/hyperlink" Target="https://doi.org/10.1002/hep.30413" TargetMode="External"/><Relationship Id="rId428" Type="http://schemas.openxmlformats.org/officeDocument/2006/relationships/hyperlink" Target="https://libkey.io/libraries/480/10.1002/hep.30413" TargetMode="External"/><Relationship Id="rId429" Type="http://schemas.openxmlformats.org/officeDocument/2006/relationships/hyperlink" Target="https://doi.org/10.1001/jamasurg.2021.0954" TargetMode="External"/><Relationship Id="rId430" Type="http://schemas.openxmlformats.org/officeDocument/2006/relationships/hyperlink" Target="https://libkey.io/libraries/480/10.1001/jamasurg.2021.0954" TargetMode="External"/><Relationship Id="rId431" Type="http://schemas.openxmlformats.org/officeDocument/2006/relationships/hyperlink" Target="https://doi.org/10.1097/HEP.0000000000000466" TargetMode="External"/><Relationship Id="rId432" Type="http://schemas.openxmlformats.org/officeDocument/2006/relationships/hyperlink" Target="https://libkey.io/libraries/480/10.1097/HEP.0000000000000466" TargetMode="External"/><Relationship Id="rId433" Type="http://schemas.openxmlformats.org/officeDocument/2006/relationships/hyperlink" Target="https://doi.org/10.1002/cam4.71812" TargetMode="External"/><Relationship Id="rId434" Type="http://schemas.openxmlformats.org/officeDocument/2006/relationships/hyperlink" Target="https://libkey.io/libraries/480/10.1002/cam4.71812" TargetMode="External"/><Relationship Id="rId435" Type="http://schemas.openxmlformats.org/officeDocument/2006/relationships/hyperlink" Target="https://www.hrsa.gov/sites/default/files/hrsa/optn/optn_policies.pdf" TargetMode="External"/><Relationship Id="rId436" Type="http://schemas.openxmlformats.org/officeDocument/2006/relationships/hyperlink" Target="https://drliuhao.github.io/mh-liver-pathways/evidence/2026-10-25/" TargetMode="External"/><Relationship Id="rId437" Type="http://schemas.openxmlformats.org/officeDocument/2006/relationships/hyperlink" Target="https://www.hrsa.gov/sites/default/files/hrsa/optn/adult-meld-exception-transplant-oncology-review-guidance.pdf" TargetMode="External"/><Relationship Id="rId438" Type="http://schemas.openxmlformats.org/officeDocument/2006/relationships/hyperlink" Target="https://drliuhao.github.io/mh-liver-pathways/evidence/2026-10-25/" TargetMode="External"/><Relationship Id="rId439" Type="http://schemas.openxmlformats.org/officeDocument/2006/relationships/hyperlink" Target="https://doi.org/10.1097/HEP.0000000000000466" TargetMode="External"/><Relationship Id="rId440" Type="http://schemas.openxmlformats.org/officeDocument/2006/relationships/hyperlink" Target="https://libkey.io/libraries/480/10.1097/HEP.0000000000000466" TargetMode="External"/><Relationship Id="rId441" Type="http://schemas.openxmlformats.org/officeDocument/2006/relationships/hyperlink" Target="https://doi.org/10.1097/HEP.0000000000000466" TargetMode="External"/><Relationship Id="rId442" Type="http://schemas.openxmlformats.org/officeDocument/2006/relationships/hyperlink" Target="https://libkey.io/libraries/480/10.1097/HEP.0000000000000466" TargetMode="External"/><Relationship Id="rId443" Type="http://schemas.openxmlformats.org/officeDocument/2006/relationships/hyperlink" Target="https://doi.org/10.1097/HEP.0000000000000466" TargetMode="External"/><Relationship Id="rId444" Type="http://schemas.openxmlformats.org/officeDocument/2006/relationships/hyperlink" Target="https://libkey.io/libraries/480/10.1097/HEP.0000000000000466" TargetMode="External"/><Relationship Id="rId445" Type="http://schemas.openxmlformats.org/officeDocument/2006/relationships/hyperlink" Target="https://www.hrsa.gov/sites/default/files/hrsa/optn/optn_policies.pdf" TargetMode="External"/><Relationship Id="rId446" Type="http://schemas.openxmlformats.org/officeDocument/2006/relationships/hyperlink" Target="https://drliuhao.github.io/mh-liver-pathways/evidence/2026-10-25/" TargetMode="External"/><Relationship Id="rId447" Type="http://schemas.openxmlformats.org/officeDocument/2006/relationships/hyperlink" Target="https://www.hrsa.gov/sites/default/files/hrsa/optn/adult-meld-exception-transplant-oncology-review-guidance.pdf" TargetMode="External"/><Relationship Id="rId448" Type="http://schemas.openxmlformats.org/officeDocument/2006/relationships/hyperlink" Target="https://drliuhao.github.io/mh-liver-pathways/evidence/2026-10-25/" TargetMode="External"/><Relationship Id="rId449" Type="http://schemas.openxmlformats.org/officeDocument/2006/relationships/hyperlink" Target="https://www.hrsa.gov/sites/default/files/hrsa/optn/optn_policies.pdf" TargetMode="External"/><Relationship Id="rId450" Type="http://schemas.openxmlformats.org/officeDocument/2006/relationships/hyperlink" Target="https://drliuhao.github.io/mh-liver-pathways/evidence/2026-10-25/" TargetMode="External"/><Relationship Id="rId451" Type="http://schemas.openxmlformats.org/officeDocument/2006/relationships/hyperlink" Target="https://www.hrsa.gov/sites/default/files/hrsa/optn/adult-meld-exception-transplant-oncology-review-guidance.pdf" TargetMode="External"/><Relationship Id="rId452" Type="http://schemas.openxmlformats.org/officeDocument/2006/relationships/hyperlink" Target="https://drliuhao.github.io/mh-liver-pathways/evidence/2026-10-25/" TargetMode="External"/><Relationship Id="rId453" Type="http://schemas.openxmlformats.org/officeDocument/2006/relationships/hyperlink" Target="https://doi.org/10.1002/lt.26392" TargetMode="External"/><Relationship Id="rId454" Type="http://schemas.openxmlformats.org/officeDocument/2006/relationships/hyperlink" Target="https://libkey.io/libraries/480/10.1002/lt.26392" TargetMode="External"/><Relationship Id="rId455" Type="http://schemas.openxmlformats.org/officeDocument/2006/relationships/hyperlink" Target="https://doi.org/10.1097/HEP.0000000000000466" TargetMode="External"/><Relationship Id="rId456" Type="http://schemas.openxmlformats.org/officeDocument/2006/relationships/hyperlink" Target="https://libkey.io/libraries/480/10.1097/HEP.0000000000000466" TargetMode="External"/><Relationship Id="rId457" Type="http://schemas.openxmlformats.org/officeDocument/2006/relationships/hyperlink" Target="https://doi.org/10.1097/TP.0000000000002094" TargetMode="External"/><Relationship Id="rId458" Type="http://schemas.openxmlformats.org/officeDocument/2006/relationships/hyperlink" Target="https://libkey.io/libraries/480/10.1097/TP.0000000000002094" TargetMode="External"/><Relationship Id="rId459" Type="http://schemas.openxmlformats.org/officeDocument/2006/relationships/hyperlink" Target="https://doi.org/10.1097/TP.0000000000002094" TargetMode="External"/><Relationship Id="rId460" Type="http://schemas.openxmlformats.org/officeDocument/2006/relationships/hyperlink" Target="https://libkey.io/libraries/480/10.1097/TP.0000000000002094" TargetMode="External"/><Relationship Id="rId461" Type="http://schemas.openxmlformats.org/officeDocument/2006/relationships/hyperlink" Target="https://doi.org/10.1002/hep.30413" TargetMode="External"/><Relationship Id="rId462" Type="http://schemas.openxmlformats.org/officeDocument/2006/relationships/hyperlink" Target="https://libkey.io/libraries/480/10.1002/hep.30413" TargetMode="External"/><Relationship Id="rId463" Type="http://schemas.openxmlformats.org/officeDocument/2006/relationships/hyperlink" Target="https://doi.org/10.1002/lt.26392" TargetMode="External"/><Relationship Id="rId464" Type="http://schemas.openxmlformats.org/officeDocument/2006/relationships/hyperlink" Target="https://libkey.io/libraries/480/10.1002/lt.26392" TargetMode="External"/><Relationship Id="rId465" Type="http://schemas.openxmlformats.org/officeDocument/2006/relationships/hyperlink" Target="https://doi.org/10.1097/HEP.0000000000000466" TargetMode="External"/><Relationship Id="rId466" Type="http://schemas.openxmlformats.org/officeDocument/2006/relationships/hyperlink" Target="https://libkey.io/libraries/480/10.1097/HEP.0000000000000466" TargetMode="External"/><Relationship Id="rId467" Type="http://schemas.openxmlformats.org/officeDocument/2006/relationships/hyperlink" Target="https://www.hrsa.gov/sites/default/files/hrsa/optn/optn_policies.pdf" TargetMode="External"/><Relationship Id="rId468" Type="http://schemas.openxmlformats.org/officeDocument/2006/relationships/hyperlink" Target="https://drliuhao.github.io/mh-liver-pathways/evidence/2026-10-25/" TargetMode="External"/><Relationship Id="rId469" Type="http://schemas.openxmlformats.org/officeDocument/2006/relationships/hyperlink" Target="https://www.hrsa.gov/sites/default/files/hrsa/optn/adult-meld-exception-transplant-oncology-review-guidance.pdf" TargetMode="External"/><Relationship Id="rId470" Type="http://schemas.openxmlformats.org/officeDocument/2006/relationships/hyperlink" Target="https://drliuhao.github.io/mh-liver-pathways/evidence/2026-10-25/" TargetMode="External"/><Relationship Id="rId471" Type="http://schemas.openxmlformats.org/officeDocument/2006/relationships/hyperlink" Target="https://www.nccn.org/professionals/physician_gls/pdf/hcc.pdf#page=10" TargetMode="External"/><Relationship Id="rId472" Type="http://schemas.openxmlformats.org/officeDocument/2006/relationships/hyperlink" Target="https://drliuhao.github.io/mh-liver-pathways/evidence/2026-10-25/" TargetMode="External"/><Relationship Id="rId473" Type="http://schemas.openxmlformats.org/officeDocument/2006/relationships/hyperlink" Target="https://doi.org/10.1097/HEP.0000000000001644" TargetMode="External"/><Relationship Id="rId474" Type="http://schemas.openxmlformats.org/officeDocument/2006/relationships/hyperlink" Target="https://libkey.io/libraries/480/10.1097/HEP.0000000000001644" TargetMode="External"/><Relationship Id="rId475" Type="http://schemas.openxmlformats.org/officeDocument/2006/relationships/hyperlink" Target="https://doi.org/10.1097/HEP.0000000000000466" TargetMode="External"/><Relationship Id="rId476" Type="http://schemas.openxmlformats.org/officeDocument/2006/relationships/hyperlink" Target="https://libkey.io/libraries/480/10.1097/HEP.0000000000000466" TargetMode="External"/><Relationship Id="rId477" Type="http://schemas.openxmlformats.org/officeDocument/2006/relationships/hyperlink" Target="https://doi.org/10.1097/HEP.0000000000001801" TargetMode="External"/><Relationship Id="rId478" Type="http://schemas.openxmlformats.org/officeDocument/2006/relationships/hyperlink" Target="https://libkey.io/libraries/480/10.1097/HEP.0000000000001801" TargetMode="External"/><Relationship Id="rId479" Type="http://schemas.openxmlformats.org/officeDocument/2006/relationships/hyperlink" Target="https://doi.org/10.1002/hep.30413" TargetMode="External"/><Relationship Id="rId480" Type="http://schemas.openxmlformats.org/officeDocument/2006/relationships/hyperlink" Target="https://libkey.io/libraries/480/10.1002/hep.30413" TargetMode="External"/><Relationship Id="rId481" Type="http://schemas.openxmlformats.org/officeDocument/2006/relationships/hyperlink" Target="https://doi.org/10.1001/jamasurg.2021.0954" TargetMode="External"/><Relationship Id="rId482" Type="http://schemas.openxmlformats.org/officeDocument/2006/relationships/hyperlink" Target="https://libkey.io/libraries/480/10.1001/jamasurg.2021.0954" TargetMode="External"/><Relationship Id="rId483" Type="http://schemas.openxmlformats.org/officeDocument/2006/relationships/hyperlink" Target="https://doi.org/10.1002/cam4.71812" TargetMode="External"/><Relationship Id="rId484" Type="http://schemas.openxmlformats.org/officeDocument/2006/relationships/hyperlink" Target="https://libkey.io/libraries/480/10.1002/cam4.71812" TargetMode="External"/><Relationship Id="rId485" Type="http://schemas.openxmlformats.org/officeDocument/2006/relationships/hyperlink" Target="https://doi.org/10.1002/lt.26392" TargetMode="External"/><Relationship Id="rId486" Type="http://schemas.openxmlformats.org/officeDocument/2006/relationships/hyperlink" Target="https://libkey.io/libraries/480/10.1002/lt.26392" TargetMode="External"/><Relationship Id="rId487" Type="http://schemas.openxmlformats.org/officeDocument/2006/relationships/hyperlink" Target="https://doi.org/10.1097/TP.0000000000002094" TargetMode="External"/><Relationship Id="rId488" Type="http://schemas.openxmlformats.org/officeDocument/2006/relationships/hyperlink" Target="https://libkey.io/libraries/480/10.1097/TP.0000000000002094" TargetMode="External"/><Relationship Id="rId489" Type="http://schemas.openxmlformats.org/officeDocument/2006/relationships/hyperlink" Target="https://doi.org/10.1016/j.jhep.2024.08.028" TargetMode="External"/><Relationship Id="rId490" Type="http://schemas.openxmlformats.org/officeDocument/2006/relationships/hyperlink" Target="https://libkey.io/libraries/480/10.1016/j.jhep.2024.08.028" TargetMode="External"/><Relationship Id="rId491" Type="http://schemas.openxmlformats.org/officeDocument/2006/relationships/hyperlink" Target="https://doi.org/10.1016/j.prro.2021.09.004" TargetMode="External"/><Relationship Id="rId492" Type="http://schemas.openxmlformats.org/officeDocument/2006/relationships/hyperlink" Target="https://libkey.io/libraries/480/10.1016/j.prro.2021.09.004" TargetMode="External"/><Relationship Id="rId493" Type="http://schemas.openxmlformats.org/officeDocument/2006/relationships/hyperlink" Target="https://edge.sitecorecloud.io/americancoldf5f-acrorgf92a-productioncb02-3650/media/ACR/Files/RADS/LI-RADS/LI-RADS-CTMR-Radiation-TRA-v2024-Core.pdf" TargetMode="External"/><Relationship Id="rId494" Type="http://schemas.openxmlformats.org/officeDocument/2006/relationships/hyperlink" Target="https://drliuhao.github.io/mh-liver-pathways/evidence/2026-10-25/" TargetMode="External"/><Relationship Id="rId495" Type="http://schemas.openxmlformats.org/officeDocument/2006/relationships/hyperlink" Target="https://doi.org/10.1097/HEP.0000000000001289" TargetMode="External"/><Relationship Id="rId496" Type="http://schemas.openxmlformats.org/officeDocument/2006/relationships/hyperlink" Target="https://libkey.io/libraries/480/10.1097/HEP.0000000000001289" TargetMode="External"/><Relationship Id="rId497" Type="http://schemas.openxmlformats.org/officeDocument/2006/relationships/hyperlink" Target="https://doi.org/10.1016/j.jhep.2024.09.003" TargetMode="External"/><Relationship Id="rId498" Type="http://schemas.openxmlformats.org/officeDocument/2006/relationships/hyperlink" Target="https://libkey.io/libraries/480/10.1016/j.jhep.2024.09.003" TargetMode="External"/><Relationship Id="rId499" Type="http://schemas.openxmlformats.org/officeDocument/2006/relationships/hyperlink" Target="https://www.gene.com/download/pdf/avastin_prescribing.pdf" TargetMode="External"/><Relationship Id="rId500" Type="http://schemas.openxmlformats.org/officeDocument/2006/relationships/hyperlink" Target="https://drliuhao.github.io/mh-liver-pathways/evidence/2026-10-25/" TargetMode="External"/><Relationship Id="rId501" Type="http://schemas.openxmlformats.org/officeDocument/2006/relationships/hyperlink" Target="https://pubmed.ncbi.nlm.nih.gov/37760542" TargetMode="External"/><Relationship Id="rId502" Type="http://schemas.openxmlformats.org/officeDocument/2006/relationships/hyperlink" Target="https://libkey.io/libraries/480/10.3390/cancers15184574" TargetMode="External"/><Relationship Id="rId503" Type="http://schemas.openxmlformats.org/officeDocument/2006/relationships/hyperlink" Target="https://doi.org/10.1097/HEP.0000000000001231" TargetMode="External"/><Relationship Id="rId504" Type="http://schemas.openxmlformats.org/officeDocument/2006/relationships/hyperlink" Target="https://libkey.io/libraries/480/10.1097/HEP.0000000000001231" TargetMode="External"/><Relationship Id="rId505" Type="http://schemas.openxmlformats.org/officeDocument/2006/relationships/hyperlink" Target="https://pubmed.ncbi.nlm.nih.gov/42294332" TargetMode="External"/><Relationship Id="rId506" Type="http://schemas.openxmlformats.org/officeDocument/2006/relationships/hyperlink" Target="https://libkey.io/libraries/480/10.3389/fonc.2026.1826765" TargetMode="External"/><Relationship Id="rId507" Type="http://schemas.openxmlformats.org/officeDocument/2006/relationships/hyperlink" Target="https://pubmed.ncbi.nlm.nih.gov/22047762" TargetMode="External"/><Relationship Id="rId508" Type="http://schemas.openxmlformats.org/officeDocument/2006/relationships/hyperlink" Target="https://libkey.io/libraries/480/10.1016/s1470-2045(11)70175-9" TargetMode="External"/><Relationship Id="rId509" Type="http://schemas.openxmlformats.org/officeDocument/2006/relationships/hyperlink" Target="https://onlinelibrary.wiley.com/doi/10.1111/apt.70333" TargetMode="External"/><Relationship Id="rId510" Type="http://schemas.openxmlformats.org/officeDocument/2006/relationships/hyperlink" Target="https://libkey.io/libraries/480/10.1111/apt.70333" TargetMode="External"/><Relationship Id="rId511" Type="http://schemas.openxmlformats.org/officeDocument/2006/relationships/hyperlink" Target="https://doi.org/10.1097/lvt.0000000000000715" TargetMode="External"/><Relationship Id="rId512" Type="http://schemas.openxmlformats.org/officeDocument/2006/relationships/hyperlink" Target="https://libkey.io/libraries/480/10.1097/lvt.0000000000000715" TargetMode="External"/><Relationship Id="rId513" Type="http://schemas.openxmlformats.org/officeDocument/2006/relationships/hyperlink" Target="https://dailymed.nlm.nih.gov/dailymed/drugInfo.cfm?setid=e082a024-7850-400b-a5c2-2a140612562a" TargetMode="External"/><Relationship Id="rId514" Type="http://schemas.openxmlformats.org/officeDocument/2006/relationships/hyperlink" Target="https://drliuhao.github.io/mh-liver-pathways/evidence/2026-10-25/" TargetMode="External"/><Relationship Id="rId515" Type="http://schemas.openxmlformats.org/officeDocument/2006/relationships/hyperlink" Target="https://doi.org/10.1097/TP.0000000000000965" TargetMode="External"/><Relationship Id="rId516" Type="http://schemas.openxmlformats.org/officeDocument/2006/relationships/hyperlink" Target="https://libkey.io/libraries/480/10.1097/TP.0000000000000965" TargetMode="External"/><Relationship Id="rId517" Type="http://schemas.openxmlformats.org/officeDocument/2006/relationships/hyperlink" Target="https://pubmed.ncbi.nlm.nih.gov/30568386" TargetMode="External"/><Relationship Id="rId518" Type="http://schemas.openxmlformats.org/officeDocument/2006/relationships/hyperlink" Target="https://libkey.io/libraries/480/10.3748/wjg.v24.i45.5081" TargetMode="External"/><Relationship Id="rId519" Type="http://schemas.openxmlformats.org/officeDocument/2006/relationships/hyperlink" Target="https://pubmed.ncbi.nlm.nih.gov/36160651" TargetMode="External"/><Relationship Id="rId520" Type="http://schemas.openxmlformats.org/officeDocument/2006/relationships/hyperlink" Target="https://libkey.io/libraries/480/10.3748/wjg.v28.i34.4929" TargetMode="External"/><Relationship Id="rId521" Type="http://schemas.openxmlformats.org/officeDocument/2006/relationships/hyperlink" Target="https://doi.org/10.1016/j.ajt.2026.02.010" TargetMode="External"/><Relationship Id="rId522" Type="http://schemas.openxmlformats.org/officeDocument/2006/relationships/hyperlink" Target="https://libkey.io/libraries/480/10.1016/j.ajt.2026.02.010" TargetMode="External"/><Relationship Id="rId523" Type="http://schemas.openxmlformats.org/officeDocument/2006/relationships/hyperlink" Target="https://pubmed.ncbi.nlm.nih.gov/41986186" TargetMode="External"/><Relationship Id="rId524" Type="http://schemas.openxmlformats.org/officeDocument/2006/relationships/hyperlink" Target="https://libkey.io/libraries/480/10.1016/j.transproceed.2026.03.021" TargetMode="External"/><Relationship Id="rId525" Type="http://schemas.openxmlformats.org/officeDocument/2006/relationships/hyperlink" Target="https://doi.org/10.1111/tri.13586" TargetMode="External"/><Relationship Id="rId526" Type="http://schemas.openxmlformats.org/officeDocument/2006/relationships/hyperlink" Target="https://libkey.io/libraries/480/10.1111/tri.13586" TargetMode="External"/><Relationship Id="rId527" Type="http://schemas.openxmlformats.org/officeDocument/2006/relationships/hyperlink" Target="https://doi.org/10.1111/j.1600-6143.2011.03972.x" TargetMode="External"/><Relationship Id="rId528" Type="http://schemas.openxmlformats.org/officeDocument/2006/relationships/hyperlink" Target="https://libkey.io/libraries/480/10.1111/j.1600-6143.2011.03972.x" TargetMode="External"/><Relationship Id="rId529" Type="http://schemas.openxmlformats.org/officeDocument/2006/relationships/hyperlink" Target="https://doi.org/10.1111/ajt.14055" TargetMode="External"/><Relationship Id="rId530" Type="http://schemas.openxmlformats.org/officeDocument/2006/relationships/hyperlink" Target="https://libkey.io/libraries/480/10.1111/ajt.14055" TargetMode="External"/><Relationship Id="rId531" Type="http://schemas.openxmlformats.org/officeDocument/2006/relationships/hyperlink" Target="https://doi.org/10.1097/LVT.0000000000000303" TargetMode="External"/><Relationship Id="rId532" Type="http://schemas.openxmlformats.org/officeDocument/2006/relationships/hyperlink" Target="https://libkey.io/libraries/480/10.1097/LVT.0000000000000303" TargetMode="External"/><Relationship Id="rId533" Type="http://schemas.openxmlformats.org/officeDocument/2006/relationships/hyperlink" Target="https://doi.org/10.1016/j.jhep.2024.03.020" TargetMode="External"/><Relationship Id="rId534" Type="http://schemas.openxmlformats.org/officeDocument/2006/relationships/hyperlink" Target="https://libkey.io/libraries/480/10.1016/j.jhep.2024.03.020" TargetMode="External"/><Relationship Id="rId535" Type="http://schemas.openxmlformats.org/officeDocument/2006/relationships/hyperlink" Target="https://doi.org/10.1016/j.jhepr.2023.100907" TargetMode="External"/><Relationship Id="rId536" Type="http://schemas.openxmlformats.org/officeDocument/2006/relationships/hyperlink" Target="https://libkey.io/libraries/480/10.1016/j.jhepr.2023.100907" TargetMode="External"/><Relationship Id="rId537" Type="http://schemas.openxmlformats.org/officeDocument/2006/relationships/hyperlink" Target="https://doi.org/10.1016/j.cgh.2022.08.023" TargetMode="External"/><Relationship Id="rId538" Type="http://schemas.openxmlformats.org/officeDocument/2006/relationships/hyperlink" Target="https://libkey.io/libraries/480/10.1016/j.cgh.2022.08.023" TargetMode="External"/><Relationship Id="rId539" Type="http://schemas.openxmlformats.org/officeDocument/2006/relationships/hyperlink" Target="https://doi.org/10.1002/hep.29342" TargetMode="External"/><Relationship Id="rId540" Type="http://schemas.openxmlformats.org/officeDocument/2006/relationships/hyperlink" Target="https://libkey.io/libraries/480/10.1002/hep.29342" TargetMode="External"/><Relationship Id="rId541" Type="http://schemas.openxmlformats.org/officeDocument/2006/relationships/hyperlink" Target="https://doi.org/10.1097/HC9.0000000000000619" TargetMode="External"/><Relationship Id="rId542" Type="http://schemas.openxmlformats.org/officeDocument/2006/relationships/hyperlink" Target="https://libkey.io/libraries/480/10.1097/HC9.0000000000000619" TargetMode="External"/><Relationship Id="rId543" Type="http://schemas.openxmlformats.org/officeDocument/2006/relationships/hyperlink" Target="https://doi.org/10.1053/j.gastro.2021.07.033" TargetMode="External"/><Relationship Id="rId544" Type="http://schemas.openxmlformats.org/officeDocument/2006/relationships/hyperlink" Target="https://libkey.io/libraries/480/10.1053/j.gastro.2021.07.033" TargetMode="External"/><Relationship Id="rId545" Type="http://schemas.openxmlformats.org/officeDocument/2006/relationships/hyperlink" Target="https://doi.org/10.1016/j.ajt.2023.07.021" TargetMode="External"/><Relationship Id="rId546" Type="http://schemas.openxmlformats.org/officeDocument/2006/relationships/hyperlink" Target="https://libkey.io/libraries/480/10.1016/j.ajt.2023.07.021" TargetMode="External"/><Relationship Id="rId547" Type="http://schemas.openxmlformats.org/officeDocument/2006/relationships/hyperlink" Target="https://doi.org/10.1177/09622802261420699" TargetMode="External"/><Relationship Id="rId548" Type="http://schemas.openxmlformats.org/officeDocument/2006/relationships/hyperlink" Target="https://libkey.io/libraries/480/10.1177/09622802261420699" TargetMode="External"/><Relationship Id="rId549" Type="http://schemas.openxmlformats.org/officeDocument/2006/relationships/hyperlink" Target="https://doi.org/10.1002/hep.30570" TargetMode="External"/><Relationship Id="rId550" Type="http://schemas.openxmlformats.org/officeDocument/2006/relationships/hyperlink" Target="https://libkey.io/libraries/480/10.1002/hep.30570" TargetMode="External"/><Relationship Id="rId551" Type="http://schemas.openxmlformats.org/officeDocument/2006/relationships/hyperlink" Target="https://doi.org/10.1001/jamasurg.2022.2800" TargetMode="External"/><Relationship Id="rId552" Type="http://schemas.openxmlformats.org/officeDocument/2006/relationships/hyperlink" Target="https://libkey.io/libraries/480/10.1001/jamasurg.2022.2800" TargetMode="External"/><Relationship Id="rId553" Type="http://schemas.openxmlformats.org/officeDocument/2006/relationships/hyperlink" Target="https://doi.org/10.1002/hep.27752" TargetMode="External"/><Relationship Id="rId554" Type="http://schemas.openxmlformats.org/officeDocument/2006/relationships/hyperlink" Target="https://libkey.io/libraries/480/10.1002/hep.27752" TargetMode="External"/><Relationship Id="rId555" Type="http://schemas.openxmlformats.org/officeDocument/2006/relationships/hyperlink" Target="https://doi.org/10.1001/jamaoncol.2026.3901" TargetMode="External"/><Relationship Id="rId556" Type="http://schemas.openxmlformats.org/officeDocument/2006/relationships/hyperlink" Target="https://libkey.io/libraries/480/10.1001/jamaoncol.2026.3901" TargetMode="External"/><Relationship Id="rId557" Type="http://schemas.openxmlformats.org/officeDocument/2006/relationships/hyperlink" Target="https://doi.org/10.1016/j.jhep.2026.02.019" TargetMode="External"/><Relationship Id="rId558" Type="http://schemas.openxmlformats.org/officeDocument/2006/relationships/hyperlink" Target="https://libkey.io/libraries/480/10.1016/j.jhep.2026.02.019" TargetMode="External"/><Relationship Id="rId559" Type="http://schemas.openxmlformats.org/officeDocument/2006/relationships/hyperlink" Target="https://doi.org/10.1111/liv.70692" TargetMode="External"/><Relationship Id="rId560" Type="http://schemas.openxmlformats.org/officeDocument/2006/relationships/hyperlink" Target="https://libkey.io/libraries/480/10.1111/liv.70692" TargetMode="External"/><Relationship Id="rId561" Type="http://schemas.openxmlformats.org/officeDocument/2006/relationships/hyperlink" Target="https://doi.org/10.1002/lt.24782" TargetMode="External"/><Relationship Id="rId562" Type="http://schemas.openxmlformats.org/officeDocument/2006/relationships/hyperlink" Target="https://libkey.io/libraries/480/10.1002/lt.24782" TargetMode="External"/><Relationship Id="rId563" Type="http://schemas.openxmlformats.org/officeDocument/2006/relationships/hyperlink" Target="https://doi.org/10.1097/TP.0000000000003162" TargetMode="External"/><Relationship Id="rId564" Type="http://schemas.openxmlformats.org/officeDocument/2006/relationships/hyperlink" Target="https://libkey.io/libraries/480/10.1097/TP.0000000000003162" TargetMode="External"/><Relationship Id="rId565" Type="http://schemas.openxmlformats.org/officeDocument/2006/relationships/hyperlink" Target="https://doi.org/10.1016/j.hbpd.2020.03.009" TargetMode="External"/><Relationship Id="rId566" Type="http://schemas.openxmlformats.org/officeDocument/2006/relationships/hyperlink" Target="https://libkey.io/libraries/480/10.1016/j.hbpd.2020.03.009" TargetMode="External"/><Relationship Id="rId567" Type="http://schemas.openxmlformats.org/officeDocument/2006/relationships/hyperlink" Target="https://pubmed.ncbi.nlm.nih.gov/42073607" TargetMode="External"/><Relationship Id="rId568" Type="http://schemas.openxmlformats.org/officeDocument/2006/relationships/hyperlink" Target="https://libkey.io/libraries/480/10.3390/cancers18081284" TargetMode="External"/><Relationship Id="rId569" Type="http://schemas.openxmlformats.org/officeDocument/2006/relationships/hyperlink" Target="https://pubmed.ncbi.nlm.nih.gov/41056563" TargetMode="External"/><Relationship Id="rId570" Type="http://schemas.openxmlformats.org/officeDocument/2006/relationships/hyperlink" Target="https://libkey.io/libraries/480/10.1097/lvt.0000000000000743" TargetMode="External"/><Relationship Id="rId571" Type="http://schemas.openxmlformats.org/officeDocument/2006/relationships/hyperlink" Target="https://pubmed.ncbi.nlm.nih.gov/41490475" TargetMode="External"/><Relationship Id="rId572" Type="http://schemas.openxmlformats.org/officeDocument/2006/relationships/hyperlink" Target="https://libkey.io/libraries/480/10.1097/lvt.0000000000000803"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2026-07-15T23:22:32.139Z</dcterms:created>
  <dcterms:modified xsi:type="dcterms:W3CDTF">2026-10-25T09:38:03Z</dcterms:modified>
  <dc:title>UTHealth Houston / Memorial Hermann — HCC Standard / Guidance-Aligned Transplant Protocol V8</dc:title>
  <dc:subject>OPTN Policy 9.5.I standardized exception pathway</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