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Heading1"/>
        <w:keepNext/>
        <w:widowControl/>
      </w:pPr>
      <w:r>
        <w:t xml:space="preserve">UTHealth Houston / Memorial Hermann — Colorectal liver metastases Standard / Guidance-Aligned Transplant Protocol</w:t>
      </w:r>
    </w:p>
    <w:p>
      <w:pPr>
        <w:pStyle w:val="Normal"/>
        <w:widowControl/>
      </w:pPr>
      <w:r>
        <w:t xml:space="preserve">Complete clinical-operational draft. Standard policy and nonstandard guidance categories are identified separately; local changes require institutional ratification. No experimental pathway is activated by this update.</w:t>
      </w:r>
    </w:p>
    <w:p>
      <w:pPr>
        <w:pStyle w:val="Normal"/>
        <w:widowControl/>
      </w:pPr>
      <w:r>
        <w:t xml:space="preserve">Version 12  |  Revised 2026-10-25 04:54 CDT  |  Institutional approval pending</w:t>
      </w:r>
    </w:p>
    <w:p>
      <w:pPr>
        <w:pStyle w:val="Heading2"/>
        <w:keepNext/>
        <w:widowControl/>
      </w:pPr>
      <w:r>
        <w:t xml:space="preserve">Policy and allocation status</w:t>
      </w:r>
    </w:p>
    <w:p>
      <w:pPr>
        <w:pStyle w:val="Normal"/>
        <w:widowControl/>
      </w:pPr>
      <w:r>
        <w:t xml:space="preserve">Analyst A structured critical review through 24 October 2026. All 27 B decisions remain OPEN. Primary evidence, selected-recipient outcomes, pathway-level outcomes, guideline wording and local safeguards are distinguished. This is not a PRISMA-complete systematic review, meta-analysis, fresh external-analyst consensus or institutional approval.</w:t>
      </w:r>
    </w:p>
    <w:p>
      <w:pPr>
        <w:pStyle w:val="Normal"/>
        <w:widowControl/>
      </w:pPr>
      <w:r>
        <w:t xml:space="preserve">Policy posting checked 24 October 2026: OPTN effective 1 October 2026; oncology guidance December 2025. Clinical suitability, allocation access, donor protection and research authorization remain separate. Recheck before any application.</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yLTFdPC9EaXNwbGF5VGV4dD48cmVjb3JkPjxyZWMtbnVtYmVyPjE8L3JlYy1udW1iZXI+PGZvcmVpZ24ta2V5cz48a2V5IGFwcD0iRU4iIGRiLWlkPSJjZTFlZjNiMS00NjUxLTU3NDMtYWM5MS02OTk1ZWM1N2FiYmYiIHRpbWVzdGFtcD0iMTc5MjkyMTA4Ni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[V12-1]</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yLTJdPC9EaXNwbGF5VGV4dD48cmVjb3JkPjxyZWMtbnVtYmVyPjI8L3JlYy1udW1iZXI+PGZvcmVpZ24ta2V5cz48a2V5IGFwcD0iRU4iIGRiLWlkPSJjZTFlZjNiMS00NjUxLTU3NDMtYWM5MS02OTk1ZWM1N2FiYmYiIHRpbWVzdGFtcD0iMTc5MjkyMTA4N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RGVjZW1iZXIgMjAyNSBndWlkYW5jZSBwb3N0aW5nOyBORVQgcHAuOCYjODIxMTs5LCBDUkxNIHBwLjkmIzgyMTE7MTAuIE5vbmJpbmRpbmcgYWxsb2NhdGlvbi1yZXZpZXcgZ3VpZGFuY2U7IGNsaW5pY2FsIGVsaWdpYmlsaXR5IGFuZCBhY3R1YWwgYWxsb2NhdGlvbiBhcmUgc2VwYXJhdGUuPC9ub3Rlcz48dXJscz48cmVsYXRlZC11cmxzPjx1cmw+aHR0cHM6Ly93d3cuaHJzYS5nb3Yvc2l0ZXMvZGVmYXVsdC9maWxlcy9ocnNhL29wdG4vYWR1bHQtbWVsZC1leGNlcHRpb24tdHJhbnNwbGFudC1vbmNvbG9neS1yZXZpZXctZ3VpZGFuY2UucGRm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p>
    <w:p>
      <w:pPr>
        <w:pStyle w:val="Normal"/>
        <w:widowControl/>
      </w:pPr>
      <w:r>
        <w:t xml:space="preserve">Use the adjacent study tables before interpreting a proposed cutoff. Abstract-only extraction and missing full PDFs are labeled; missing outcome estimates are not inferred from graphs or from one minus disease-free survival. Linked full text is in this document’s own PDF depot when available.</w:t>
      </w:r>
    </w:p>
    <w:p>
      <w:pPr>
        <w:pStyle w:val="Heading2"/>
        <w:keepNext/>
        <w:widowControl/>
      </w:pPr>
      <w:r>
        <w:t xml:space="preserve">Clinical pathway and allocation requirements</w:t>
      </w:r>
    </w:p>
    <w:p>
      <w:pPr>
        <w:pStyle w:val="Normal"/>
        <w:widowControl/>
      </w:pPr>
      <w:r>
        <w:t xml:space="preserve">GUIDANCE-ALIGNED NON-STANDARD EXCEPTION. CRLM is not a standardized diagnosis in OPTN Policy 9.5. The December 2025 guidance supports NLRB consideration only when all specified oncologic, molecular, timing, resection, imaging, chemotherapy, stability, lesion-size, and CEA criteria are met. Recommended score: MMaT-20, with a floor of 15 under Policy 9.4.E.</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yLTFdPC9EaXNwbGF5VGV4dD48cmVjb3JkPjxyZWMtbnVtYmVyPjE8L3JlYy1udW1iZXI+PGZvcmVpZ24ta2V5cz48a2V5IGFwcD0iRU4iIGRiLWlkPSJjZTFlZjNiMS00NjUxLTU3NDMtYWM5MS02OTk1ZWM1N2FiYmYiIHRpbWVzdGFtcD0iMTc5MjkyMTA4Ni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[V12-1]</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yLTJdPC9EaXNwbGF5VGV4dD48cmVjb3JkPjxyZWMtbnVtYmVyPjI8L3JlYy1udW1iZXI+PGZvcmVpZ24ta2V5cz48a2V5IGFwcD0iRU4iIGRiLWlkPSJjZTFlZjNiMS00NjUxLTU3NDMtYWM5MS02OTk1ZWM1N2FiYmYiIHRpbWVzdGFtcD0iMTc5MjkyMTA4N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RGVjZW1iZXIgMjAyNSBndWlkYW5jZSBwb3N0aW5nOyBORVQgcHAuOCYjODIxMTs5LCBDUkxNIHBwLjkmIzgyMTE7MTAuIE5vbmJpbmRpbmcgYWxsb2NhdGlvbi1yZXZpZXcgZ3VpZGFuY2U7IGNsaW5pY2FsIGVsaWdpYmlsaXR5IGFuZCBhY3R1YWwgYWxsb2NhdGlvbiBhcmUgc2VwYXJhdGUuPC9ub3Rlcz48dXJscz48cmVsYXRlZC11cmxzPjx1cmw+aHR0cHM6Ly93d3cuaHJzYS5nb3Yvc2l0ZXMvZGVmYXVsdC9maWxlcy9ocnNhL29wdG4vYWR1bHQtbWVsZC1leGNlcHRpb24tdHJhbnNwbGFudC1vbmNvbG9neS1yZXZpZXctZ3VpZGFuY2UucGRm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p>
    <w:p>
      <w:pPr>
        <w:pStyle w:val="Normal"/>
        <w:widowControl/>
      </w:pPr>
      <w:r>
        <w:t xml:space="preserve">Policy posting checked 24 October 2026: OPTN policy effective 1 October 2026 and transplant-oncology NLRB guidance December 2025. HCC and qualifying pCCA have standardized policy routes; iCCA, CRLM, NET, HEHE and HCA use nonstandard review. NLRB guidance is not OPTN policy or a clinical standard. Clinical candidacy, exception approval, donor clearance and research authorization are separate. Recheck the live source before submission.</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yLTFdPC9EaXNwbGF5VGV4dD48cmVjb3JkPjxyZWMtbnVtYmVyPjE8L3JlYy1udW1iZXI+PGZvcmVpZ24ta2V5cz48a2V5IGFwcD0iRU4iIGRiLWlkPSJjZTFlZjNiMS00NjUxLTU3NDMtYWM5MS02OTk1ZWM1N2FiYmYiIHRpbWVzdGFtcD0iMTc5MjkyMTA4Ni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[V12-1]</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yLTJdPC9EaXNwbGF5VGV4dD48cmVjb3JkPjxyZWMtbnVtYmVyPjI8L3JlYy1udW1iZXI+PGZvcmVpZ24ta2V5cz48a2V5IGFwcD0iRU4iIGRiLWlkPSJjZTFlZjNiMS00NjUxLTU3NDMtYWM5MS02OTk1ZWM1N2FiYmYiIHRpbWVzdGFtcD0iMTc5MjkyMTA4N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RGVjZW1iZXIgMjAyNSBndWlkYW5jZSBwb3N0aW5nOyBORVQgcHAuOCYjODIxMTs5LCBDUkxNIHBwLjkmIzgyMTE7MTAuIE5vbmJpbmRpbmcgYWxsb2NhdGlvbi1yZXZpZXcgZ3VpZGFuY2U7IGNsaW5pY2FsIGVsaWdpYmlsaXR5IGFuZCBhY3R1YWwgYWxsb2NhdGlvbiBhcmUgc2VwYXJhdGUuPC9ub3Rlcz48dXJscz48cmVsYXRlZC11cmxzPjx1cmw+aHR0cHM6Ly93d3cuaHJzYS5nb3Yvc2l0ZXMvZGVmYXVsdC9maWxlcy9ocnNhL29wdG4vYWR1bHQtbWVsZC1leGNlcHRpb24tdHJhbnNwbGFudC1vbmNvbG9neS1yZXZpZXctZ3VpZGFuY2UucGRm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p>
    <w:p>
      <w:pPr>
        <w:pStyle w:val="Normal"/>
        <w:widowControl/>
      </w:pPr>
      <w:r>
        <w:t xml:space="preserve">Extension requests should be submitted every 3 months with CT or MRI of chest/abdomen/pelvis, CEA &lt;80 µg/L, no hepatic progression, and no extrahepatic disease. All drug selection, dose, washout, immunosuppression, surveillance, donor-source, and stopping-rule decisions require current multidisciplinary review and applicable pharmacy, IRB, DSMB, institutional, and regulatory approval before clinical use.</w:t>
      </w:r>
    </w:p>
    <w:p>
      <w:pPr>
        <w:pStyle w:val="Heading2"/>
        <w:keepNext/>
        <w:widowControl/>
      </w:pPr>
      <w:r>
        <w:t xml:space="preserve">PROTOCOL A: STANDARD LIVER TRANSPLANTATION FOR UNRESECTABLE COLORECTAL LIVER METASTASES</w:t>
      </w:r>
    </w:p>
    <w:p>
      <w:pPr>
        <w:pStyle w:val="Heading3"/>
        <w:keepNext/>
        <w:widowControl/>
      </w:pPr>
      <w:r>
        <w:t xml:space="preserve">1. Purpose and Scope</w:t>
      </w:r>
    </w:p>
    <w:p>
      <w:pPr>
        <w:pStyle w:val="Normal"/>
        <w:widowControl/>
      </w:pPr>
      <w:r>
        <w:t xml:space="preserve">This protocol establishes a guidance-aligned institutional pathway for liver transplantation in patients with permanently unresectable colorectal cancer liver metastases at UTHealth Houston. It incorporates the December 2025 NLRB guidance and supporting evidence from the TransMet trial, SECA-II, IHPBA LT-CoMet 21 consensus, and AASLD/AST guidance.</w:t>
      </w:r>
      <w:r>
        <w:t xml:space="preserve"> </w:t>
      </w:r>
      <w:r>
        <w:t xml:space="preserve"> </w:t>
      </w:r>
      <w:r>
        <w:fldChar w:fldCharType="begin"/>
      </w:r>
      <w:r>
        <w:instrText xml:space="preserve"> ADDIN EN.CITE </w:instrText>
      </w:r>
      <w:r>
        <w:fldChar w:fldCharType="begin">
          <w:fldData>PEVuZE5vdGU+PENpdGU+PEF1dGhvcj5BZGFtPC9BdXRob3I+PFllYXI+MjAyNDwvWWVhcj48UmVjTnVtPjM8L1JlY051bT48RGlzcGxheVRleHQ+W1YxMi0zXTwvRGlzcGxheVRleHQ+PHJlY29yZD48cmVjLW51bWJlcj4zPC9yZWMtbnVtYmVyPjxmb3JlaWduLWtleXM+PGtleSBhcHA9IkVOIiBkYi1pZD0iY2UxZWYzYjEtNDY1MS01NzQzLWFjOTEtNjk5NWVjNTdhYmJmIiB0aW1lc3RhbXA9IjE3OTI5MjEwODYiPjM8L2tleT48L2ZvcmVpZ24ta2V5cz48cmVmLXR5cGUgbmFtZT0iSm91cm5hbCBBcnRpY2xlIj4xNzwvcmVmLXR5cGU+PGNvbnRyaWJ1dG9ycz48YXV0aG9ycz48YXV0aG9yPkFkYW0sIFJlbiYjMjMzOzwvYXV0aG9yPjxhdXRob3I+UGllZHZhY2hlLCBDJiMyMzM7bGluZTwvYXV0aG9yPjxhdXRob3I+Q2hpY2hlLCBMYXVyZW5jZTwvYXV0aG9yPjxhdXRob3I+QWRhbSwgSmVhbiBQaGlsaXBwZTwvYXV0aG9yPjxhdXRob3I+U2FsYW0mIzIzMzssIEVwaHJlbTwvYXV0aG9yPjxhdXRob3I+QnVjdXIsIFBldHJ1PC9hdXRob3I+PGF1dGhvcj5DaGVycXVpLCBEYW5pZWw8L2F1dGhvcj48YXV0aG9yPlNjYXR0b24sIE9saXZpZXI8L2F1dGhvcj48YXV0aG9yPkdyYW5nZXIsIFZpY3RvaXJlPC9hdXRob3I+PGF1dGhvcj5EdWNyZXV4LCBNaWNoZWw8L2F1dGhvcj48YXV0aG9yPkNpbGxvLCBVbWJlcnRvPC9hdXRob3I+PGF1dGhvcj5DYXVjaHksIEZyYW4mIzIzMTtvaXM8L2F1dGhvcj48YXV0aG9yPk1hYnJ1dCwgSmVhbi1ZdmVzPC9hdXRob3I+PGF1dGhvcj5WZXJzbHlwZSwgQ2hyaXM8L2F1dGhvcj48YXV0aG9yPkNvdWJlYXUsIExhdXJlbnQ8L2F1dGhvcj48YXV0aG9yPkhhcmR3aWdzZW4sIEplYW48L2F1dGhvcj48YXV0aG9yPkJvbGVzbGF3c2tpLCBFbW1hbnVlbDwvYXV0aG9yPjxhdXRob3I+TXVzY2FyaSwgRmFicmljZTwvYXV0aG9yPjxhdXRob3I+SmVkZG91LCBIZWl0aGVtPC9hdXRob3I+PGF1dGhvcj5QZXpldCwgRGVuaXM8L2F1dGhvcj48YXV0aG9yPkhleWQsIEJydW5vPC9hdXRob3I+PGF1dGhvcj5MdWNpZGksIFZhbGVyaW88L2F1dGhvcj48YXV0aG9yPkdlYm9lcywgS2FyZW48L2F1dGhvcj48YXV0aG9yPkxlcnV0LCBKYW48L2F1dGhvcj48YXV0aG9yPk1ham5vLCBQaWV0cm88L2F1dGhvcj48YXV0aG9yPkdyaW1hbGRpLCBMYW1pYWU8L2F1dGhvcj48YXV0aG9yPkxldmksIEZyYW5jaXM8L2F1dGhvcj48YXV0aG9yPkxld2luLCBNYSYjMjM5O3QmIzIzMzs8L2F1dGhvcj48YXV0aG9yPkdlbGxpLCBNYXhpbWlsaWFubzwvYXV0aG9yPjxhdXRob3I+Q29sbGFib3JhdGl2ZSBUcmFuc01ldCBncm91cCw8L2F1dGhvcj48L2F1dGhvcnM+PC9jb250cmlidXRvcnM+PHRpdGxlcz48dGl0bGU+TGl2ZXIgdHJhbnNwbGFudGF0aW9uIHBsdXMgY2hlbW90aGVyYXB5IHZlcnN1cyBjaGVtb3RoZXJhcHkgYWxvbmUgaW4gcGF0aWVudHMgd2l0aCBwZXJtYW5lbnRseSB1bnJlc2VjdGFibGUgY29sb3JlY3RhbCBsaXZlciBtZXRhc3Rhc2VzIChUcmFuc01ldCk6IHJlc3VsdHMgZnJvbSBhIG11bHRpY2VudHJlLCBvcGVuLWxhYmVsLCBwcm9zcGVjdGl2ZSwgcmFuZG9taXNlZCBjb250cm9sbGVkIHRyaWFsPC90aXRsZT48c2Vjb25kYXJ5LXRpdGxlPkxhbmNldCAoTG9uZG9uLCBFbmdsYW5kKTwvc2Vjb25kYXJ5LXRpdGxlPjwvdGl0bGVzPjxwZXJpb2RpY2FsPjxmdWxsLXRpdGxlPkxhbmNldCAoTG9uZG9uLCBFbmdsYW5kKTwvZnVsbC10aXRsZT48L3BlcmlvZGljYWw+PGRhdGVzPjx5ZWFyPjIwMjQ8L3llYXI+PC9kYXRlcz48dm9sdW1lPjQwNDwvdm9sdW1lPjxudW1iZXI+MTA0NTg8L251bWJlcj48cGFnZXM+MTEwNy0xMTE4PC9wYWdlcz48ZWxlY3Ryb25pYy1yZXNvdXJjZS1udW0+MTAuMTAxNi9TMDE0MC02NzM2KDI0KTAxNTk1LTI8L2VsZWN0cm9uaWMtcmVzb3VyY2UtbnVtPjxub3Rlcz5NdWx0aWNlbnRlciByYW5kb21pemVkIHRyaWFsIENvbXBsZXRlIGxvY2FsIHByaW1hcnkgUERGIGF2YWlsYWJsZTsgcmVsZXZhbnQgbWV0aG9kcywgc2VsZWN0aW9uLCByZXN1bHRzIGFuZCBsaW1pdGF0aW9ucyByZXZpZXdlZCA5NCByYW5kb21pemVkLCA0NyBwZXIgYXJtOyBmaXZlLXllYXIgSVRUIE9TIDU2LjYlIHZzIDEyLjYlLiBOYXJyb3dseSBzZWxlY3RlZCwgQlJBRi1ub25tdXRhdGVkLCBFQ09HIDAmIzgyMTE7MSwgUjAgcHJpbWFyeSwgYXQgbW9zdCB0aHJlZSBsaW5lcy4gQmFzZWxpbmUgYW5kIHRyZWF0ZWQgbGVzaW9uIG1hcHMgaW5mb3JtZWQgdW5yZXNlY3RhYmlsaXR5Ljwvbm90ZXM+PHVybHM+PHJlbGF0ZWQtdXJscz48dXJsPmh0dHBzOi8vZG9pLm9yZy8xMC4xMDE2L1MwMTQwLTY3MzYoMjQpMDE1OTUtMj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r>
        <w:t xml:space="preserve"> </w:t>
      </w:r>
      <w:r>
        <w:t xml:space="preserve"> </w:t>
      </w:r>
      <w:r>
        <w:fldChar w:fldCharType="begin"/>
      </w:r>
      <w:r>
        <w:instrText xml:space="preserve"> ADDIN EN.CITE </w:instrText>
      </w:r>
      <w:r>
        <w:fldChar w:fldCharType="begin">
          <w:fldData>PEVuZE5vdGU+PENpdGU+PEF1dGhvcj5EdWVsYW5kPC9BdXRob3I+PFllYXI+MjAyMDwvWWVhcj48UmVjTnVtPjQ8L1JlY051bT48RGlzcGxheVRleHQ+W1YxMi00XTwvRGlzcGxheVRleHQ+PHJlY29yZD48cmVjLW51bWJlcj40PC9yZWMtbnVtYmVyPjxmb3JlaWduLWtleXM+PGtleSBhcHA9IkVOIiBkYi1pZD0iY2UxZWYzYjEtNDY1MS01NzQzLWFjOTEtNjk5NWVjNTdhYmJmIiB0aW1lc3RhbXA9IjE3OTI5MjEwODYiPjQ8L2tleT48L2ZvcmVpZ24ta2V5cz48cmVmLXR5cGUgbmFtZT0iSm91cm5hbCBBcnRpY2xlIj4xNzwvcmVmLXR5cGU+PGNvbnRyaWJ1dG9ycz48YXV0aG9ycz48YXV0aG9yPkR1ZWxhbmQsIFN2ZWluPC9hdXRob3I+PC9hdXRob3JzPjwvY29udHJpYnV0b3JzPjx0aXRsZXM+PHRpdGxlPlN1cnZpdmFsIEZvbGxvd2luZyBMaXZlciBUcmFuc3BsYW50YXRpb24gZm9yIFBhdGllbnRzIFdpdGggTm9ucmVzZWN0YWJsZSBMaXZlci1vbmx5IENvbG9yZWN0YWwgTWV0YXN0YXNlczwvdGl0bGU+PHNlY29uZGFyeS10aXRsZT5Bbm5hbHMgb2YgU3VyZ2VyeTwvc2Vjb25kYXJ5LXRpdGxlPjwvdGl0bGVzPjxwZXJpb2RpY2FsPjxmdWxsLXRpdGxlPkFubmFscyBvZiBTdXJnZXJ5PC9mdWxsLXRpdGxlPjwvcGVyaW9kaWNhbD48ZGF0ZXM+PHllYXI+MjAyMDwveWVhcj48L2RhdGVzPjx2b2x1bWU+MjcxPC92b2x1bWU+PG51bWJlcj4yPC9udW1iZXI+PHBhZ2VzPjIxMiYjODIxMTsyMTg8L3BhZ2VzPjxlbGVjdHJvbmljLXJlc291cmNlLW51bT4xMC4xMDk3L1NMQS4wMDAwMDAwMDAwMDAzNDA0PC9lbGVjdHJvbmljLXJlc291cmNlLW51bT48bm90ZXM+UHJvc3BlY3RpdmUgc2luZ2xlLWNlbnRyZSBjb2hvcnQgQ29tcGxldGUgc2V2ZW4tcGFnZSBwdWJsaXNoZWQgbWFpbiBhcnRpY2xlIHJlYWQsIGluY2x1ZGluZyBtZXRob2RzLCBUYWJsZXMgMSYjODIxMTs1LCBmaWd1cmVzIGFuZCByZWZlcmVuY2VzLiBWOCBleHRyYWN0aW9uIGFuZCBsaW1pdGF0aW9uczogc291cmNlL21ldGFzdGFzZXNfZnVsbHRleHRfcmV2aWV3Lmpzb248L25vdGVzPjx1cmxzPjxyZWxhdGVkLXVybHM+PHVybD5odHRwczovL2RvaS5vcmcvMTAuMTA5Ny9TTEEuMDAwMDAwMDAwMDAwMzQwNDwvdXJsPjwvcmVsYXRlZC11cmxzPjxwZGYtdXJscy8+PC91cmxzPjwvcmVjb3JkPjwvQ2l0ZT48L0VuZE5vdGU+</w:fldData>
        </w:fldChar>
      </w:r>
      <w:r>
        <w:instrText xml:space="preserve"> ADDIN EN.CITE.DATA </w:instrText>
      </w:r>
      <w:r>
        <w:fldChar w:fldCharType="end"/>
      </w:r>
      <w:r>
        <w:fldChar w:fldCharType="separate"/>
      </w:r>
      <w:r>
        <w:t xml:space="preserve">[V12-4]</w:t>
      </w:r>
      <w:r>
        <w:fldChar w:fldCharType="end"/>
      </w:r>
      <w:r>
        <w:t xml:space="preserve"> </w:t>
      </w:r>
      <w:r>
        <w:t xml:space="preserve"> </w:t>
      </w:r>
      <w:r>
        <w:fldChar w:fldCharType="begin"/>
      </w:r>
      <w:r>
        <w:instrText xml:space="preserve"> ADDIN EN.CITE </w:instrText>
      </w:r>
      <w:r>
        <w:fldChar w:fldCharType="begin">
          <w:fldData>PEVuZE5vdGU+PENpdGU+PEF1dGhvcj5Hb3JqaTwvQXV0aG9yPjxZZWFyPjIwMjQ8L1llYXI+PFJlY051bT41PC9SZWNOdW0+PERpc3BsYXlUZXh0PltWMTItNV08L0Rpc3BsYXlUZXh0PjxyZWNvcmQ+PHJlYy1udW1iZXI+NTwvcmVjLW51bWJlcj48Zm9yZWlnbi1rZXlzPjxrZXkgYXBwPSJFTiIgZGItaWQ9ImNlMWVmM2IxLTQ2NTEtNTc0My1hYzkxLTY5OTVlYzU3YWJiZiIgdGltZXN0YW1wPSIxNzkyOTIxMDg2Ij41PC9rZXk+PC9mb3JlaWduLWtleXM+PHJlZi10eXBlIG5hbWU9IkpvdXJuYWwgQXJ0aWNsZSI+MTc8L3JlZi10eXBlPjxjb250cmlidXRvcnM+PGF1dGhvcnM+PGF1dGhvcj5Hb3JqaSwgTGV2YTwvYXV0aG9yPjxhdXRob3I+QnJvd24sIFphY2hhcnkgSi48L2F1dGhvcj48YXV0aG9yPkxpbWtlbWFubiwgQXNobGV5PC9hdXRob3I+PGF1dGhvcj5TY2hlbmssIEF1c3RpbiBELjwvYXV0aG9yPjxhdXRob3I+UGF3bGlrLCBUaW1vdGh5IE0uPC9hdXRob3I+PC9hdXRob3JzPjwvY29udHJpYnV0b3JzPjx0aXRsZXM+PHRpdGxlPkxpdmVyIFRyYW5zcGxhbnQgYXMgYSBUcmVhdG1lbnQgb2YgUHJpbWFyeSBhbmQgU2Vjb25kYXJ5IExpdmVyIE5lb3BsYXNtczwvdGl0bGU+PHNlY29uZGFyeS10aXRsZT5KQU1BIFN1cmdlcnk8L3NlY29uZGFyeS10aXRsZT48L3RpdGxlcz48cGVyaW9kaWNhbD48ZnVsbC10aXRsZT5KQU1BIFN1cmdlcnk8L2Z1bGwtdGl0bGU+PC9wZXJpb2RpY2FsPjxkYXRlcz48eWVhcj4yMDI0PC95ZWFyPjwvZGF0ZXM+PHZvbHVtZT4xNTk8L3ZvbHVtZT48bnVtYmVyPjI8L251bWJlcj48cGFnZXM+MjExPC9wYWdlcz48ZWxlY3Ryb25pYy1yZXNvdXJjZS1udW0+MTAuMTAwMS9qYW1hc3VyZy4yMDIzLjYwODM8L2VsZWN0cm9uaWMtcmVzb3VyY2UtbnVtPjxub3Rlcz5FeGlzdGluZyBzdGFuZGFyZC1wcm90b2NvbCByZWZlcmVuY2UgQ29tcGxldGUgZWlnaHQtcGFnZSBuYXJyYXRpdmUgcmV2aWV3IHJlYWQsIGluY2x1ZGluZyB0YWJsZXMsIGZpZ3VyZXMvY2FwdGlvbnMgYW5kIHJlZmVyZW5jZXMuIFY4IGV4dHJhY3Rpb24gYW5kIGxpbWl0YXRpb25zOiBzb3VyY2UvbWV0YXN0YXNlc19zdGFuZGFyZF9zdXBwbGVtZW50Lmpzb248L25vdGVzPjx1cmxzPjxyZWxhdGVkLXVybHM+PHVybD5odHRwczovL2phbWFuZXR3b3JrLmNvbS9qb3VybmFscy9qYW1hc3VyZ2VyeS9mdWxsYXJ0aWNsZS8xMC4xMDAxL2phbWFzdXJnLjIwMjMuNjA4Mz91dG1fc291cmNlPW9wZW5ldmlkZW5jZSZhbXA7dXRtX21lZGl1bT1yZWZlcnJhbDwvdXJsPjwvcmVsYXRlZC11cmxzPjxwZGYtdXJscy8+PC91cmxzPjwvcmVjb3JkPjwvQ2l0ZT48L0VuZE5vdGU+</w:fldData>
        </w:fldChar>
      </w:r>
      <w:r>
        <w:instrText xml:space="preserve"> ADDIN EN.CITE.DATA </w:instrText>
      </w:r>
      <w:r>
        <w:fldChar w:fldCharType="end"/>
      </w:r>
      <w:r>
        <w:fldChar w:fldCharType="separate"/>
      </w:r>
      <w:r>
        <w:t xml:space="preserve">[V12-5]</w:t>
      </w:r>
      <w:r>
        <w:fldChar w:fldCharType="end"/>
      </w:r>
      <w:r>
        <w:t xml:space="preserve"> </w:t>
      </w:r>
      <w:r>
        <w:t xml:space="preserve"> </w:t>
      </w:r>
      <w:r>
        <w:fldChar w:fldCharType="begin"/>
      </w:r>
      <w:r>
        <w:instrText xml:space="preserve"> ADDIN EN.CITE </w:instrText>
      </w:r>
      <w:r>
        <w:fldChar w:fldCharType="begin">
          <w:fldData>PEVuZE5vdGU+PENpdGU+PEF1dGhvcj5Eb3ZlPC9BdXRob3I+PFllYXI+MjAyNjwvWWVhcj48UmVjTnVtPjY8L1JlY051bT48RGlzcGxheVRleHQ+W1YxMi02XTwvRGlzcGxheVRleHQ+PHJlY29yZD48cmVjLW51bWJlcj42PC9yZWMtbnVtYmVyPjxmb3JlaWduLWtleXM+PGtleSBhcHA9IkVOIiBkYi1pZD0iY2UxZWYzYjEtNDY1MS01NzQzLWFjOTEtNjk5NWVjNTdhYmJmIiB0aW1lc3RhbXA9IjE3OTI5MjEwODYiPjY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[V12-6]</w:t>
      </w:r>
      <w:r>
        <w:fldChar w:fldCharType="end"/>
      </w:r>
    </w:p>
    <w:p>
      <w:pPr>
        <w:pStyle w:val="Heading3"/>
        <w:keepNext/>
        <w:widowControl/>
      </w:pPr>
      <w:r>
        <w:t xml:space="preserve">2. Patient Selection — Inclusion Criteria</w:t>
      </w:r>
    </w:p>
    <w:p>
      <w:pPr>
        <w:pStyle w:val="Heading3"/>
        <w:keepNext/>
        <w:widowControl/>
      </w:pPr>
      <w:r>
        <w:t xml:space="preserve">2.1 General Requirements</w:t>
      </w:r>
    </w:p>
    <w:p>
      <w:pPr>
        <w:pStyle w:val="Normal"/>
        <w:widowControl/>
        <w:numPr>
          <w:ilvl w:val="0"/>
          <w:numId w:val="3"/>
        </w:numPr>
      </w:pPr>
      <w:r>
        <w:t xml:space="preserve">Age 18–65 years</w:t>
      </w:r>
    </w:p>
    <w:p>
      <w:pPr>
        <w:pStyle w:val="Normal"/>
        <w:widowControl/>
        <w:numPr>
          <w:ilvl w:val="0"/>
          <w:numId w:val="3"/>
        </w:numPr>
      </w:pPr>
      <w:r>
        <w:t xml:space="preserve">ECOG performance status 0–1</w:t>
      </w:r>
    </w:p>
    <w:p>
      <w:pPr>
        <w:pStyle w:val="Normal"/>
        <w:widowControl/>
        <w:numPr>
          <w:ilvl w:val="0"/>
          <w:numId w:val="3"/>
        </w:numPr>
      </w:pPr>
      <w:r>
        <w:t xml:space="preserve">Histologically confirmed colorectal adenocarcinoma with liver metastases</w:t>
      </w:r>
    </w:p>
    <w:p>
      <w:pPr>
        <w:pStyle w:val="Normal"/>
        <w:widowControl/>
        <w:numPr>
          <w:ilvl w:val="0"/>
          <w:numId w:val="3"/>
        </w:numPr>
      </w:pPr>
      <w:r>
        <w:t xml:space="preserve">Metastatic disease permanently unresectable as determined by multidisciplinary tumor board (hepatobiliary surgery, transplant surgery, medical oncology, interventional radiology, diagnostic radiology)</w:t>
      </w:r>
    </w:p>
    <w:p>
      <w:pPr>
        <w:pStyle w:val="Normal"/>
        <w:widowControl/>
        <w:numPr>
          <w:ilvl w:val="0"/>
          <w:numId w:val="3"/>
        </w:numPr>
      </w:pPr>
      <w:r>
        <w:t xml:space="preserve">No general contraindications to liver transplantation</w:t>
      </w:r>
    </w:p>
    <w:p>
      <w:pPr>
        <w:pStyle w:val="Normal"/>
        <w:widowControl/>
        <w:numPr>
          <w:ilvl w:val="0"/>
          <w:numId w:val="3"/>
        </w:numPr>
      </w:pPr>
      <w:r>
        <w:t xml:space="preserve">Adequate psychosocial support and ability to comply with post-transplant medical regimen</w:t>
      </w:r>
    </w:p>
    <w:p>
      <w:pPr>
        <w:pStyle w:val="Heading3"/>
        <w:keepNext/>
        <w:widowControl/>
      </w:pPr>
      <w:r>
        <w:t xml:space="preserve">2.2 Oncologic Requirements</w:t>
      </w:r>
    </w:p>
    <w:p>
      <w:pPr>
        <w:pStyle w:val="Normal"/>
        <w:widowControl/>
        <w:numPr>
          <w:ilvl w:val="0"/>
          <w:numId w:val="3"/>
        </w:numPr>
      </w:pPr>
      <w:r>
        <w:t xml:space="preserve">Primary colorectal tumor resected with negative margins (R0 resection)</w:t>
      </w:r>
      <w:r>
        <w:t xml:space="preserve"> </w:t>
      </w:r>
      <w:r>
        <w:t xml:space="preserve"> </w:t>
      </w:r>
      <w:r>
        <w:fldChar w:fldCharType="begin"/>
      </w:r>
      <w:r>
        <w:instrText xml:space="preserve"> ADDIN EN.CITE </w:instrText>
      </w:r>
      <w:r>
        <w:fldChar w:fldCharType="begin">
          <w:fldData>PEVuZE5vdGU+PENpdGU+PEF1dGhvcj5Hb3JqaTwvQXV0aG9yPjxZZWFyPjIwMjQ8L1llYXI+PFJlY051bT41PC9SZWNOdW0+PERpc3BsYXlUZXh0PltWMTItNV08L0Rpc3BsYXlUZXh0PjxyZWNvcmQ+PHJlYy1udW1iZXI+NTwvcmVjLW51bWJlcj48Zm9yZWlnbi1rZXlzPjxrZXkgYXBwPSJFTiIgZGItaWQ9ImNlMWVmM2IxLTQ2NTEtNTc0My1hYzkxLTY5OTVlYzU3YWJiZiIgdGltZXN0YW1wPSIxNzkyOTIxMDg2Ij41PC9rZXk+PC9mb3JlaWduLWtleXM+PHJlZi10eXBlIG5hbWU9IkpvdXJuYWwgQXJ0aWNsZSI+MTc8L3JlZi10eXBlPjxjb250cmlidXRvcnM+PGF1dGhvcnM+PGF1dGhvcj5Hb3JqaSwgTGV2YTwvYXV0aG9yPjxhdXRob3I+QnJvd24sIFphY2hhcnkgSi48L2F1dGhvcj48YXV0aG9yPkxpbWtlbWFubiwgQXNobGV5PC9hdXRob3I+PGF1dGhvcj5TY2hlbmssIEF1c3RpbiBELjwvYXV0aG9yPjxhdXRob3I+UGF3bGlrLCBUaW1vdGh5IE0uPC9hdXRob3I+PC9hdXRob3JzPjwvY29udHJpYnV0b3JzPjx0aXRsZXM+PHRpdGxlPkxpdmVyIFRyYW5zcGxhbnQgYXMgYSBUcmVhdG1lbnQgb2YgUHJpbWFyeSBhbmQgU2Vjb25kYXJ5IExpdmVyIE5lb3BsYXNtczwvdGl0bGU+PHNlY29uZGFyeS10aXRsZT5KQU1BIFN1cmdlcnk8L3NlY29uZGFyeS10aXRsZT48L3RpdGxlcz48cGVyaW9kaWNhbD48ZnVsbC10aXRsZT5KQU1BIFN1cmdlcnk8L2Z1bGwtdGl0bGU+PC9wZXJpb2RpY2FsPjxkYXRlcz48eWVhcj4yMDI0PC95ZWFyPjwvZGF0ZXM+PHZvbHVtZT4xNTk8L3ZvbHVtZT48bnVtYmVyPjI8L251bWJlcj48cGFnZXM+MjExPC9wYWdlcz48ZWxlY3Ryb25pYy1yZXNvdXJjZS1udW0+MTAuMTAwMS9qYW1hc3VyZy4yMDIzLjYwODM8L2VsZWN0cm9uaWMtcmVzb3VyY2UtbnVtPjxub3Rlcz5FeGlzdGluZyBzdGFuZGFyZC1wcm90b2NvbCByZWZlcmVuY2UgQ29tcGxldGUgZWlnaHQtcGFnZSBuYXJyYXRpdmUgcmV2aWV3IHJlYWQsIGluY2x1ZGluZyB0YWJsZXMsIGZpZ3VyZXMvY2FwdGlvbnMgYW5kIHJlZmVyZW5jZXMuIFY4IGV4dHJhY3Rpb24gYW5kIGxpbWl0YXRpb25zOiBzb3VyY2UvbWV0YXN0YXNlc19zdGFuZGFyZF9zdXBwbGVtZW50Lmpzb248L25vdGVzPjx1cmxzPjxyZWxhdGVkLXVybHM+PHVybD5odHRwczovL2phbWFuZXR3b3JrLmNvbS9qb3VybmFscy9qYW1hc3VyZ2VyeS9mdWxsYXJ0aWNsZS8xMC4xMDAxL2phbWFzdXJnLjIwMjMuNjA4Mz91dG1fc291cmNlPW9wZW5ldmlkZW5jZSZhbXA7dXRtX21lZGl1bT1yZWZlcnJhbDwvdXJsPjwvcmVsYXRlZC11cmxzPjxwZGYtdXJscy8+PC91cmxzPjwvcmVjb3JkPjwvQ2l0ZT48L0VuZE5vdGU+</w:fldData>
        </w:fldChar>
      </w:r>
      <w:r>
        <w:instrText xml:space="preserve"> ADDIN EN.CITE.DATA </w:instrText>
      </w:r>
      <w:r>
        <w:fldChar w:fldCharType="end"/>
      </w:r>
      <w:r>
        <w:fldChar w:fldCharType="separate"/>
      </w:r>
      <w:r>
        <w:t xml:space="preserve">[V12-5]</w:t>
      </w:r>
      <w:r>
        <w:fldChar w:fldCharType="end"/>
      </w:r>
      <w:r>
        <w:t xml:space="preserve"> </w:t>
      </w:r>
      <w:r>
        <w:t xml:space="preserve"> </w:t>
      </w:r>
      <w:r>
        <w:fldChar w:fldCharType="begin"/>
      </w:r>
      <w:r>
        <w:instrText xml:space="preserve"> ADDIN EN.CITE </w:instrText>
      </w:r>
      <w:r>
        <w:fldChar w:fldCharType="begin">
          <w:fldData>PEVuZE5vdGU+PENpdGU+PEF1dGhvcj5VZWJlcnJvdGg8L0F1dGhvcj48WWVhcj4yMDI1PC9ZZWFyPjxSZWNOdW0+NzwvUmVjTnVtPjxEaXNwbGF5VGV4dD5bVjEyLTddPC9EaXNwbGF5VGV4dD48cmVjb3JkPjxyZWMtbnVtYmVyPjc8L3JlYy1udW1iZXI+PGZvcmVpZ24ta2V5cz48a2V5IGFwcD0iRU4iIGRiLWlkPSJjZTFlZjNiMS00NjUxLTU3NDMtYWM5MS02OTk1ZWM1N2FiYmYiIHRpbWVzdGFtcD0iMTc5MjkyMTA4NiI+Nzwva2V5PjwvZm9yZWlnbi1rZXlzPjxyZWYtdHlwZSBuYW1lPSJKb3VybmFsIEFydGljbGUiPjE3PC9yZWYtdHlwZT48Y29udHJpYnV0b3JzPjxhdXRob3JzPjxhdXRob3I+VWViZXJyb3RoLCBCZW5qYW1pbiBFPC9hdXRob3I+PGF1dGhvcj5LcmlzcywgTWljaGFlbDwvYXV0aG9yPjxhdXRob3I+QnVydG9uLCBKYW1lcyBSPC9hdXRob3I+PGF1dGhvcj5NZXNzZXJzbWl0aCwgV2VsbHMgQTwvYXV0aG9yPjwvYXV0aG9ycz48L2NvbnRyaWJ1dG9ycz48dGl0bGVzPjx0aXRsZT5MaXZlciB0cmFuc3BsYW50YXRpb24gZm9yIGNvbG9yZWN0YWwgY2FuY2VyIHdpdGggbGl2ZXIgbWV0YXN0YXNlczwvdGl0bGU+PHNlY29uZGFyeS10aXRsZT5UaGUgT25jb2xvZ2lzdDwvc2Vjb25kYXJ5LXRpdGxlPjwvdGl0bGVzPjxwZXJpb2RpY2FsPjxmdWxsLXRpdGxlPlRoZSBPbmNvbG9naXN0PC9mdWxsLXRpdGxlPjwvcGVyaW9kaWNhbD48ZGF0ZXM+PHllYXI+MjAyNTwveWVhcj48L2RhdGVzPjx2b2x1bWU+MzA8L3ZvbHVtZT48bnVtYmVyPjE8L251bWJlcj48ZWxlY3Ryb25pYy1yZXNvdXJjZS1udW0+MTAuMTA5My9vbmNvbG8vb3lhZTM2NzwvZWxlY3Ryb25pYy1yZXNvdXJjZS1udW0+PG5vdGVzPkV4aXN0aW5nIHN0YW5kYXJkLXByb3RvY29sIHJlZmVyZW5jZSBDb21wbGV0ZSAxMi1wYWdlIG5hcnJhdGl2ZSByZXZpZXcgcmVhZCwgaW5jbHVkaW5nIFRhYmxlcyAxJiM4MjExOzMgYW5kIHJlZmVyZW5jZXMuIFY4IGV4dHJhY3Rpb24gYW5kIGxpbWl0YXRpb25zOiBzb3VyY2UvbWV0YXN0YXNlc19zdGFuZGFyZF9zdXBwbGVtZW50Lmpzb248L25vdGVzPjx1cmxzPjxyZWxhdGVkLXVybHM+PHVybD5odHRwczovL3B1Ym1lZC5uY2JpLm5sbS5uaWguZ292LzM5ODM0MTI3PC91cmw+PC9yZWxhdGVkLXVybHM+PHBkZi11cmxzLz48L3VybHM+PC9yZWNvcmQ+PC9DaXRlPjwvRW5kTm90ZT4=</w:fldData>
        </w:fldChar>
      </w:r>
      <w:r>
        <w:instrText xml:space="preserve"> ADDIN EN.CITE.DATA </w:instrText>
      </w:r>
      <w:r>
        <w:fldChar w:fldCharType="end"/>
      </w:r>
      <w:r>
        <w:fldChar w:fldCharType="separate"/>
      </w:r>
      <w:r>
        <w:t xml:space="preserve">[V12-7]</w:t>
      </w:r>
      <w:r>
        <w:fldChar w:fldCharType="end"/>
      </w:r>
    </w:p>
    <w:p>
      <w:pPr>
        <w:pStyle w:val="Normal"/>
        <w:widowControl/>
        <w:numPr>
          <w:ilvl w:val="0"/>
          <w:numId w:val="3"/>
        </w:numPr>
      </w:pPr>
      <w:r>
        <w:t xml:space="preserve">No local or regional recurrence of primary tumor</w:t>
      </w:r>
    </w:p>
    <w:p>
      <w:pPr>
        <w:pStyle w:val="Normal"/>
        <w:widowControl/>
        <w:numPr>
          <w:ilvl w:val="0"/>
          <w:numId w:val="3"/>
        </w:numPr>
      </w:pPr>
      <w:r>
        <w:t xml:space="preserve">No extrahepatic metastatic disease confirmed by PET-CT and cross-sectional imaging</w:t>
      </w:r>
      <w:r>
        <w:t xml:space="preserve"> </w:t>
      </w:r>
      <w:r>
        <w:t xml:space="preserve"> </w:t>
      </w:r>
      <w:r>
        <w:fldChar w:fldCharType="begin"/>
      </w:r>
      <w:r>
        <w:instrText xml:space="preserve"> ADDIN EN.CITE </w:instrText>
      </w:r>
      <w:r>
        <w:fldChar w:fldCharType="begin">
          <w:fldData>PEVuZE5vdGU+PENpdGU+PEF1dGhvcj5Hb3JqaTwvQXV0aG9yPjxZZWFyPjIwMjQ8L1llYXI+PFJlY051bT41PC9SZWNOdW0+PERpc3BsYXlUZXh0PltWMTItNV08L0Rpc3BsYXlUZXh0PjxyZWNvcmQ+PHJlYy1udW1iZXI+NTwvcmVjLW51bWJlcj48Zm9yZWlnbi1rZXlzPjxrZXkgYXBwPSJFTiIgZGItaWQ9ImNlMWVmM2IxLTQ2NTEtNTc0My1hYzkxLTY5OTVlYzU3YWJiZiIgdGltZXN0YW1wPSIxNzkyOTIxMDg2Ij41PC9rZXk+PC9mb3JlaWduLWtleXM+PHJlZi10eXBlIG5hbWU9IkpvdXJuYWwgQXJ0aWNsZSI+MTc8L3JlZi10eXBlPjxjb250cmlidXRvcnM+PGF1dGhvcnM+PGF1dGhvcj5Hb3JqaSwgTGV2YTwvYXV0aG9yPjxhdXRob3I+QnJvd24sIFphY2hhcnkgSi48L2F1dGhvcj48YXV0aG9yPkxpbWtlbWFubiwgQXNobGV5PC9hdXRob3I+PGF1dGhvcj5TY2hlbmssIEF1c3RpbiBELjwvYXV0aG9yPjxhdXRob3I+UGF3bGlrLCBUaW1vdGh5IE0uPC9hdXRob3I+PC9hdXRob3JzPjwvY29udHJpYnV0b3JzPjx0aXRsZXM+PHRpdGxlPkxpdmVyIFRyYW5zcGxhbnQgYXMgYSBUcmVhdG1lbnQgb2YgUHJpbWFyeSBhbmQgU2Vjb25kYXJ5IExpdmVyIE5lb3BsYXNtczwvdGl0bGU+PHNlY29uZGFyeS10aXRsZT5KQU1BIFN1cmdlcnk8L3NlY29uZGFyeS10aXRsZT48L3RpdGxlcz48cGVyaW9kaWNhbD48ZnVsbC10aXRsZT5KQU1BIFN1cmdlcnk8L2Z1bGwtdGl0bGU+PC9wZXJpb2RpY2FsPjxkYXRlcz48eWVhcj4yMDI0PC95ZWFyPjwvZGF0ZXM+PHZvbHVtZT4xNTk8L3ZvbHVtZT48bnVtYmVyPjI8L251bWJlcj48cGFnZXM+MjExPC9wYWdlcz48ZWxlY3Ryb25pYy1yZXNvdXJjZS1udW0+MTAuMTAwMS9qYW1hc3VyZy4yMDIzLjYwODM8L2VsZWN0cm9uaWMtcmVzb3VyY2UtbnVtPjxub3Rlcz5FeGlzdGluZyBzdGFuZGFyZC1wcm90b2NvbCByZWZlcmVuY2UgQ29tcGxldGUgZWlnaHQtcGFnZSBuYXJyYXRpdmUgcmV2aWV3IHJlYWQsIGluY2x1ZGluZyB0YWJsZXMsIGZpZ3VyZXMvY2FwdGlvbnMgYW5kIHJlZmVyZW5jZXMuIFY4IGV4dHJhY3Rpb24gYW5kIGxpbWl0YXRpb25zOiBzb3VyY2UvbWV0YXN0YXNlc19zdGFuZGFyZF9zdXBwbGVtZW50Lmpzb248L25vdGVzPjx1cmxzPjxyZWxhdGVkLXVybHM+PHVybD5odHRwczovL2phbWFuZXR3b3JrLmNvbS9qb3VybmFscy9qYW1hc3VyZ2VyeS9mdWxsYXJ0aWNsZS8xMC4xMDAxL2phbWFzdXJnLjIwMjMuNjA4Mz91dG1fc291cmNlPW9wZW5ldmlkZW5jZSZhbXA7dXRtX21lZGl1bT1yZWZlcnJhbDwvdXJsPjwvcmVsYXRlZC11cmxzPjxwZGYtdXJscy8+PC91cmxzPjwvcmVjb3JkPjwvQ2l0ZT48L0VuZE5vdGU+</w:fldData>
        </w:fldChar>
      </w:r>
      <w:r>
        <w:instrText xml:space="preserve"> ADDIN EN.CITE.DATA </w:instrText>
      </w:r>
      <w:r>
        <w:fldChar w:fldCharType="end"/>
      </w:r>
      <w:r>
        <w:fldChar w:fldCharType="separate"/>
      </w:r>
      <w:r>
        <w:t xml:space="preserve">[V12-5]</w:t>
      </w:r>
      <w:r>
        <w:fldChar w:fldCharType="end"/>
      </w:r>
    </w:p>
    <w:p>
      <w:pPr>
        <w:pStyle w:val="Normal"/>
        <w:widowControl/>
        <w:numPr>
          <w:ilvl w:val="0"/>
          <w:numId w:val="3"/>
        </w:numPr>
      </w:pPr>
      <w:r>
        <w:t xml:space="preserve">Disease confined to the liver</w:t>
      </w:r>
    </w:p>
    <w:p>
      <w:pPr>
        <w:pStyle w:val="Normal"/>
        <w:widowControl/>
        <w:numPr>
          <w:ilvl w:val="0"/>
          <w:numId w:val="3"/>
        </w:numPr>
      </w:pPr>
      <w:r>
        <w:t xml:space="preserve">Disappearing-lesion assessment: retain the original lesion map and review contemporary liver MRI, CT and PET where indicated. PET-negative or radiographically disappearing disease may remain viable, but this alone does not prove persistent unresectability or LT benefit. Separate residual suspicious disease, true radiographic NED with preserved function and irreversible treatment-related liver failure. Do not deliberately induce hepatic failure or stop effective therapy to produce measurable disease.</w:t>
      </w:r>
      <w:r>
        <w:t xml:space="preserve"> </w:t>
      </w:r>
      <w:r>
        <w:t xml:space="preserve"> </w:t>
      </w:r>
      <w:r>
        <w:fldChar w:fldCharType="begin"/>
      </w:r>
      <w:r>
        <w:instrText xml:space="preserve"> ADDIN EN.CITE </w:instrText>
      </w:r>
      <w:r>
        <w:fldChar w:fldCharType="begin">
          <w:fldData>PEVuZE5vdGU+PENpdGU+PEF1dGhvcj5LYXRhb2thPC9BdXRob3I+PFllYXI+MjAyNTwvWWVhcj48UmVjTnVtPjg8L1JlY051bT48RGlzcGxheVRleHQ+W1YxMi04XTwvRGlzcGxheVRleHQ+PHJlY29yZD48cmVjLW51bWJlcj44PC9yZWMtbnVtYmVyPjxmb3JlaWduLWtleXM+PGtleSBhcHA9IkVOIiBkYi1pZD0iY2UxZWYzYjEtNDY1MS01NzQzLWFjOTEtNjk5NWVjNTdhYmJmIiB0aW1lc3RhbXA9IjE3OTI5MjEwODYiPjg8L2tleT48L2ZvcmVpZ24ta2V5cz48cmVmLXR5cGUgbmFtZT0iSm91cm5hbCBBcnRpY2xlIj4xNzwvcmVmLXR5cGU+PGNvbnRyaWJ1dG9ycz48YXV0aG9ycz48YXV0aG9yPkthdGFva2EsIEtvem88L2F1dGhvcj48YXV0aG9yPk1hdWVyLCBNdXJpZWxsZTwvYXV0aG9yPjxhdXRob3I+U2hpb3phd2EsIE1hbmFidTwvYXV0aG9yPjxhdXRob3I+TWFycmVhdWQsIFNhbmRyaW5lPC9hdXRob3I+PC9hdXRob3JzPjwvY29udHJpYnV0b3JzPjx0aXRsZXM+PHRpdGxlPkRpYWdub3N0aWMgQWNjdXJhY3kgb2YgSW1hZ2luZyBpbiBBc3Nlc3NpbmcgTm9udmlhYmlsaXR5IG9mIERpc2FwcGVhcmluZyBDb2xvcmVjdGFsIExpdmVyIE1ldGFzdGFzaXM8L3RpdGxlPjxzZWNvbmRhcnktdGl0bGU+SkFNQSBTdXJnZXJ5PC9zZWNvbmRhcnktdGl0bGU+PC90aXRsZXM+PHBlcmlvZGljYWw+PGZ1bGwtdGl0bGU+SkFNQSBTdXJnZXJ5PC9mdWxsLXRpdGxlPjwvcGVyaW9kaWNhbD48ZGF0ZXM+PHllYXI+MjAyNTwveWVhcj48L2RhdGVzPjxlbGVjdHJvbmljLXJlc291cmNlLW51bT4xMC4xMDAxL2phbWFzdXJnLjIwMjUuMzYwMDwvZWxlY3Ryb25pYy1yZXNvdXJjZS1udW0+PG5vdGVzPlByb3NwZWN0aXZlIG11bHRpY2VudHJlIGRpYWdub3N0aWMgY29ob3J0IEFsbCBuaW5lIFBERiBwYWdlcyByZWFkLiBDb21wbGV0ZSBwcmltYXJ5IHN0dWR5IHBwIDEyMTImIzgyMTE7MTIyMCwgaW5jbHVkaW5nIHJlZmVyZW5jZXM7IGZpbmFsIHBhZ2UgYWxzbyBiZWdpbnMgYSBzZXBhcmF0ZSBpbnZpdGVkIGNvbW1lbnRhcnkgd2hvc2UgY29udGludWF0aW9uIGlzIG5vdCBpbmNsdWRlZCBhbmQgd2FzIG5vdCB0cmVhdGVkIGFzIGNvbXBsZXRlLiBWOCBleHRyYWN0aW9uIGFuZCBsaW1pdGF0aW9uczogc291cmNlL21ldGFzdGFzZXNfZnVsbHRleHRfcmV2aWV3Lmpzb248L25vdGVzPjx1cmxzPjxyZWxhdGVkLXVybHM+PHVybD5odHRwczovL2RvaS5vcmcvMTAuMTAwMS9qYW1hc3VyZy4yMDI1LjM2MDA8L3VybD48L3JlbGF0ZWQtdXJscz48cGRmLXVybHMvPjwvdXJscz48L3JlY29yZD48L0NpdGU+PC9FbmROb3RlPg==</w:fldData>
        </w:fldChar>
      </w:r>
      <w:r>
        <w:instrText xml:space="preserve"> ADDIN EN.CITE.DATA </w:instrText>
      </w:r>
      <w:r>
        <w:fldChar w:fldCharType="end"/>
      </w:r>
      <w:r>
        <w:fldChar w:fldCharType="separate"/>
      </w:r>
      <w:r>
        <w:t xml:space="preserve">[V12-8]</w:t>
      </w:r>
      <w:r>
        <w:fldChar w:fldCharType="end"/>
      </w:r>
      <w:r>
        <w:t xml:space="preserve"> </w:t>
      </w:r>
      <w:r>
        <w:t xml:space="preserve"> </w:t>
      </w:r>
      <w:r>
        <w:fldChar w:fldCharType="begin"/>
      </w:r>
      <w:r>
        <w:instrText xml:space="preserve"> ADDIN EN.CITE </w:instrText>
      </w:r>
      <w:r>
        <w:fldChar w:fldCharType="begin">
          <w:fldData>PEVuZE5vdGU+PENpdGU+PEF1dGhvcj5PYmE8L0F1dGhvcj48WWVhcj4yMDE4PC9ZZWFyPjxSZWNOdW0+OTwvUmVjTnVtPjxEaXNwbGF5VGV4dD5bVjEyLTldPC9EaXNwbGF5VGV4dD48cmVjb3JkPjxyZWMtbnVtYmVyPjk8L3JlYy1udW1iZXI+PGZvcmVpZ24ta2V5cz48a2V5IGFwcD0iRU4iIGRiLWlkPSJjZTFlZjNiMS00NjUxLTU3NDMtYWM5MS02OTk1ZWM1N2FiYmYiIHRpbWVzdGFtcD0iMTc5MjkyMTA4NiI+OTwva2V5PjwvZm9yZWlnbi1rZXlzPjxyZWYtdHlwZSBuYW1lPSJKb3VybmFsIEFydGljbGUiPjE3PC9yZWYtdHlwZT48Y29udHJpYnV0b3JzPjxhdXRob3JzPjxhdXRob3I+T2JhLCBBdHN1c2hpPC9hdXRob3I+PGF1dGhvcj5NaXNlLCBZb3NoaWhpcm88L2F1dGhvcj48YXV0aG9yPkl0bywgSGlyb21pY2hpPC9hdXRob3I+PGF1dGhvcj5IaXJhdHN1a2EsIE1ha2lrbzwvYXV0aG9yPjxhdXRob3I+SW5vdWUsIFlvc3VrZTwvYXV0aG9yPjxhdXRob3I+SXNoaXphd2EsIFRha2Vha2k8L2F1dGhvcj48YXV0aG9yPkFyaXRhLCBKdW5pY2hpPC9hdXRob3I+PGF1dGhvcj5NYXRzdWVkYSwgS2l5b3NoaTwvYXV0aG9yPjxhdXRob3I+VGFrYWhhc2hpLCBZdTwvYXV0aG9yPjxhdXRob3I+U2FpdXJhLCBBa2lvPC9hdXRob3I+PC9hdXRob3JzPjwvY29udHJpYnV0b3JzPjx0aXRsZXM+PHRpdGxlPkNsaW5pY2FsIGltcGxpY2F0aW9ucyBvZiBkaXNhcHBlYXJpbmcgY29sb3JlY3RhbCBsaXZlciBtZXRhc3Rhc2VzIGhhdmUgY2hhbmdlZCBpbiB0aGUgZXJhIG9mIGhlcGF0b2N5dGUtc3BlY2lmaWMgTVJJIGFuZCBjb250cmFzdC1lbmhhbmNlZCBpbnRyYW9wZXJhdGl2ZSB1bHRyYXNvbm9ncmFwaHk8L3RpdGxlPjxzZWNvbmRhcnktdGl0bGU+SFBCPC9zZWNvbmRhcnktdGl0bGU+PC90aXRsZXM+PHBlcmlvZGljYWw+PGZ1bGwtdGl0bGU+SFBCPC9mdWxsLXRpdGxlPjwvcGVyaW9kaWNhbD48ZGF0ZXM+PHllYXI+MjAxODwveWVhcj48L2RhdGVzPjx2b2x1bWU+MjA8L3ZvbHVtZT48bnVtYmVyPjg8L251bWJlcj48cGFnZXM+NzA4LTcxNDwvcGFnZXM+PGVsZWN0cm9uaWMtcmVzb3VyY2UtbnVtPjEwLjEwMTYvai5ocGIuMjAxOC4wMi4zNzc8L2VsZWN0cm9uaWMtcmVzb3VyY2UtbnVtPjxub3Rlcz5SZXRyb3NwZWN0aXZlIGltYWdpbmcvc3VyZ2ljYWwgY29ob3J0IENvbXBsZXRlIHNldmVuLXBhZ2UgbWFpbiBwYXBlciByZWFkLCBpbmNsdWRpbmcgbWV0aG9kcywgcmVzdWx0cywgdGFibGVzLCBmaWd1cmUgdGV4dC9jYXB0aW9ucywgZGlzY3Vzc2lvbiBhbmQgcmVmZXJlbmNlcy4gVjggZXh0cmFjdGlvbiBhbmQgbGltaXRhdGlvbnM6IHNvdXJjZS9tZXRhc3Rhc2VzX2Z1bGx0ZXh0X3Jldmlldy5qc29uPC9ub3Rlcz48dXJscz48cmVsYXRlZC11cmxzPjx1cmw+aHR0cHM6Ly9kb2kub3JnLzEwLjEwMTYvai5ocGIuMjAxOC4wMi4zNzc8L3VybD48L3JlbGF0ZWQtdXJscz48cGRmLXVybHMvPjwvdXJscz48L3JlY29yZD48L0NpdGU+PC9FbmROb3RlPg==</w:fldData>
        </w:fldChar>
      </w:r>
      <w:r>
        <w:instrText xml:space="preserve"> ADDIN EN.CITE.DATA </w:instrText>
      </w:r>
      <w:r>
        <w:fldChar w:fldCharType="end"/>
      </w:r>
      <w:r>
        <w:fldChar w:fldCharType="separate"/>
      </w:r>
      <w:r>
        <w:t xml:space="preserve">[V12-9]</w:t>
      </w:r>
      <w:r>
        <w:fldChar w:fldCharType="end"/>
      </w:r>
      <w:r>
        <w:t xml:space="preserve"> </w:t>
      </w:r>
      <w:r>
        <w:t xml:space="preserve"> </w:t>
      </w:r>
      <w:r>
        <w:fldChar w:fldCharType="begin"/>
      </w:r>
      <w:r>
        <w:instrText xml:space="preserve"> ADDIN EN.CITE </w:instrText>
      </w:r>
      <w:r>
        <w:fldChar w:fldCharType="begin">
          <w:fldData>PEVuZE5vdGU+PENpdGU+PEF1dGhvcj5XZWhybGU8L0F1dGhvcj48WWVhcj4yMDI0PC9ZZWFyPjxSZWNOdW0+MTA8L1JlY051bT48RGlzcGxheVRleHQ+W1YxMi0xMF08L0Rpc3BsYXlUZXh0PjxyZWNvcmQ+PHJlYy1udW1iZXI+MTA8L3JlYy1udW1iZXI+PGZvcmVpZ24ta2V5cz48a2V5IGFwcD0iRU4iIGRiLWlkPSJjZTFlZjNiMS00NjUxLTU3NDMtYWM5MS02OTk1ZWM1N2FiYmYiIHRpbWVzdGFtcD0iMTc5MjkyMTA4NiI+MTA8L2tleT48L2ZvcmVpZ24ta2V5cz48cmVmLXR5cGUgbmFtZT0iSm91cm5hbCBBcnRpY2xlIj4xNzwvcmVmLXR5cGU+PGNvbnRyaWJ1dG9ycz48YXV0aG9ycz48YXV0aG9yPldlaHJsZSwgQ2hhc2UgSjwvYXV0aG9yPjxhdXRob3I+RnVqaWtpLCBNYXNhdG88L2F1dGhvcj48YXV0aG9yPlNjaGxlZ2VsLCBBbmRyZWE8L2F1dGhvcj48YXV0aG9yPlV5c2FsLCBNZWxpczwvYXV0aG9yPjxhdXRob3I+U29ib3RrYSwgQW5hc3Rhc2lhPC9hdXRob3I+PGF1dGhvcj5XaGl0c2V0dCBMaW5nYW5uYSwgTWF1cmVlbjwvYXV0aG9yPjxhdXRob3I+TW9kYXJlc2kgRXNmZWgsIEphbWFrPC9hdXRob3I+PGF1dGhvcj5LYW1hdGgsIFN1bmVlbDwvYXV0aG9yPjxhdXRob3I+S2hhbGlsLCBNYXpoYXI8L2F1dGhvcj48YXV0aG9yPlBpdGEsIEFsZWphbmRybzwvYXV0aG9yPjxhdXRob3I+S2ltLCBKYWUtS2V1bjwvYXV0aG9yPjxhdXRob3I+S3dvbiwgRGF2aWQgQyBIPC9hdXRob3I+PGF1dGhvcj5NaWxsZXIsIENoYXJsZXM8L2F1dGhvcj48YXV0aG9yPkhhc2hpbW90bywgS29qaTwvYXV0aG9yPjxhdXRob3I+QXVjZWpvLCBGZWRlcmljbzwvYXV0aG9yPjwvYXV0aG9ycz48L2NvbnRyaWJ1dG9ycz48dGl0bGVzPjx0aXRsZT5JbnRlbnNpdmUgbG9jb3JlZ2lvbmFsIHRoZXJhcHkgYmVmb3JlIGxpdmVyIHRyYW5zcGxhbnRhdGlvbiBmb3IgY29sb3JlY3RhbCBjYW5jZXIgbGl2ZXIgbWV0YXN0YXNpczogQSBub3ZlbCBwcmV0cmFuc3BsYW50IHByb3RvY29sPC90aXRsZT48c2Vjb25kYXJ5LXRpdGxlPkxpdmVyIHRyYW5zcGxhbnRhdGlvbiA6IG9mZmljaWFsIHB1YmxpY2F0aW9uIG9mIHRoZSBBbWVyaWNhbiBBc3NvY2lhdGlvbiBmb3IgdGhlIFN0dWR5IG9mIExpdmVyIERpc2Vhc2VzIGFuZCB0aGUgSW50ZXJuYXRpb25hbCBMaXZlciBUcmFuc3BsYW50YXRpb24gU29jaWV0eTwvc2Vjb25kYXJ5LXRpdGxlPjwvdGl0bGVzPjxwZXJpb2RpY2FsPjxmdWxsLXRpdGxlPkxpdmVyIHRyYW5zcGxhbnRhdGlvbiA6IG9mZmljaWFsIHB1YmxpY2F0aW9uIG9mIHRoZSBBbWVyaWNhbiBBc3NvY2lhdGlvbiBmb3IgdGhlIFN0dWR5IG9mIExpdmVyIERpc2Vhc2VzIGFuZCB0aGUgSW50ZXJuYXRpb25hbCBMaXZlciBUcmFuc3BsYW50YXRpb24gU29jaWV0eTwvZnVsbC10aXRsZT48L3BlcmlvZGljYWw+PGRhdGVzPjx5ZWFyPjIwMjQ8L3llYXI+PC9kYXRlcz48dm9sdW1lPjMwPC92b2x1bWU+PG51bWJlcj4xMjwvbnVtYmVyPjxwYWdlcz4xMjM4LTEyNDk8L3BhZ2VzPjxlbGVjdHJvbmljLXJlc291cmNlLW51bT4xMC4xMDk3L0xWVC4wMDAwMDAwMDAwMDAwNDE3PC9lbGVjdHJvbmljLXJlc291cmNlLW51bT48bm90ZXM+U21hbGwgb2JzZXJ2YXRpb25hbCBwcmltYXJ5IHNlcmllcyBDb21wbGV0ZSAxMy1wYWdlIFBERiByZWFkOiB2aXN1YWwgYWJzdHJhY3QgYW5kIDEyLXBhZ2UgbWFpbiBwYXBlciwgaW5jbHVkaW5nIHBhdGllbnQtbGV2ZWwgdGFibGVzLCBkaXNjdXNzaW9uIGFuZCByZWZlcmVuY2VzLiBWOCBleHRyYWN0aW9uIGFuZCBsaW1pdGF0aW9uczogc291cmNlL21ldGFzdGFzZXNfZnVsbHRleHRfcmV2aWV3Lmpzb248L25vdGVzPjx1cmxzPjxyZWxhdGVkLXVybHM+PHVybD5odHRwczovL2RvaS5vcmcvMTAuMTA5Ny9MVlQuMDAwMDAwMDAwMDAwMDQxNzwvdXJsPjwvcmVsYXRlZC11cmxzPjxwZGYtdXJscy8+PC91cmxzPjwvcmVjb3JkPjwvQ2l0ZT48L0VuZE5vdGU+</w:fldData>
        </w:fldChar>
      </w:r>
      <w:r>
        <w:instrText xml:space="preserve"> ADDIN EN.CITE.DATA </w:instrText>
      </w:r>
      <w:r>
        <w:fldChar w:fldCharType="end"/>
      </w:r>
      <w:r>
        <w:fldChar w:fldCharType="separate"/>
      </w:r>
      <w:r>
        <w:t xml:space="preserve">[V12-10]</w:t>
      </w:r>
      <w:r>
        <w:fldChar w:fldCharType="end"/>
      </w:r>
      <w:r>
        <w:t xml:space="preserve"> </w:t>
      </w:r>
      <w:r>
        <w:t xml:space="preserve"> </w:t>
      </w:r>
      <w:r>
        <w:fldChar w:fldCharType="begin"/>
      </w:r>
      <w:r>
        <w:instrText xml:space="preserve"> ADDIN EN.CITE </w:instrText>
      </w:r>
      <w:r>
        <w:fldChar w:fldCharType="begin">
          <w:fldData>PEVuZE5vdGU+PENpdGU+PEF1dGhvcj5XZWhybGU8L0F1dGhvcj48WWVhcj4yMDI1PC9ZZWFyPjxSZWNOdW0+MTE8L1JlY051bT48RGlzcGxheVRleHQ+W1YxMi0xMV08L0Rpc3BsYXlUZXh0PjxyZWNvcmQ+PHJlYy1udW1iZXI+MTE8L3JlYy1udW1iZXI+PGZvcmVpZ24ta2V5cz48a2V5IGFwcD0iRU4iIGRiLWlkPSJjZTFlZjNiMS00NjUxLTU3NDMtYWM5MS02OTk1ZWM1N2FiYmYiIHRpbWVzdGFtcD0iMTc5MjkyMTA4NiI+MTE8L2tleT48L2ZvcmVpZ24ta2V5cz48cmVmLXR5cGUgbmFtZT0iSm91cm5hbCBBcnRpY2xlIj4xNzwvcmVmLXR5cGU+PGNvbnRyaWJ1dG9ycz48YXV0aG9ycz48YXV0aG9yPldlaHJsZSwgQ2hhc2UgSjwvYXV0aG9yPjxhdXRob3I+Q2gmIzIyNTt2ZXotVmlsbGEsIE1hcmlhbmE8L2F1dGhvcj48YXV0aG9yPkJ5cm5lLCBNYXR0aGV3PC9hdXRob3I+PGF1dGhvcj5LdXNha2FiZSwgSmlybzwvYXV0aG9yPjxhdXRob3I+R3Jvc3MsIEFiYnk8L2F1dGhvcj48YXV0aG9yPk1haGFqYW4sIFBhcmVzaDwvYXV0aG9yPjxhdXRob3I+UnVmZm9sbywgTHVpczwvYXV0aG9yPjxhdXRob3I+V2hpdHNldHQgTGluZ2FubmEsIE1hdXJlZW48L2F1dGhvcj48YXV0aG9yPlNvYm90a2EsIEFubmllPC9hdXRob3I+PGF1dGhvcj5OYWZmb3VqZSwgU2FtZXI8L2F1dGhvcj48YXV0aG9yPktoYWxpbCwgTWF6aGFyPC9hdXRob3I+PGF1dGhvcj5QaXRhLCBBbGVqYW5kcm88L2F1dGhvcj48YXV0aG9yPkZ1amlraSwgTWFzYXRvPC9hdXRob3I+PGF1dGhvcj5Ub21peWFtYSwgS29qaTwvYXV0aG9yPjxhdXRob3I+U2NobGVnZWwsIEFuZHJlYTwvYXV0aG9yPjxhdXRob3I+S3dvbiwgRGF2aWQgQyBIPC9hdXRob3I+PGF1dGhvcj5MaW5lLCBQYWwtRGFnPC9hdXRob3I+PGF1dGhvcj5NaWxsZXIsIENoYXJsZXM8L2F1dGhvcj48YXV0aG9yPkhhc2hpbW90bywgS29qaTwvYXV0aG9yPjxhdXRob3I+SGVybmFuZGV6LUFsZWphbmRybywgUm9iZXJ0bzwvYXV0aG9yPjxhdXRob3I+QXVjZWpvLCBGZWRlcmljbzwvYXV0aG9yPjwvYXV0aG9ycz48L2NvbnRyaWJ1dG9ycz48dGl0bGVzPjx0aXRsZT5QcmV0cmFuc3BsYW50IG1ldGFib2xpYyB0dW1vciB2b2x1bWUgcHJlZGljdHMgcmVjdXJyZW5jZSBmb2xsb3dpbmcgbGl2ZXIgdHJhbnNwbGFudGF0aW9uIGZvciBjb2xvcmVjdGFsIG1ldGFzdGFzaXM6IEEgbXVsdGljZW50ZXIgc3R1ZHk8L3RpdGxlPjxzZWNvbmRhcnktdGl0bGU+TGl2ZXIgdHJhbnNwbGFudGF0aW9uIDogb2ZmaWNpYWwgcHVibGljYXRpb24gb2YgdGhlIEFtZXJpY2FuIEFzc29jaWF0aW9uIGZvciB0aGUgU3R1ZHkgb2YgTGl2ZXIgRGlzZWFzZXMgYW5kIHRoZSBJbnRlcm5hdGlvbmFsIExpdmVyIFRyYW5zcGxhbnRhdGlvbiBTb2NpZXR5PC9zZWNvbmRhcnktdGl0bGU+PC90aXRsZXM+PHBlcmlvZGljYWw+PGZ1bGwtdGl0bGU+TGl2ZXIgdHJhbnNwbGFudGF0aW9uIDogb2ZmaWNpYWwgcHVibGljYXRpb24gb2YgdGhlIEFtZXJpY2FuIEFzc29jaWF0aW9uIGZvciB0aGUgU3R1ZHkgb2YgTGl2ZXIgRGlzZWFzZXMgYW5kIHRoZSBJbnRlcm5hdGlvbmFsIExpdmVyIFRyYW5zcGxhbnRhdGlvbiBTb2NpZXR5PC9mdWxsLXRpdGxlPjwvcGVyaW9kaWNhbD48ZGF0ZXM+PHllYXI+MjAyNTwveWVhcj48L2RhdGVzPjx2b2x1bWU+MzE8L3ZvbHVtZT48bnVtYmVyPjM8L251bWJlcj48cGFnZXM+Mjk4LTMxMDwvcGFnZXM+PGVsZWN0cm9uaWMtcmVzb3VyY2UtbnVtPjEwLjEwOTcvTFZULjAwMDAwMDAwMDAwMDA1MzU8L2VsZWN0cm9uaWMtcmVzb3VyY2UtbnVtPjxub3Rlcz5SZXRyb3NwZWN0aXZlIHR3by1jZW50ZXIgY29ob3J0IENvbXBsZXRlIDEzLXBhZ2UgbWFpbiBwYXBlciByZWFkLCBpbmNsdWRpbmcgbWV0aG9kcywgVGFibGVzIDEmIzgyMTE7MiwgZmlndXJlcy9jYXB0aW9ucywgZGlzY3Vzc2lvbiBhbmQgcmVmZXJlbmNlcy4gVjggZXh0cmFjdGlvbiBhbmQgbGltaXRhdGlvbnM6IHNvdXJjZS9tZXRhc3Rhc2VzX2Z1bGx0ZXh0X3Jldmlldy5qc29uPC9ub3Rlcz48dXJscz48cmVsYXRlZC11cmxzPjx1cmw+aHR0cHM6Ly9kb2kub3JnLzEwLjEwOTcvTFZULjAwMDAwMDAwMDAwMDA1MzU8L3VybD48L3JlbGF0ZWQtdXJscz48cGRmLXVybHMvPjwvdXJscz48L3JlY29yZD48L0NpdGU+PC9FbmROb3RlPg==</w:fldData>
        </w:fldChar>
      </w:r>
      <w:r>
        <w:instrText xml:space="preserve"> ADDIN EN.CITE.DATA </w:instrText>
      </w:r>
      <w:r>
        <w:fldChar w:fldCharType="end"/>
      </w:r>
      <w:r>
        <w:fldChar w:fldCharType="separate"/>
      </w:r>
      <w:r>
        <w:t xml:space="preserve">[V12-11]</w:t>
      </w:r>
      <w:r>
        <w:fldChar w:fldCharType="end"/>
      </w:r>
    </w:p>
    <w:p>
      <w:pPr>
        <w:pStyle w:val="Normal"/>
        <w:widowControl/>
        <w:numPr>
          <w:ilvl w:val="0"/>
          <w:numId w:val="3"/>
        </w:numPr>
      </w:pPr>
      <w:r>
        <w:t xml:space="preserve">TransMet allowed stable or partially responding disease by RECIST for at least three months on no more than three chemotherapy lines; it did not require objective response in every patient. Current NLRB guidance separately requires at least six months of control. Keep study and allocation criteria distinct.</w:t>
      </w:r>
      <w:r>
        <w:t xml:space="preserve"> </w:t>
      </w:r>
      <w:r>
        <w:t xml:space="preserve"> </w:t>
      </w:r>
      <w:r>
        <w:fldChar w:fldCharType="begin"/>
      </w:r>
      <w:r>
        <w:instrText xml:space="preserve"> ADDIN EN.CITE </w:instrText>
      </w:r>
      <w:r>
        <w:fldChar w:fldCharType="begin">
          <w:fldData>PEVuZE5vdGU+PENpdGU+PEF1dGhvcj5BZGFtPC9BdXRob3I+PFllYXI+MjAyNDwvWWVhcj48UmVjTnVtPjM8L1JlY051bT48RGlzcGxheVRleHQ+W1YxMi0zXTwvRGlzcGxheVRleHQ+PHJlY29yZD48cmVjLW51bWJlcj4zPC9yZWMtbnVtYmVyPjxmb3JlaWduLWtleXM+PGtleSBhcHA9IkVOIiBkYi1pZD0iY2UxZWYzYjEtNDY1MS01NzQzLWFjOTEtNjk5NWVjNTdhYmJmIiB0aW1lc3RhbXA9IjE3OTI5MjEwODYiPjM8L2tleT48L2ZvcmVpZ24ta2V5cz48cmVmLXR5cGUgbmFtZT0iSm91cm5hbCBBcnRpY2xlIj4xNzwvcmVmLXR5cGU+PGNvbnRyaWJ1dG9ycz48YXV0aG9ycz48YXV0aG9yPkFkYW0sIFJlbiYjMjMzOzwvYXV0aG9yPjxhdXRob3I+UGllZHZhY2hlLCBDJiMyMzM7bGluZTwvYXV0aG9yPjxhdXRob3I+Q2hpY2hlLCBMYXVyZW5jZTwvYXV0aG9yPjxhdXRob3I+QWRhbSwgSmVhbiBQaGlsaXBwZTwvYXV0aG9yPjxhdXRob3I+U2FsYW0mIzIzMzssIEVwaHJlbTwvYXV0aG9yPjxhdXRob3I+QnVjdXIsIFBldHJ1PC9hdXRob3I+PGF1dGhvcj5DaGVycXVpLCBEYW5pZWw8L2F1dGhvcj48YXV0aG9yPlNjYXR0b24sIE9saXZpZXI8L2F1dGhvcj48YXV0aG9yPkdyYW5nZXIsIFZpY3RvaXJlPC9hdXRob3I+PGF1dGhvcj5EdWNyZXV4LCBNaWNoZWw8L2F1dGhvcj48YXV0aG9yPkNpbGxvLCBVbWJlcnRvPC9hdXRob3I+PGF1dGhvcj5DYXVjaHksIEZyYW4mIzIzMTtvaXM8L2F1dGhvcj48YXV0aG9yPk1hYnJ1dCwgSmVhbi1ZdmVzPC9hdXRob3I+PGF1dGhvcj5WZXJzbHlwZSwgQ2hyaXM8L2F1dGhvcj48YXV0aG9yPkNvdWJlYXUsIExhdXJlbnQ8L2F1dGhvcj48YXV0aG9yPkhhcmR3aWdzZW4sIEplYW48L2F1dGhvcj48YXV0aG9yPkJvbGVzbGF3c2tpLCBFbW1hbnVlbDwvYXV0aG9yPjxhdXRob3I+TXVzY2FyaSwgRmFicmljZTwvYXV0aG9yPjxhdXRob3I+SmVkZG91LCBIZWl0aGVtPC9hdXRob3I+PGF1dGhvcj5QZXpldCwgRGVuaXM8L2F1dGhvcj48YXV0aG9yPkhleWQsIEJydW5vPC9hdXRob3I+PGF1dGhvcj5MdWNpZGksIFZhbGVyaW88L2F1dGhvcj48YXV0aG9yPkdlYm9lcywgS2FyZW48L2F1dGhvcj48YXV0aG9yPkxlcnV0LCBKYW48L2F1dGhvcj48YXV0aG9yPk1ham5vLCBQaWV0cm88L2F1dGhvcj48YXV0aG9yPkdyaW1hbGRpLCBMYW1pYWU8L2F1dGhvcj48YXV0aG9yPkxldmksIEZyYW5jaXM8L2F1dGhvcj48YXV0aG9yPkxld2luLCBNYSYjMjM5O3QmIzIzMzs8L2F1dGhvcj48YXV0aG9yPkdlbGxpLCBNYXhpbWlsaWFubzwvYXV0aG9yPjxhdXRob3I+Q29sbGFib3JhdGl2ZSBUcmFuc01ldCBncm91cCw8L2F1dGhvcj48L2F1dGhvcnM+PC9jb250cmlidXRvcnM+PHRpdGxlcz48dGl0bGU+TGl2ZXIgdHJhbnNwbGFudGF0aW9uIHBsdXMgY2hlbW90aGVyYXB5IHZlcnN1cyBjaGVtb3RoZXJhcHkgYWxvbmUgaW4gcGF0aWVudHMgd2l0aCBwZXJtYW5lbnRseSB1bnJlc2VjdGFibGUgY29sb3JlY3RhbCBsaXZlciBtZXRhc3Rhc2VzIChUcmFuc01ldCk6IHJlc3VsdHMgZnJvbSBhIG11bHRpY2VudHJlLCBvcGVuLWxhYmVsLCBwcm9zcGVjdGl2ZSwgcmFuZG9taXNlZCBjb250cm9sbGVkIHRyaWFsPC90aXRsZT48c2Vjb25kYXJ5LXRpdGxlPkxhbmNldCAoTG9uZG9uLCBFbmdsYW5kKTwvc2Vjb25kYXJ5LXRpdGxlPjwvdGl0bGVzPjxwZXJpb2RpY2FsPjxmdWxsLXRpdGxlPkxhbmNldCAoTG9uZG9uLCBFbmdsYW5kKTwvZnVsbC10aXRsZT48L3BlcmlvZGljYWw+PGRhdGVzPjx5ZWFyPjIwMjQ8L3llYXI+PC9kYXRlcz48dm9sdW1lPjQwNDwvdm9sdW1lPjxudW1iZXI+MTA0NTg8L251bWJlcj48cGFnZXM+MTEwNy0xMTE4PC9wYWdlcz48ZWxlY3Ryb25pYy1yZXNvdXJjZS1udW0+MTAuMTAxNi9TMDE0MC02NzM2KDI0KTAxNTk1LTI8L2VsZWN0cm9uaWMtcmVzb3VyY2UtbnVtPjxub3Rlcz5NdWx0aWNlbnRlciByYW5kb21pemVkIHRyaWFsIENvbXBsZXRlIGxvY2FsIHByaW1hcnkgUERGIGF2YWlsYWJsZTsgcmVsZXZhbnQgbWV0aG9kcywgc2VsZWN0aW9uLCByZXN1bHRzIGFuZCBsaW1pdGF0aW9ucyByZXZpZXdlZCA5NCByYW5kb21pemVkLCA0NyBwZXIgYXJtOyBmaXZlLXllYXIgSVRUIE9TIDU2LjYlIHZzIDEyLjYlLiBOYXJyb3dseSBzZWxlY3RlZCwgQlJBRi1ub25tdXRhdGVkLCBFQ09HIDAmIzgyMTE7MSwgUjAgcHJpbWFyeSwgYXQgbW9zdCB0aHJlZSBsaW5lcy4gQmFzZWxpbmUgYW5kIHRyZWF0ZWQgbGVzaW9uIG1hcHMgaW5mb3JtZWQgdW5yZXNlY3RhYmlsaXR5Ljwvbm90ZXM+PHVybHM+PHJlbGF0ZWQtdXJscz48dXJsPmh0dHBzOi8vZG9pLm9yZy8xMC4xMDE2L1MwMTQwLTY3MzYoMjQpMDE1OTUtMj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yLTJdPC9EaXNwbGF5VGV4dD48cmVjb3JkPjxyZWMtbnVtYmVyPjI8L3JlYy1udW1iZXI+PGZvcmVpZ24ta2V5cz48a2V5IGFwcD0iRU4iIGRiLWlkPSJjZTFlZjNiMS00NjUxLTU3NDMtYWM5MS02OTk1ZWM1N2FiYmYiIHRpbWVzdGFtcD0iMTc5MjkyMTA4N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RGVjZW1iZXIgMjAyNSBndWlkYW5jZSBwb3N0aW5nOyBORVQgcHAuOCYjODIxMTs5LCBDUkxNIHBwLjkmIzgyMTE7MTAuIE5vbmJpbmRpbmcgYWxsb2NhdGlvbi1yZXZpZXcgZ3VpZGFuY2U7IGNsaW5pY2FsIGVsaWdpYmlsaXR5IGFuZCBhY3R1YWwgYWxsb2NhdGlvbiBhcmUgc2VwYXJhdGUuPC9ub3Rlcz48dXJscz48cmVsYXRlZC11cmxzPjx1cmw+aHR0cHM6Ly93d3cuaHJzYS5nb3Yvc2l0ZXMvZGVmYXVsdC9maWxlcy9ocnNhL29wdG4vYWR1bHQtbWVsZC1leGNlcHRpb24tdHJhbnNwbGFudC1vbmNvbG9neS1yZXZpZXctZ3VpZGFuY2UucGRm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p>
    <w:p>
      <w:pPr>
        <w:pStyle w:val="Normal"/>
        <w:widowControl/>
        <w:numPr>
          <w:ilvl w:val="0"/>
          <w:numId w:val="3"/>
        </w:numPr>
      </w:pPr>
      <w:r>
        <w:t xml:space="preserve">Observation interval: at least 12 months from diagnosis of liver metastases to the initial exception request, per the OPTN transplant-oncology guidance. Where an institutional bar is set more stringently than the trial or the guidance, state that it is an institutional restriction and record the reason; do not attribute it to the guidance or to the trial.</w:t>
      </w:r>
    </w:p>
    <w:p>
      <w:pPr>
        <w:pStyle w:val="Normal"/>
        <w:widowControl/>
        <w:numPr>
          <w:ilvl w:val="0"/>
          <w:numId w:val="3"/>
        </w:numPr>
      </w:pPr>
      <w:r>
        <w:t xml:space="preserve">≤3 lines of prior systemic chemotherapy</w:t>
      </w:r>
      <w:r>
        <w:t xml:space="preserve"> </w:t>
      </w:r>
      <w:r>
        <w:t xml:space="preserve"> </w:t>
      </w:r>
      <w:r>
        <w:fldChar w:fldCharType="begin"/>
      </w:r>
      <w:r>
        <w:instrText xml:space="preserve"> ADDIN EN.CITE </w:instrText>
      </w:r>
      <w:r>
        <w:fldChar w:fldCharType="begin">
          <w:fldData>PEVuZE5vdGU+PENpdGU+PEF1dGhvcj5BZGFtPC9BdXRob3I+PFllYXI+MjAyNDwvWWVhcj48UmVjTnVtPjM8L1JlY051bT48RGlzcGxheVRleHQ+W1YxMi0zXTwvRGlzcGxheVRleHQ+PHJlY29yZD48cmVjLW51bWJlcj4zPC9yZWMtbnVtYmVyPjxmb3JlaWduLWtleXM+PGtleSBhcHA9IkVOIiBkYi1pZD0iY2UxZWYzYjEtNDY1MS01NzQzLWFjOTEtNjk5NWVjNTdhYmJmIiB0aW1lc3RhbXA9IjE3OTI5MjEwODYiPjM8L2tleT48L2ZvcmVpZ24ta2V5cz48cmVmLXR5cGUgbmFtZT0iSm91cm5hbCBBcnRpY2xlIj4xNzwvcmVmLXR5cGU+PGNvbnRyaWJ1dG9ycz48YXV0aG9ycz48YXV0aG9yPkFkYW0sIFJlbiYjMjMzOzwvYXV0aG9yPjxhdXRob3I+UGllZHZhY2hlLCBDJiMyMzM7bGluZTwvYXV0aG9yPjxhdXRob3I+Q2hpY2hlLCBMYXVyZW5jZTwvYXV0aG9yPjxhdXRob3I+QWRhbSwgSmVhbiBQaGlsaXBwZTwvYXV0aG9yPjxhdXRob3I+U2FsYW0mIzIzMzssIEVwaHJlbTwvYXV0aG9yPjxhdXRob3I+QnVjdXIsIFBldHJ1PC9hdXRob3I+PGF1dGhvcj5DaGVycXVpLCBEYW5pZWw8L2F1dGhvcj48YXV0aG9yPlNjYXR0b24sIE9saXZpZXI8L2F1dGhvcj48YXV0aG9yPkdyYW5nZXIsIFZpY3RvaXJlPC9hdXRob3I+PGF1dGhvcj5EdWNyZXV4LCBNaWNoZWw8L2F1dGhvcj48YXV0aG9yPkNpbGxvLCBVbWJlcnRvPC9hdXRob3I+PGF1dGhvcj5DYXVjaHksIEZyYW4mIzIzMTtvaXM8L2F1dGhvcj48YXV0aG9yPk1hYnJ1dCwgSmVhbi1ZdmVzPC9hdXRob3I+PGF1dGhvcj5WZXJzbHlwZSwgQ2hyaXM8L2F1dGhvcj48YXV0aG9yPkNvdWJlYXUsIExhdXJlbnQ8L2F1dGhvcj48YXV0aG9yPkhhcmR3aWdzZW4sIEplYW48L2F1dGhvcj48YXV0aG9yPkJvbGVzbGF3c2tpLCBFbW1hbnVlbDwvYXV0aG9yPjxhdXRob3I+TXVzY2FyaSwgRmFicmljZTwvYXV0aG9yPjxhdXRob3I+SmVkZG91LCBIZWl0aGVtPC9hdXRob3I+PGF1dGhvcj5QZXpldCwgRGVuaXM8L2F1dGhvcj48YXV0aG9yPkhleWQsIEJydW5vPC9hdXRob3I+PGF1dGhvcj5MdWNpZGksIFZhbGVyaW88L2F1dGhvcj48YXV0aG9yPkdlYm9lcywgS2FyZW48L2F1dGhvcj48YXV0aG9yPkxlcnV0LCBKYW48L2F1dGhvcj48YXV0aG9yPk1ham5vLCBQaWV0cm88L2F1dGhvcj48YXV0aG9yPkdyaW1hbGRpLCBMYW1pYWU8L2F1dGhvcj48YXV0aG9yPkxldmksIEZyYW5jaXM8L2F1dGhvcj48YXV0aG9yPkxld2luLCBNYSYjMjM5O3QmIzIzMzs8L2F1dGhvcj48YXV0aG9yPkdlbGxpLCBNYXhpbWlsaWFubzwvYXV0aG9yPjxhdXRob3I+Q29sbGFib3JhdGl2ZSBUcmFuc01ldCBncm91cCw8L2F1dGhvcj48L2F1dGhvcnM+PC9jb250cmlidXRvcnM+PHRpdGxlcz48dGl0bGU+TGl2ZXIgdHJhbnNwbGFudGF0aW9uIHBsdXMgY2hlbW90aGVyYXB5IHZlcnN1cyBjaGVtb3RoZXJhcHkgYWxvbmUgaW4gcGF0aWVudHMgd2l0aCBwZXJtYW5lbnRseSB1bnJlc2VjdGFibGUgY29sb3JlY3RhbCBsaXZlciBtZXRhc3Rhc2VzIChUcmFuc01ldCk6IHJlc3VsdHMgZnJvbSBhIG11bHRpY2VudHJlLCBvcGVuLWxhYmVsLCBwcm9zcGVjdGl2ZSwgcmFuZG9taXNlZCBjb250cm9sbGVkIHRyaWFsPC90aXRsZT48c2Vjb25kYXJ5LXRpdGxlPkxhbmNldCAoTG9uZG9uLCBFbmdsYW5kKTwvc2Vjb25kYXJ5LXRpdGxlPjwvdGl0bGVzPjxwZXJpb2RpY2FsPjxmdWxsLXRpdGxlPkxhbmNldCAoTG9uZG9uLCBFbmdsYW5kKTwvZnVsbC10aXRsZT48L3BlcmlvZGljYWw+PGRhdGVzPjx5ZWFyPjIwMjQ8L3llYXI+PC9kYXRlcz48dm9sdW1lPjQwNDwvdm9sdW1lPjxudW1iZXI+MTA0NTg8L251bWJlcj48cGFnZXM+MTEwNy0xMTE4PC9wYWdlcz48ZWxlY3Ryb25pYy1yZXNvdXJjZS1udW0+MTAuMTAxNi9TMDE0MC02NzM2KDI0KTAxNTk1LTI8L2VsZWN0cm9uaWMtcmVzb3VyY2UtbnVtPjxub3Rlcz5NdWx0aWNlbnRlciByYW5kb21pemVkIHRyaWFsIENvbXBsZXRlIGxvY2FsIHByaW1hcnkgUERGIGF2YWlsYWJsZTsgcmVsZXZhbnQgbWV0aG9kcywgc2VsZWN0aW9uLCByZXN1bHRzIGFuZCBsaW1pdGF0aW9ucyByZXZpZXdlZCA5NCByYW5kb21pemVkLCA0NyBwZXIgYXJtOyBmaXZlLXllYXIgSVRUIE9TIDU2LjYlIHZzIDEyLjYlLiBOYXJyb3dseSBzZWxlY3RlZCwgQlJBRi1ub25tdXRhdGVkLCBFQ09HIDAmIzgyMTE7MSwgUjAgcHJpbWFyeSwgYXQgbW9zdCB0aHJlZSBsaW5lcy4gQmFzZWxpbmUgYW5kIHRyZWF0ZWQgbGVzaW9uIG1hcHMgaW5mb3JtZWQgdW5yZXNlY3RhYmlsaXR5Ljwvbm90ZXM+PHVybHM+PHJlbGF0ZWQtdXJscz48dXJsPmh0dHBzOi8vZG9pLm9yZy8xMC4xMDE2L1MwMTQwLTY3MzYoMjQpMDE1OTUtMj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p>
    <w:p>
      <w:pPr>
        <w:pStyle w:val="Normal"/>
        <w:widowControl/>
        <w:numPr>
          <w:ilvl w:val="0"/>
          <w:numId w:val="3"/>
        </w:numPr>
      </w:pPr>
      <w:r>
        <w:t xml:space="preserve">Source-specific observation intervals: SECA-II Table 1 required at least one year from colorectal-cancer diagnosis to listing. The current NLRB liver-metastasis-diagnosis-to-initial-exception interval is a separate allocation requirement; use the verified allocation interval in Section 2.2 and do not attribute it to SECA-II.</w:t>
      </w:r>
      <w:r>
        <w:t xml:space="preserve"> </w:t>
      </w:r>
      <w:r>
        <w:t xml:space="preserve"> </w:t>
      </w:r>
      <w:r>
        <w:fldChar w:fldCharType="begin"/>
      </w:r>
      <w:r>
        <w:instrText xml:space="preserve"> ADDIN EN.CITE </w:instrText>
      </w:r>
      <w:r>
        <w:fldChar w:fldCharType="begin">
          <w:fldData>PEVuZE5vdGU+PENpdGU+PEF1dGhvcj5EdWVsYW5kPC9BdXRob3I+PFllYXI+MjAyMDwvWWVhcj48UmVjTnVtPjQ8L1JlY051bT48RGlzcGxheVRleHQ+W1YxMi00XTwvRGlzcGxheVRleHQ+PHJlY29yZD48cmVjLW51bWJlcj40PC9yZWMtbnVtYmVyPjxmb3JlaWduLWtleXM+PGtleSBhcHA9IkVOIiBkYi1pZD0iY2UxZWYzYjEtNDY1MS01NzQzLWFjOTEtNjk5NWVjNTdhYmJmIiB0aW1lc3RhbXA9IjE3OTI5MjEwODYiPjQ8L2tleT48L2ZvcmVpZ24ta2V5cz48cmVmLXR5cGUgbmFtZT0iSm91cm5hbCBBcnRpY2xlIj4xNzwvcmVmLXR5cGU+PGNvbnRyaWJ1dG9ycz48YXV0aG9ycz48YXV0aG9yPkR1ZWxhbmQsIFN2ZWluPC9hdXRob3I+PC9hdXRob3JzPjwvY29udHJpYnV0b3JzPjx0aXRsZXM+PHRpdGxlPlN1cnZpdmFsIEZvbGxvd2luZyBMaXZlciBUcmFuc3BsYW50YXRpb24gZm9yIFBhdGllbnRzIFdpdGggTm9ucmVzZWN0YWJsZSBMaXZlci1vbmx5IENvbG9yZWN0YWwgTWV0YXN0YXNlczwvdGl0bGU+PHNlY29uZGFyeS10aXRsZT5Bbm5hbHMgb2YgU3VyZ2VyeTwvc2Vjb25kYXJ5LXRpdGxlPjwvdGl0bGVzPjxwZXJpb2RpY2FsPjxmdWxsLXRpdGxlPkFubmFscyBvZiBTdXJnZXJ5PC9mdWxsLXRpdGxlPjwvcGVyaW9kaWNhbD48ZGF0ZXM+PHllYXI+MjAyMDwveWVhcj48L2RhdGVzPjx2b2x1bWU+MjcxPC92b2x1bWU+PG51bWJlcj4yPC9udW1iZXI+PHBhZ2VzPjIxMiYjODIxMTsyMTg8L3BhZ2VzPjxlbGVjdHJvbmljLXJlc291cmNlLW51bT4xMC4xMDk3L1NMQS4wMDAwMDAwMDAwMDAzNDA0PC9lbGVjdHJvbmljLXJlc291cmNlLW51bT48bm90ZXM+UHJvc3BlY3RpdmUgc2luZ2xlLWNlbnRyZSBjb2hvcnQgQ29tcGxldGUgc2V2ZW4tcGFnZSBwdWJsaXNoZWQgbWFpbiBhcnRpY2xlIHJlYWQsIGluY2x1ZGluZyBtZXRob2RzLCBUYWJsZXMgMSYjODIxMTs1LCBmaWd1cmVzIGFuZCByZWZlcmVuY2VzLiBWOCBleHRyYWN0aW9uIGFuZCBsaW1pdGF0aW9uczogc291cmNlL21ldGFzdGFzZXNfZnVsbHRleHRfcmV2aWV3Lmpzb248L25vdGVzPjx1cmxzPjxyZWxhdGVkLXVybHM+PHVybD5odHRwczovL2RvaS5vcmcvMTAuMTA5Ny9TTEEuMDAwMDAwMDAwMDAwMzQwNDwvdXJsPjwvcmVsYXRlZC11cmxzPjxwZGYtdXJscy8+PC91cmxzPjwvcmVjb3JkPjwvQ2l0ZT48L0VuZE5vdGU+</w:fldData>
        </w:fldChar>
      </w:r>
      <w:r>
        <w:instrText xml:space="preserve"> ADDIN EN.CITE.DATA </w:instrText>
      </w:r>
      <w:r>
        <w:fldChar w:fldCharType="end"/>
      </w:r>
      <w:r>
        <w:fldChar w:fldCharType="separate"/>
      </w:r>
      <w:r>
        <w:t xml:space="preserve">[V12-4]</w:t>
      </w:r>
      <w:r>
        <w:fldChar w:fldCharType="end"/>
      </w:r>
    </w:p>
    <w:p>
      <w:pPr>
        <w:pStyle w:val="Heading3"/>
        <w:keepNext/>
        <w:widowControl/>
      </w:pPr>
      <w:r>
        <w:t xml:space="preserve">2.3 Molecular and Histologic Requirements</w:t>
      </w:r>
    </w:p>
    <w:p>
      <w:pPr>
        <w:pStyle w:val="Normal"/>
        <w:widowControl/>
        <w:numPr>
          <w:ilvl w:val="0"/>
          <w:numId w:val="3"/>
        </w:numPr>
      </w:pPr>
      <w:r>
        <w:t xml:space="preserve">Guidance-aligned allocation requires BRAF wild type and microsatellite-stable disease. Do not treat a non-V600E BRAF mutation as an accepted exception within this standard pathway. KRAS mutation is a risk factor, not an automatic national exclusion. Molecular expansion belongs to a separate OPEN research decision.</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yLTJdPC9EaXNwbGF5VGV4dD48cmVjb3JkPjxyZWMtbnVtYmVyPjI8L3JlYy1udW1iZXI+PGZvcmVpZ24ta2V5cz48a2V5IGFwcD0iRU4iIGRiLWlkPSJjZTFlZjNiMS00NjUxLTU3NDMtYWM5MS02OTk1ZWM1N2FiYmYiIHRpbWVzdGFtcD0iMTc5MjkyMTA4N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RGVjZW1iZXIgMjAyNSBndWlkYW5jZSBwb3N0aW5nOyBORVQgcHAuOCYjODIxMTs5LCBDUkxNIHBwLjkmIzgyMTE7MTAuIE5vbmJpbmRpbmcgYWxsb2NhdGlvbi1yZXZpZXcgZ3VpZGFuY2U7IGNsaW5pY2FsIGVsaWdpYmlsaXR5IGFuZCBhY3R1YWwgYWxsb2NhdGlvbiBhcmUgc2VwYXJhdGUuPC9ub3Rlcz48dXJscz48cmVsYXRlZC11cmxzPjx1cmw+aHR0cHM6Ly93d3cuaHJzYS5nb3Yvc2l0ZXMvZGVmYXVsdC9maWxlcy9ocnNhL29wdG4vYWR1bHQtbWVsZC1leGNlcHRpb24tdHJhbnNwbGFudC1vbmNvbG9neS1yZXZpZXctZ3VpZGFuY2UucGRm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p>
    <w:p>
      <w:pPr>
        <w:pStyle w:val="Normal"/>
        <w:widowControl/>
        <w:numPr>
          <w:ilvl w:val="0"/>
          <w:numId w:val="3"/>
        </w:numPr>
      </w:pPr>
      <w:r>
        <w:t xml:space="preserve">Microsatellite stable (MSS) / proficient mismatch repair (pMMR)</w:t>
      </w:r>
      <w:r>
        <w:t xml:space="preserve"> </w:t>
      </w:r>
      <w:r>
        <w:t xml:space="preserve"> </w:t>
      </w:r>
      <w:r>
        <w:fldChar w:fldCharType="begin"/>
      </w:r>
      <w:r>
        <w:instrText xml:space="preserve"> ADDIN EN.CITE </w:instrText>
      </w:r>
      <w:r>
        <w:fldChar w:fldCharType="begin">
          <w:fldData>PEVuZE5vdGU+PENpdGU+PEF1dGhvcj5Hb3JqaTwvQXV0aG9yPjxZZWFyPjIwMjQ8L1llYXI+PFJlY051bT41PC9SZWNOdW0+PERpc3BsYXlUZXh0PltWMTItNV08L0Rpc3BsYXlUZXh0PjxyZWNvcmQ+PHJlYy1udW1iZXI+NTwvcmVjLW51bWJlcj48Zm9yZWlnbi1rZXlzPjxrZXkgYXBwPSJFTiIgZGItaWQ9ImNlMWVmM2IxLTQ2NTEtNTc0My1hYzkxLTY5OTVlYzU3YWJiZiIgdGltZXN0YW1wPSIxNzkyOTIxMDg2Ij41PC9rZXk+PC9mb3JlaWduLWtleXM+PHJlZi10eXBlIG5hbWU9IkpvdXJuYWwgQXJ0aWNsZSI+MTc8L3JlZi10eXBlPjxjb250cmlidXRvcnM+PGF1dGhvcnM+PGF1dGhvcj5Hb3JqaSwgTGV2YTwvYXV0aG9yPjxhdXRob3I+QnJvd24sIFphY2hhcnkgSi48L2F1dGhvcj48YXV0aG9yPkxpbWtlbWFubiwgQXNobGV5PC9hdXRob3I+PGF1dGhvcj5TY2hlbmssIEF1c3RpbiBELjwvYXV0aG9yPjxhdXRob3I+UGF3bGlrLCBUaW1vdGh5IE0uPC9hdXRob3I+PC9hdXRob3JzPjwvY29udHJpYnV0b3JzPjx0aXRsZXM+PHRpdGxlPkxpdmVyIFRyYW5zcGxhbnQgYXMgYSBUcmVhdG1lbnQgb2YgUHJpbWFyeSBhbmQgU2Vjb25kYXJ5IExpdmVyIE5lb3BsYXNtczwvdGl0bGU+PHNlY29uZGFyeS10aXRsZT5KQU1BIFN1cmdlcnk8L3NlY29uZGFyeS10aXRsZT48L3RpdGxlcz48cGVyaW9kaWNhbD48ZnVsbC10aXRsZT5KQU1BIFN1cmdlcnk8L2Z1bGwtdGl0bGU+PC9wZXJpb2RpY2FsPjxkYXRlcz48eWVhcj4yMDI0PC95ZWFyPjwvZGF0ZXM+PHZvbHVtZT4xNTk8L3ZvbHVtZT48bnVtYmVyPjI8L251bWJlcj48cGFnZXM+MjExPC9wYWdlcz48ZWxlY3Ryb25pYy1yZXNvdXJjZS1udW0+MTAuMTAwMS9qYW1hc3VyZy4yMDIzLjYwODM8L2VsZWN0cm9uaWMtcmVzb3VyY2UtbnVtPjxub3Rlcz5FeGlzdGluZyBzdGFuZGFyZC1wcm90b2NvbCByZWZlcmVuY2UgQ29tcGxldGUgZWlnaHQtcGFnZSBuYXJyYXRpdmUgcmV2aWV3IHJlYWQsIGluY2x1ZGluZyB0YWJsZXMsIGZpZ3VyZXMvY2FwdGlvbnMgYW5kIHJlZmVyZW5jZXMuIFY4IGV4dHJhY3Rpb24gYW5kIGxpbWl0YXRpb25zOiBzb3VyY2UvbWV0YXN0YXNlc19zdGFuZGFyZF9zdXBwbGVtZW50Lmpzb248L25vdGVzPjx1cmxzPjxyZWxhdGVkLXVybHM+PHVybD5odHRwczovL2phbWFuZXR3b3JrLmNvbS9qb3VybmFscy9qYW1hc3VyZ2VyeS9mdWxsYXJ0aWNsZS8xMC4xMDAxL2phbWFzdXJnLjIwMjMuNjA4Mz91dG1fc291cmNlPW9wZW5ldmlkZW5jZSZhbXA7dXRtX21lZGl1bT1yZWZlcnJhbDwvdXJsPjwvcmVsYXRlZC11cmxzPjxwZGYtdXJscy8+PC91cmxzPjwvcmVjb3JkPjwvQ2l0ZT48L0VuZE5vdGU+</w:fldData>
        </w:fldChar>
      </w:r>
      <w:r>
        <w:instrText xml:space="preserve"> ADDIN EN.CITE.DATA </w:instrText>
      </w:r>
      <w:r>
        <w:fldChar w:fldCharType="end"/>
      </w:r>
      <w:r>
        <w:fldChar w:fldCharType="separate"/>
      </w:r>
      <w:r>
        <w:t xml:space="preserve">[V12-5]</w:t>
      </w:r>
      <w:r>
        <w:fldChar w:fldCharType="end"/>
      </w:r>
    </w:p>
    <w:p>
      <w:pPr>
        <w:pStyle w:val="Normal"/>
        <w:widowControl/>
        <w:numPr>
          <w:ilvl w:val="0"/>
          <w:numId w:val="3"/>
        </w:numPr>
      </w:pPr>
      <w:r>
        <w:t xml:space="preserve">No undifferentiated adenocarcinoma or signet ring cell carcinoma histology</w:t>
      </w:r>
      <w:r>
        <w:t xml:space="preserve"> </w:t>
      </w:r>
      <w:r>
        <w:t xml:space="preserve"> </w:t>
      </w:r>
      <w:r>
        <w:fldChar w:fldCharType="begin"/>
      </w:r>
      <w:r>
        <w:instrText xml:space="preserve"> ADDIN EN.CITE </w:instrText>
      </w:r>
      <w:r>
        <w:fldChar w:fldCharType="begin">
          <w:fldData>PEVuZE5vdGU+PENpdGU+PEF1dGhvcj5Hb3JqaTwvQXV0aG9yPjxZZWFyPjIwMjQ8L1llYXI+PFJlY051bT41PC9SZWNOdW0+PERpc3BsYXlUZXh0PltWMTItNV08L0Rpc3BsYXlUZXh0PjxyZWNvcmQ+PHJlYy1udW1iZXI+NTwvcmVjLW51bWJlcj48Zm9yZWlnbi1rZXlzPjxrZXkgYXBwPSJFTiIgZGItaWQ9ImNlMWVmM2IxLTQ2NTEtNTc0My1hYzkxLTY5OTVlYzU3YWJiZiIgdGltZXN0YW1wPSIxNzkyOTIxMDg2Ij41PC9rZXk+PC9mb3JlaWduLWtleXM+PHJlZi10eXBlIG5hbWU9IkpvdXJuYWwgQXJ0aWNsZSI+MTc8L3JlZi10eXBlPjxjb250cmlidXRvcnM+PGF1dGhvcnM+PGF1dGhvcj5Hb3JqaSwgTGV2YTwvYXV0aG9yPjxhdXRob3I+QnJvd24sIFphY2hhcnkgSi48L2F1dGhvcj48YXV0aG9yPkxpbWtlbWFubiwgQXNobGV5PC9hdXRob3I+PGF1dGhvcj5TY2hlbmssIEF1c3RpbiBELjwvYXV0aG9yPjxhdXRob3I+UGF3bGlrLCBUaW1vdGh5IE0uPC9hdXRob3I+PC9hdXRob3JzPjwvY29udHJpYnV0b3JzPjx0aXRsZXM+PHRpdGxlPkxpdmVyIFRyYW5zcGxhbnQgYXMgYSBUcmVhdG1lbnQgb2YgUHJpbWFyeSBhbmQgU2Vjb25kYXJ5IExpdmVyIE5lb3BsYXNtczwvdGl0bGU+PHNlY29uZGFyeS10aXRsZT5KQU1BIFN1cmdlcnk8L3NlY29uZGFyeS10aXRsZT48L3RpdGxlcz48cGVyaW9kaWNhbD48ZnVsbC10aXRsZT5KQU1BIFN1cmdlcnk8L2Z1bGwtdGl0bGU+PC9wZXJpb2RpY2FsPjxkYXRlcz48eWVhcj4yMDI0PC95ZWFyPjwvZGF0ZXM+PHZvbHVtZT4xNTk8L3ZvbHVtZT48bnVtYmVyPjI8L251bWJlcj48cGFnZXM+MjExPC9wYWdlcz48ZWxlY3Ryb25pYy1yZXNvdXJjZS1udW0+MTAuMTAwMS9qYW1hc3VyZy4yMDIzLjYwODM8L2VsZWN0cm9uaWMtcmVzb3VyY2UtbnVtPjxub3Rlcz5FeGlzdGluZyBzdGFuZGFyZC1wcm90b2NvbCByZWZlcmVuY2UgQ29tcGxldGUgZWlnaHQtcGFnZSBuYXJyYXRpdmUgcmV2aWV3IHJlYWQsIGluY2x1ZGluZyB0YWJsZXMsIGZpZ3VyZXMvY2FwdGlvbnMgYW5kIHJlZmVyZW5jZXMuIFY4IGV4dHJhY3Rpb24gYW5kIGxpbWl0YXRpb25zOiBzb3VyY2UvbWV0YXN0YXNlc19zdGFuZGFyZF9zdXBwbGVtZW50Lmpzb248L25vdGVzPjx1cmxzPjxyZWxhdGVkLXVybHM+PHVybD5odHRwczovL2phbWFuZXR3b3JrLmNvbS9qb3VybmFscy9qYW1hc3VyZ2VyeS9mdWxsYXJ0aWNsZS8xMC4xMDAxL2phbWFzdXJnLjIwMjMuNjA4Mz91dG1fc291cmNlPW9wZW5ldmlkZW5jZSZhbXA7dXRtX21lZGl1bT1yZWZlcnJhbDwvdXJsPjwvcmVsYXRlZC11cmxzPjxwZGYtdXJscy8+PC91cmxzPjwvcmVjb3JkPjwvQ2l0ZT48L0VuZE5vdGU+</w:fldData>
        </w:fldChar>
      </w:r>
      <w:r>
        <w:instrText xml:space="preserve"> ADDIN EN.CITE.DATA </w:instrText>
      </w:r>
      <w:r>
        <w:fldChar w:fldCharType="end"/>
      </w:r>
      <w:r>
        <w:fldChar w:fldCharType="separate"/>
      </w:r>
      <w:r>
        <w:t xml:space="preserve">[V12-5]</w:t>
      </w:r>
      <w:r>
        <w:fldChar w:fldCharType="end"/>
      </w:r>
    </w:p>
    <w:p>
      <w:pPr>
        <w:pStyle w:val="Heading3"/>
        <w:keepNext/>
        <w:widowControl/>
      </w:pPr>
      <w:r>
        <w:t xml:space="preserve">2.4 Imaging and Biomarker Requirements</w:t>
      </w:r>
    </w:p>
    <w:p>
      <w:pPr>
        <w:pStyle w:val="Normal"/>
        <w:widowControl/>
        <w:numPr>
          <w:ilvl w:val="0"/>
          <w:numId w:val="3"/>
        </w:numPr>
      </w:pPr>
      <w:r>
        <w:t xml:space="preserve">No hepatic lesion &gt;10 cm before the start of treatment, as required by the December 2025 guidance.</w:t>
      </w:r>
    </w:p>
    <w:p>
      <w:pPr>
        <w:pStyle w:val="Normal"/>
        <w:widowControl/>
        <w:numPr>
          <w:ilvl w:val="0"/>
          <w:numId w:val="3"/>
        </w:numPr>
      </w:pPr>
      <w:r>
        <w:t xml:space="preserve">FDG PET-CT within 4 weeks of listing:</w:t>
      </w:r>
    </w:p>
    <w:p>
      <w:pPr>
        <w:pStyle w:val="Normal"/>
        <w:widowControl/>
        <w:numPr>
          <w:ilvl w:val="0"/>
          <w:numId w:val="3"/>
        </w:numPr>
      </w:pPr>
      <w:r>
        <w:t xml:space="preserve">PET-derived MTV and TLG are adjunctive prognostic measurements, not validated eligibility thresholds. Record technique and timing relative to chemotherapy. The Oslo analysis used a ROC-derived MTV threshold of 66.09 cm3 rounded to about 70 and TLG 238.8; other published thresholds must be source-labelled. PET negativity does not exclude viable cancer. Do not use MTV/TLG alone to activate, permanently exclude or mandate additional therapy.</w:t>
      </w:r>
      <w:r>
        <w:t xml:space="preserve"> </w:t>
      </w:r>
      <w:r>
        <w:t xml:space="preserve"> </w:t>
      </w:r>
      <w:r>
        <w:fldChar w:fldCharType="begin"/>
      </w:r>
      <w:r>
        <w:instrText xml:space="preserve"> ADDIN EN.CITE </w:instrText>
      </w:r>
      <w:r>
        <w:fldChar w:fldCharType="begin">
          <w:fldData>PEVuZE5vdGU+PENpdGU+PEF1dGhvcj5HcnV0PC9BdXRob3I+PFllYXI+MjAyMjwvWWVhcj48UmVjTnVtPjEyPC9SZWNOdW0+PERpc3BsYXlUZXh0PltWMTItMTJdPC9EaXNwbGF5VGV4dD48cmVjb3JkPjxyZWMtbnVtYmVyPjEyPC9yZWMtbnVtYmVyPjxmb3JlaWduLWtleXM+PGtleSBhcHA9IkVOIiBkYi1pZD0iY2UxZWYzYjEtNDY1MS01NzQzLWFjOTEtNjk5NWVjNTdhYmJmIiB0aW1lc3RhbXA9IjE3OTI5MjEwODYiPjEyPC9rZXk+PC9mb3JlaWduLWtleXM+PHJlZi10eXBlIG5hbWU9IkpvdXJuYWwgQXJ0aWNsZSI+MTc8L3JlZi10eXBlPjxjb250cmlidXRvcnM+PGF1dGhvcnM+PGF1dGhvcj5HcnV0LCBIYXJhbGQ8L2F1dGhvcj48YXV0aG9yPkxpbmUsIFAmIzIyOTtsLURhZzwvYXV0aG9yPjxhdXRob3I+U3l2ZXJzdmVlbiwgVHJ5Z3ZlPC9hdXRob3I+PGF1dGhvcj5EdWVsYW5kLCBTdmVpbjwvYXV0aG9yPjwvYXV0aG9ycz48L2NvbnRyaWJ1dG9ycz48dGl0bGVzPjx0aXRsZT5NZXRhYm9saWMgdHVtb3Igdm9sdW1lIHByZWRpY3RzIGxvbmctdGVybSBzdXJ2aXZhbCBhZnRlciB0cmFuc3BsYW50YXRpb24gZm9yIHVucmVzZWN0YWJsZSBjb2xvcmVjdGFsIGxpdmVyIG1ldGFzdGFzZXM6IDE1IHllYXJzIG9mIGV4cGVyaWVuY2UgZnJvbSB0aGUgU0VDQSBzdHVkeTwvdGl0bGU+PHNlY29uZGFyeS10aXRsZT5Bbm5hbHMgb2YgbnVjbGVhciBtZWRpY2luZTwvc2Vjb25kYXJ5LXRpdGxlPjwvdGl0bGVzPjxwZXJpb2RpY2FsPjxmdWxsLXRpdGxlPkFubmFscyBvZiBudWNsZWFyIG1lZGljaW5lPC9mdWxsLXRpdGxlPjwvcGVyaW9kaWNhbD48ZGF0ZXM+PHllYXI+MjAyMjwveWVhcj48L2RhdGVzPjx2b2x1bWU+MzY8L3ZvbHVtZT48bnVtYmVyPjEyPC9udW1iZXI+PHBhZ2VzPjEwNzMtMTA4MTwvcGFnZXM+PGVsZWN0cm9uaWMtcmVzb3VyY2UtbnVtPjEwLjEwMDcvczEyMTQ5LTAyMi0wMTc5Ni04PC9lbGVjdHJvbmljLXJlc291cmNlLW51bT48bm90ZXM+UmV0cm9zcGVjdGl2ZSBwcm9nbm9zdGljIGNvaG9ydCBDb21wbGV0ZSBuaW5lLXBhZ2UgcHVibGlzaGVkIHBhcGVyIHJlYWQsIGluY2x1ZGluZyBNZXRob2RzLCBhbGwgdGFibGVzL2ZpZ3VyZXMsIERpc2N1c3Npb24gYW5kIHJlZmVyZW5jZXMuIFY4IGV4dHJhY3Rpb24gYW5kIGxpbWl0YXRpb25zOiBzb3VyY2UvbWV0YXN0YXNlc19mdWxsdGV4dF9yZXZpZXcuanNvbjwvbm90ZXM+PHVybHM+PHJlbGF0ZWQtdXJscz48dXJsPmh0dHBzOi8vZG9pLm9yZy8xMC4xMDA3L3MxMjE0OS0wMjItMDE3OTYtODwvdXJsPjwvcmVsYXRlZC11cmxzPjxwZGYtdXJscy8+PC91cmxzPjwvcmVjb3JkPjwvQ2l0ZT48L0VuZE5vdGU+</w:fldData>
        </w:fldChar>
      </w:r>
      <w:r>
        <w:instrText xml:space="preserve"> ADDIN EN.CITE.DATA </w:instrText>
      </w:r>
      <w:r>
        <w:fldChar w:fldCharType="end"/>
      </w:r>
      <w:r>
        <w:fldChar w:fldCharType="separate"/>
      </w:r>
      <w:r>
        <w:t xml:space="preserve">[V12-12]</w:t>
      </w:r>
      <w:r>
        <w:fldChar w:fldCharType="end"/>
      </w:r>
      <w:r>
        <w:t xml:space="preserve"> </w:t>
      </w:r>
      <w:r>
        <w:t xml:space="preserve"> </w:t>
      </w:r>
      <w:r>
        <w:fldChar w:fldCharType="begin"/>
      </w:r>
      <w:r>
        <w:instrText xml:space="preserve"> ADDIN EN.CITE </w:instrText>
      </w:r>
      <w:r>
        <w:fldChar w:fldCharType="begin">
          <w:fldData>PEVuZE5vdGU+PENpdGU+PEF1dGhvcj5XZWhybGU8L0F1dGhvcj48WWVhcj4yMDI1PC9ZZWFyPjxSZWNOdW0+MTE8L1JlY051bT48RGlzcGxheVRleHQ+W1YxMi0xMV08L0Rpc3BsYXlUZXh0PjxyZWNvcmQ+PHJlYy1udW1iZXI+MTE8L3JlYy1udW1iZXI+PGZvcmVpZ24ta2V5cz48a2V5IGFwcD0iRU4iIGRiLWlkPSJjZTFlZjNiMS00NjUxLTU3NDMtYWM5MS02OTk1ZWM1N2FiYmYiIHRpbWVzdGFtcD0iMTc5MjkyMTA4NiI+MTE8L2tleT48L2ZvcmVpZ24ta2V5cz48cmVmLXR5cGUgbmFtZT0iSm91cm5hbCBBcnRpY2xlIj4xNzwvcmVmLXR5cGU+PGNvbnRyaWJ1dG9ycz48YXV0aG9ycz48YXV0aG9yPldlaHJsZSwgQ2hhc2UgSjwvYXV0aG9yPjxhdXRob3I+Q2gmIzIyNTt2ZXotVmlsbGEsIE1hcmlhbmE8L2F1dGhvcj48YXV0aG9yPkJ5cm5lLCBNYXR0aGV3PC9hdXRob3I+PGF1dGhvcj5LdXNha2FiZSwgSmlybzwvYXV0aG9yPjxhdXRob3I+R3Jvc3MsIEFiYnk8L2F1dGhvcj48YXV0aG9yPk1haGFqYW4sIFBhcmVzaDwvYXV0aG9yPjxhdXRob3I+UnVmZm9sbywgTHVpczwvYXV0aG9yPjxhdXRob3I+V2hpdHNldHQgTGluZ2FubmEsIE1hdXJlZW48L2F1dGhvcj48YXV0aG9yPlNvYm90a2EsIEFubmllPC9hdXRob3I+PGF1dGhvcj5OYWZmb3VqZSwgU2FtZXI8L2F1dGhvcj48YXV0aG9yPktoYWxpbCwgTWF6aGFyPC9hdXRob3I+PGF1dGhvcj5QaXRhLCBBbGVqYW5kcm88L2F1dGhvcj48YXV0aG9yPkZ1amlraSwgTWFzYXRvPC9hdXRob3I+PGF1dGhvcj5Ub21peWFtYSwgS29qaTwvYXV0aG9yPjxhdXRob3I+U2NobGVnZWwsIEFuZHJlYTwvYXV0aG9yPjxhdXRob3I+S3dvbiwgRGF2aWQgQyBIPC9hdXRob3I+PGF1dGhvcj5MaW5lLCBQYWwtRGFnPC9hdXRob3I+PGF1dGhvcj5NaWxsZXIsIENoYXJsZXM8L2F1dGhvcj48YXV0aG9yPkhhc2hpbW90bywgS29qaTwvYXV0aG9yPjxhdXRob3I+SGVybmFuZGV6LUFsZWphbmRybywgUm9iZXJ0bzwvYXV0aG9yPjxhdXRob3I+QXVjZWpvLCBGZWRlcmljbzwvYXV0aG9yPjwvYXV0aG9ycz48L2NvbnRyaWJ1dG9ycz48dGl0bGVzPjx0aXRsZT5QcmV0cmFuc3BsYW50IG1ldGFib2xpYyB0dW1vciB2b2x1bWUgcHJlZGljdHMgcmVjdXJyZW5jZSBmb2xsb3dpbmcgbGl2ZXIgdHJhbnNwbGFudGF0aW9uIGZvciBjb2xvcmVjdGFsIG1ldGFzdGFzaXM6IEEgbXVsdGljZW50ZXIgc3R1ZHk8L3RpdGxlPjxzZWNvbmRhcnktdGl0bGU+TGl2ZXIgdHJhbnNwbGFudGF0aW9uIDogb2ZmaWNpYWwgcHVibGljYXRpb24gb2YgdGhlIEFtZXJpY2FuIEFzc29jaWF0aW9uIGZvciB0aGUgU3R1ZHkgb2YgTGl2ZXIgRGlzZWFzZXMgYW5kIHRoZSBJbnRlcm5hdGlvbmFsIExpdmVyIFRyYW5zcGxhbnRhdGlvbiBTb2NpZXR5PC9zZWNvbmRhcnktdGl0bGU+PC90aXRsZXM+PHBlcmlvZGljYWw+PGZ1bGwtdGl0bGU+TGl2ZXIgdHJhbnNwbGFudGF0aW9uIDogb2ZmaWNpYWwgcHVibGljYXRpb24gb2YgdGhlIEFtZXJpY2FuIEFzc29jaWF0aW9uIGZvciB0aGUgU3R1ZHkgb2YgTGl2ZXIgRGlzZWFzZXMgYW5kIHRoZSBJbnRlcm5hdGlvbmFsIExpdmVyIFRyYW5zcGxhbnRhdGlvbiBTb2NpZXR5PC9mdWxsLXRpdGxlPjwvcGVyaW9kaWNhbD48ZGF0ZXM+PHllYXI+MjAyNTwveWVhcj48L2RhdGVzPjx2b2x1bWU+MzE8L3ZvbHVtZT48bnVtYmVyPjM8L251bWJlcj48cGFnZXM+Mjk4LTMxMDwvcGFnZXM+PGVsZWN0cm9uaWMtcmVzb3VyY2UtbnVtPjEwLjEwOTcvTFZULjAwMDAwMDAwMDAwMDA1MzU8L2VsZWN0cm9uaWMtcmVzb3VyY2UtbnVtPjxub3Rlcz5SZXRyb3NwZWN0aXZlIHR3by1jZW50ZXIgY29ob3J0IENvbXBsZXRlIDEzLXBhZ2UgbWFpbiBwYXBlciByZWFkLCBpbmNsdWRpbmcgbWV0aG9kcywgVGFibGVzIDEmIzgyMTE7MiwgZmlndXJlcy9jYXB0aW9ucywgZGlzY3Vzc2lvbiBhbmQgcmVmZXJlbmNlcy4gVjggZXh0cmFjdGlvbiBhbmQgbGltaXRhdGlvbnM6IHNvdXJjZS9tZXRhc3Rhc2VzX2Z1bGx0ZXh0X3Jldmlldy5qc29uPC9ub3Rlcz48dXJscz48cmVsYXRlZC11cmxzPjx1cmw+aHR0cHM6Ly9kb2kub3JnLzEwLjEwOTcvTFZULjAwMDAwMDAwMDAwMDA1MzU8L3VybD48L3JlbGF0ZWQtdXJscz48cGRmLXVybHMvPjwvdXJscz48L3JlY29yZD48L0NpdGU+PC9FbmROb3RlPg==</w:fldData>
        </w:fldChar>
      </w:r>
      <w:r>
        <w:instrText xml:space="preserve"> ADDIN EN.CITE.DATA </w:instrText>
      </w:r>
      <w:r>
        <w:fldChar w:fldCharType="end"/>
      </w:r>
      <w:r>
        <w:fldChar w:fldCharType="separate"/>
      </w:r>
      <w:r>
        <w:t xml:space="preserve">[V12-11]</w:t>
      </w:r>
      <w:r>
        <w:fldChar w:fldCharType="end"/>
      </w:r>
    </w:p>
    <w:p>
      <w:pPr>
        <w:pStyle w:val="Normal"/>
        <w:widowControl/>
        <w:numPr>
          <w:ilvl w:val="0"/>
          <w:numId w:val="3"/>
        </w:numPr>
      </w:pPr>
      <w:r>
        <w:t xml:space="preserve">CEA gate: current guidance excludes an initial request with CEA &gt;80 µg/L and requires CEA &lt;80 for extension. Exactly 80 is a wording boundary requiring allocation clarification. OPEN local proposal uses &lt;80 ng/mL throughout for consistency; a falling value ≥80 does not satisfy that stricter proposal. Record assay/date and repeat unexpected values.</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yLTJdPC9EaXNwbGF5VGV4dD48cmVjb3JkPjxyZWMtbnVtYmVyPjI8L3JlYy1udW1iZXI+PGZvcmVpZ24ta2V5cz48a2V5IGFwcD0iRU4iIGRiLWlkPSJjZTFlZjNiMS00NjUxLTU3NDMtYWM5MS02OTk1ZWM1N2FiYmYiIHRpbWVzdGFtcD0iMTc5MjkyMTA4N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RGVjZW1iZXIgMjAyNSBndWlkYW5jZSBwb3N0aW5nOyBORVQgcHAuOCYjODIxMTs5LCBDUkxNIHBwLjkmIzgyMTE7MTAuIE5vbmJpbmRpbmcgYWxsb2NhdGlvbi1yZXZpZXcgZ3VpZGFuY2U7IGNsaW5pY2FsIGVsaWdpYmlsaXR5IGFuZCBhY3R1YWwgYWxsb2NhdGlvbiBhcmUgc2VwYXJhdGUuPC9ub3Rlcz48dXJscz48cmVsYXRlZC11cmxzPjx1cmw+aHR0cHM6Ly93d3cuaHJzYS5nb3Yvc2l0ZXMvZGVmYXVsdC9maWxlcy9ocnNhL29wdG4vYWR1bHQtbWVsZC1leGNlcHRpb24tdHJhbnNwbGFudC1vbmNvbG9neS1yZXZpZXctZ3VpZGFuY2UucGRm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p>
    <w:p>
      <w:pPr>
        <w:pStyle w:val="Normal"/>
        <w:widowControl/>
        <w:numPr>
          <w:ilvl w:val="0"/>
          <w:numId w:val="3"/>
        </w:numPr>
      </w:pPr>
      <w:r>
        <w:t xml:space="preserve">Largest liver lesion ≤5.5 cm (preferred; &gt;5.5 cm is a relative contraindication)</w:t>
      </w:r>
      <w:r>
        <w:t xml:space="preserve"> </w:t>
      </w:r>
      <w:r>
        <w:t xml:space="preserve"> </w:t>
      </w:r>
      <w:r>
        <w:fldChar w:fldCharType="begin"/>
      </w:r>
      <w:r>
        <w:instrText xml:space="preserve"> ADDIN EN.CITE </w:instrText>
      </w:r>
      <w:r>
        <w:fldChar w:fldCharType="begin">
          <w:fldData>PEVuZE5vdGU+PENpdGU+PEF1dGhvcj5VZWJlcnJvdGg8L0F1dGhvcj48WWVhcj4yMDI1PC9ZZWFyPjxSZWNOdW0+NzwvUmVjTnVtPjxEaXNwbGF5VGV4dD5bVjEyLTddPC9EaXNwbGF5VGV4dD48cmVjb3JkPjxyZWMtbnVtYmVyPjc8L3JlYy1udW1iZXI+PGZvcmVpZ24ta2V5cz48a2V5IGFwcD0iRU4iIGRiLWlkPSJjZTFlZjNiMS00NjUxLTU3NDMtYWM5MS02OTk1ZWM1N2FiYmYiIHRpbWVzdGFtcD0iMTc5MjkyMTA4NiI+Nzwva2V5PjwvZm9yZWlnbi1rZXlzPjxyZWYtdHlwZSBuYW1lPSJKb3VybmFsIEFydGljbGUiPjE3PC9yZWYtdHlwZT48Y29udHJpYnV0b3JzPjxhdXRob3JzPjxhdXRob3I+VWViZXJyb3RoLCBCZW5qYW1pbiBFPC9hdXRob3I+PGF1dGhvcj5LcmlzcywgTWljaGFlbDwvYXV0aG9yPjxhdXRob3I+QnVydG9uLCBKYW1lcyBSPC9hdXRob3I+PGF1dGhvcj5NZXNzZXJzbWl0aCwgV2VsbHMgQTwvYXV0aG9yPjwvYXV0aG9ycz48L2NvbnRyaWJ1dG9ycz48dGl0bGVzPjx0aXRsZT5MaXZlciB0cmFuc3BsYW50YXRpb24gZm9yIGNvbG9yZWN0YWwgY2FuY2VyIHdpdGggbGl2ZXIgbWV0YXN0YXNlczwvdGl0bGU+PHNlY29uZGFyeS10aXRsZT5UaGUgT25jb2xvZ2lzdDwvc2Vjb25kYXJ5LXRpdGxlPjwvdGl0bGVzPjxwZXJpb2RpY2FsPjxmdWxsLXRpdGxlPlRoZSBPbmNvbG9naXN0PC9mdWxsLXRpdGxlPjwvcGVyaW9kaWNhbD48ZGF0ZXM+PHllYXI+MjAyNTwveWVhcj48L2RhdGVzPjx2b2x1bWU+MzA8L3ZvbHVtZT48bnVtYmVyPjE8L251bWJlcj48ZWxlY3Ryb25pYy1yZXNvdXJjZS1udW0+MTAuMTA5My9vbmNvbG8vb3lhZTM2NzwvZWxlY3Ryb25pYy1yZXNvdXJjZS1udW0+PG5vdGVzPkV4aXN0aW5nIHN0YW5kYXJkLXByb3RvY29sIHJlZmVyZW5jZSBDb21wbGV0ZSAxMi1wYWdlIG5hcnJhdGl2ZSByZXZpZXcgcmVhZCwgaW5jbHVkaW5nIFRhYmxlcyAxJiM4MjExOzMgYW5kIHJlZmVyZW5jZXMuIFY4IGV4dHJhY3Rpb24gYW5kIGxpbWl0YXRpb25zOiBzb3VyY2UvbWV0YXN0YXNlc19zdGFuZGFyZF9zdXBwbGVtZW50Lmpzb248L25vdGVzPjx1cmxzPjxyZWxhdGVkLXVybHM+PHVybD5odHRwczovL3B1Ym1lZC5uY2JpLm5sbS5uaWguZ292LzM5ODM0MTI3PC91cmw+PC9yZWxhdGVkLXVybHM+PHBkZi11cmxzLz48L3VybHM+PC9yZWNvcmQ+PC9DaXRlPjwvRW5kTm90ZT4=</w:fldData>
        </w:fldChar>
      </w:r>
      <w:r>
        <w:instrText xml:space="preserve"> ADDIN EN.CITE.DATA </w:instrText>
      </w:r>
      <w:r>
        <w:fldChar w:fldCharType="end"/>
      </w:r>
      <w:r>
        <w:fldChar w:fldCharType="separate"/>
      </w:r>
      <w:r>
        <w:t xml:space="preserve">[V12-7]</w:t>
      </w:r>
      <w:r>
        <w:fldChar w:fldCharType="end"/>
      </w:r>
    </w:p>
    <w:p>
      <w:pPr>
        <w:pStyle w:val="Heading3"/>
        <w:keepNext/>
        <w:widowControl/>
      </w:pPr>
      <w:r>
        <w:t xml:space="preserve">3. Patient Selection — Exclusion Criteria</w:t>
      </w:r>
    </w:p>
    <w:p>
      <w:pPr>
        <w:pStyle w:val="Normal"/>
        <w:widowControl/>
        <w:numPr>
          <w:ilvl w:val="0"/>
          <w:numId w:val="3"/>
        </w:numPr>
      </w:pPr>
      <w:r>
        <w:t xml:space="preserve">Any extrahepatic metastatic disease (including peritoneal, pulmonary, or nodal disease)</w:t>
      </w:r>
    </w:p>
    <w:p>
      <w:pPr>
        <w:pStyle w:val="Normal"/>
        <w:widowControl/>
        <w:numPr>
          <w:ilvl w:val="0"/>
          <w:numId w:val="3"/>
        </w:numPr>
      </w:pPr>
      <w:r>
        <w:t xml:space="preserve">Disease progression on most recent chemotherapy regimen</w:t>
      </w:r>
    </w:p>
    <w:p>
      <w:pPr>
        <w:pStyle w:val="Normal"/>
        <w:widowControl/>
        <w:numPr>
          <w:ilvl w:val="0"/>
          <w:numId w:val="3"/>
        </w:numPr>
      </w:pPr>
      <w:r>
        <w:t xml:space="preserve">Any BRAF mutation is outside the current guidance-aligned BRAF-wild-type route. Non-V600E alterations require a separate OPEN research/exception discussion; this restriction does not prove universal clinical futility.</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yLTJdPC9EaXNwbGF5VGV4dD48cmVjb3JkPjxyZWMtbnVtYmVyPjI8L3JlYy1udW1iZXI+PGZvcmVpZ24ta2V5cz48a2V5IGFwcD0iRU4iIGRiLWlkPSJjZTFlZjNiMS00NjUxLTU3NDMtYWM5MS02OTk1ZWM1N2FiYmYiIHRpbWVzdGFtcD0iMTc5MjkyMTA4N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RGVjZW1iZXIgMjAyNSBndWlkYW5jZSBwb3N0aW5nOyBORVQgcHAuOCYjODIxMTs5LCBDUkxNIHBwLjkmIzgyMTE7MTAuIE5vbmJpbmRpbmcgYWxsb2NhdGlvbi1yZXZpZXcgZ3VpZGFuY2U7IGNsaW5pY2FsIGVsaWdpYmlsaXR5IGFuZCBhY3R1YWwgYWxsb2NhdGlvbiBhcmUgc2VwYXJhdGUuPC9ub3Rlcz48dXJscz48cmVsYXRlZC11cmxzPjx1cmw+aHR0cHM6Ly93d3cuaHJzYS5nb3Yvc2l0ZXMvZGVmYXVsdC9maWxlcy9ocnNhL29wdG4vYWR1bHQtbWVsZC1leGNlcHRpb24tdHJhbnNwbGFudC1vbmNvbG9neS1yZXZpZXctZ3VpZGFuY2UucGRm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r>
        <w:t xml:space="preserve"> </w:t>
      </w:r>
      <w:r>
        <w:t xml:space="preserve"> </w:t>
      </w:r>
      <w:r>
        <w:fldChar w:fldCharType="begin"/>
      </w:r>
      <w:r>
        <w:instrText xml:space="preserve"> ADDIN EN.CITE </w:instrText>
      </w:r>
      <w:r>
        <w:fldChar w:fldCharType="begin">
          <w:fldData>PEVuZE5vdGU+PENpdGU+PEF1dGhvcj5Cb25uZXk8L0F1dGhvcj48WWVhcj4yMDIxPC9ZZWFyPjxSZWNOdW0+MTM8L1JlY051bT48RGlzcGxheVRleHQ+W1YxMi0xM108L0Rpc3BsYXlUZXh0PjxyZWNvcmQ+PHJlYy1udW1iZXI+MTM8L3JlYy1udW1iZXI+PGZvcmVpZ24ta2V5cz48a2V5IGFwcD0iRU4iIGRiLWlkPSJjZTFlZjNiMS00NjUxLTU3NDMtYWM5MS02OTk1ZWM1N2FiYmYiIHRpbWVzdGFtcD0iMTc5MjkyMTA4NiI+MTM8L2tleT48L2ZvcmVpZ24ta2V5cz48cmVmLXR5cGUgbmFtZT0iSm91cm5hbCBBcnRpY2xlIj4xNzwvcmVmLXR5cGU+PGNvbnRyaWJ1dG9ycz48YXV0aG9ycz48YXV0aG9yPkJvbm5leSwgR2xlbm4gSzwvYXV0aG9yPjxhdXRob3I+Q2hldywgQ2xhaXJlIEFsZXhhbmRyYTwvYXV0aG9yPjxhdXRob3I+TG9kZ2UsIFBldGVyPC9hdXRob3I+PGF1dGhvcj5IdWJiYXJkLCBKb2xlZW48L2F1dGhvcj48YXV0aG9yPkhhbGF6dW4sIEthcmltIEo8L2F1dGhvcj48YXV0aG9yPlRydW5lY2thLCBQYXZlbDwvYXV0aG9yPjxhdXRob3I+TXVpZXNhbiwgUGFvbG88L2F1dGhvcj48YXV0aG9yPk1pcnphLCBEYXJpdXMgRjwvYXV0aG9yPjxhdXRob3I+SXNhYWMsIEpvaG48L2F1dGhvcj48YXV0aG9yPkxhaW5nLCBSaWNoYXJkIFc8L2F1dGhvcj48YXV0aG9yPkl5ZXIsIFNocmlkaGFyIEdhbnBhdGhpPC9hdXRob3I+PGF1dGhvcj5DaGVlLCBDaGVuZyBFYW48L2F1dGhvcj48YXV0aG9yPllvbmcsIFdlaSBQZW5nPC9hdXRob3I+PGF1dGhvcj5NdXRoaWFoLCBNYXJrIERoaW5lc2g8L2F1dGhvcj48YXV0aG9yPlBhbmFybywgRmFicml6aW88L2F1dGhvcj48YXV0aG9yPlNhbmFicmlhLCBKdWFuPC9hdXRob3I+PGF1dGhvcj5Hcm90aGV5LCBBeGVsPC9hdXRob3I+PGF1dGhvcj5Nb29kbGV5LCBLZXltYW50aHJpPC9hdXRob3I+PGF1dGhvcj5DaGF1LCBJYW48L2F1dGhvcj48YXV0aG9yPkNoYW4sIEFsYmVydCBDIFk8L2F1dGhvcj48YXV0aG9yPldhbmcsIENoaWggQ2hpPC9hdXRob3I+PGF1dGhvcj5NZW5vbiwgS3Jpc2huYTwvYXV0aG9yPjxhdXRob3I+U2FwaXNvY2hpbiwgR29uemFsbzwvYXV0aG9yPjxhdXRob3I+SGFnbmVzcywgTW9ydGVuPC9hdXRob3I+PGF1dGhvcj5EdWVsYW5kLCBTdmVpbjwvYXV0aG9yPjxhdXRob3I+TGluZSwgUCYjMjI5O2wtRGFnPC9hdXRob3I+PGF1dGhvcj5BZGFtLCBSZW4mIzIzMzs8L2F1dGhvcj48L2F1dGhvcnM+PC9jb250cmlidXRvcnM+PHRpdGxlcz48dGl0bGU+TGl2ZXIgdHJhbnNwbGFudGF0aW9uIGZvciBub24tcmVzZWN0YWJsZSBjb2xvcmVjdGFsIGxpdmVyIG1ldGFzdGFzZXM6IHRoZSBJbnRlcm5hdGlvbmFsIEhlcGF0by1QYW5jcmVhdG8tQmlsaWFyeSBBc3NvY2lhdGlvbiBjb25zZW5zdXMgZ3VpZGVsaW5lczwvdGl0bGU+PHNlY29uZGFyeS10aXRsZT5UaGUgbGFuY2V0LiBHYXN0cm9lbnRlcm9sb2d5ICZhbXA7IGhlcGF0b2xvZ3k8L3NlY29uZGFyeS10aXRsZT48L3RpdGxlcz48cGVyaW9kaWNhbD48ZnVsbC10aXRsZT5UaGUgbGFuY2V0LiBHYXN0cm9lbnRlcm9sb2d5ICZhbXA7IGhlcGF0b2xvZ3k8L2Z1bGwtdGl0bGU+PC9wZXJpb2RpY2FsPjxkYXRlcz48eWVhcj4yMDIxPC95ZWFyPjwvZGF0ZXM+PHZvbHVtZT42PC92b2x1bWU+PG51bWJlcj4xMTwvbnVtYmVyPjxwYWdlcz45MzMtOTQ2PC9wYWdlcz48ZWxlY3Ryb25pYy1yZXNvdXJjZS1udW0+MTAuMTAxNi9TMjQ2OC0xMjUzKDIxKTAwMjE5LTM8L2VsZWN0cm9uaWMtcmVzb3VyY2UtbnVtPjxub3Rlcz5FeHBlcnQgY29uc2Vuc3VzIENvbXBsZXRlIGxvY2FsIHByaW1hcnkgUERGIGF2YWlsYWJsZTsgcmVsZXZhbnQgbWV0aG9kcywgc2VsZWN0aW9uLCByZXN1bHRzIGFuZCBsaW1pdGF0aW9ucyByZXZpZXdlZCBTZWxlY3Rpb24sIGJpb2xvZ2ljYWwgcHJvZ25vc2lzIGFuZCB0ZWNobmljYWwgcmVzZWN0YWJpbGl0eSBoYXZlIGRpc3RpbmN0IHJvbGVzLiBBbiBleHBlcnQgcmVjb21tZW5kYXRpb24gaXMgbm90IGEgbmF0aW9uYWwgYWxsb2NhdGlvbiBydWxlLjwvbm90ZXM+PHVybHM+PHJlbGF0ZWQtdXJscz48dXJsPmh0dHBzOi8vZG9pLm9yZy8xMC4xMDE2L1MyNDY4LTEyNTMoMjEpMDAyMTktMzwvdXJsPjwvcmVsYXRlZC11cmxzPjxwZGYtdXJscy8+PC91cmxzPjwvcmVjb3JkPjwvQ2l0ZT48L0VuZE5vdGU+</w:fldData>
        </w:fldChar>
      </w:r>
      <w:r>
        <w:instrText xml:space="preserve"> ADDIN EN.CITE.DATA </w:instrText>
      </w:r>
      <w:r>
        <w:fldChar w:fldCharType="end"/>
      </w:r>
      <w:r>
        <w:fldChar w:fldCharType="separate"/>
      </w:r>
      <w:r>
        <w:t xml:space="preserve">[V12-13]</w:t>
      </w:r>
      <w:r>
        <w:fldChar w:fldCharType="end"/>
      </w:r>
    </w:p>
    <w:p>
      <w:pPr>
        <w:pStyle w:val="Normal"/>
        <w:widowControl/>
        <w:numPr>
          <w:ilvl w:val="0"/>
          <w:numId w:val="3"/>
        </w:numPr>
      </w:pPr>
      <w:r>
        <w:t xml:space="preserve">dMMR/MSI-H tumors (these patients should be considered for immunotherapy-based approaches)</w:t>
      </w:r>
    </w:p>
    <w:p>
      <w:pPr>
        <w:pStyle w:val="Normal"/>
        <w:widowControl/>
        <w:numPr>
          <w:ilvl w:val="0"/>
          <w:numId w:val="3"/>
        </w:numPr>
      </w:pPr>
      <w:r>
        <w:t xml:space="preserve">Undifferentiated or signet ring cell histology</w:t>
      </w:r>
    </w:p>
    <w:p>
      <w:pPr>
        <w:pStyle w:val="Normal"/>
        <w:widowControl/>
        <w:numPr>
          <w:ilvl w:val="0"/>
          <w:numId w:val="3"/>
        </w:numPr>
      </w:pPr>
      <w:r>
        <w:t xml:space="preserve">Prior extrahepatic metastases or local recurrence, even if treated</w:t>
      </w:r>
    </w:p>
    <w:p>
      <w:pPr>
        <w:pStyle w:val="Normal"/>
        <w:widowControl/>
        <w:numPr>
          <w:ilvl w:val="0"/>
          <w:numId w:val="3"/>
        </w:numPr>
      </w:pPr>
      <w:r>
        <w:t xml:space="preserve">Active alcohol or substance abuse</w:t>
      </w:r>
    </w:p>
    <w:p>
      <w:pPr>
        <w:pStyle w:val="Normal"/>
        <w:widowControl/>
        <w:numPr>
          <w:ilvl w:val="0"/>
          <w:numId w:val="3"/>
        </w:numPr>
      </w:pPr>
      <w:r>
        <w:t xml:space="preserve">Active uncontrolled infection</w:t>
      </w:r>
    </w:p>
    <w:p>
      <w:pPr>
        <w:pStyle w:val="Normal"/>
        <w:widowControl/>
        <w:numPr>
          <w:ilvl w:val="0"/>
          <w:numId w:val="3"/>
        </w:numPr>
      </w:pPr>
      <w:r>
        <w:t xml:space="preserve">Other malignancy within 5 years (excluding non-melanoma skin cancer, in situ cervical cancer)</w:t>
      </w:r>
    </w:p>
    <w:p>
      <w:pPr>
        <w:pStyle w:val="Normal"/>
        <w:widowControl/>
        <w:numPr>
          <w:ilvl w:val="0"/>
          <w:numId w:val="3"/>
        </w:numPr>
      </w:pPr>
      <w:r>
        <w:t xml:space="preserve">Pregnancy</w:t>
      </w:r>
    </w:p>
    <w:p>
      <w:pPr>
        <w:pStyle w:val="Normal"/>
        <w:widowControl/>
        <w:numPr>
          <w:ilvl w:val="0"/>
          <w:numId w:val="3"/>
        </w:numPr>
      </w:pPr>
      <w:r>
        <w:t xml:space="preserve">General contraindications to liver transplantation per institutional policy</w:t>
      </w:r>
    </w:p>
    <w:p>
      <w:pPr>
        <w:pStyle w:val="Heading3"/>
        <w:keepNext/>
        <w:widowControl/>
      </w:pPr>
      <w:r>
        <w:t xml:space="preserve">4. Pre-Transplant Evaluation</w:t>
      </w:r>
    </w:p>
    <w:p>
      <w:pPr>
        <w:pStyle w:val="Heading3"/>
        <w:keepNext/>
        <w:widowControl/>
      </w:pPr>
      <w:r>
        <w:t xml:space="preserve">4.1 Multidisciplinary Tumor Board Review</w:t>
      </w:r>
    </w:p>
    <w:p>
      <w:pPr>
        <w:pStyle w:val="Normal"/>
        <w:widowControl/>
      </w:pPr>
      <w:r>
        <w:t xml:space="preserve">All candidates must be reviewed and approved by a multidisciplinary tumor board including:</w:t>
      </w:r>
    </w:p>
    <w:p>
      <w:pPr>
        <w:pStyle w:val="Normal"/>
        <w:widowControl/>
        <w:numPr>
          <w:ilvl w:val="0"/>
          <w:numId w:val="3"/>
        </w:numPr>
      </w:pPr>
      <w:r>
        <w:t xml:space="preserve">Transplant hepatology</w:t>
      </w:r>
    </w:p>
    <w:p>
      <w:pPr>
        <w:pStyle w:val="Normal"/>
        <w:widowControl/>
        <w:numPr>
          <w:ilvl w:val="0"/>
          <w:numId w:val="3"/>
        </w:numPr>
      </w:pPr>
      <w:r>
        <w:t xml:space="preserve">Transplant surgery</w:t>
      </w:r>
    </w:p>
    <w:p>
      <w:pPr>
        <w:pStyle w:val="Normal"/>
        <w:widowControl/>
        <w:numPr>
          <w:ilvl w:val="0"/>
          <w:numId w:val="3"/>
        </w:numPr>
      </w:pPr>
      <w:r>
        <w:t xml:space="preserve">Hepatobiliary surgery</w:t>
      </w:r>
    </w:p>
    <w:p>
      <w:pPr>
        <w:pStyle w:val="Normal"/>
        <w:widowControl/>
        <w:numPr>
          <w:ilvl w:val="0"/>
          <w:numId w:val="3"/>
        </w:numPr>
      </w:pPr>
      <w:r>
        <w:t xml:space="preserve">Medical oncology (GI)</w:t>
      </w:r>
    </w:p>
    <w:p>
      <w:pPr>
        <w:pStyle w:val="Normal"/>
        <w:widowControl/>
        <w:numPr>
          <w:ilvl w:val="0"/>
          <w:numId w:val="3"/>
        </w:numPr>
      </w:pPr>
      <w:r>
        <w:t xml:space="preserve">Diagnostic radiology</w:t>
      </w:r>
    </w:p>
    <w:p>
      <w:pPr>
        <w:pStyle w:val="Normal"/>
        <w:widowControl/>
        <w:numPr>
          <w:ilvl w:val="0"/>
          <w:numId w:val="3"/>
        </w:numPr>
      </w:pPr>
      <w:r>
        <w:t xml:space="preserve">Interventional radiology</w:t>
      </w:r>
    </w:p>
    <w:p>
      <w:pPr>
        <w:pStyle w:val="Normal"/>
        <w:widowControl/>
        <w:numPr>
          <w:ilvl w:val="0"/>
          <w:numId w:val="3"/>
        </w:numPr>
      </w:pPr>
      <w:r>
        <w:t xml:space="preserve">Pathology</w:t>
      </w:r>
    </w:p>
    <w:p>
      <w:pPr>
        <w:pStyle w:val="Heading3"/>
        <w:keepNext/>
        <w:widowControl/>
      </w:pPr>
      <w:r>
        <w:t xml:space="preserve">4.2 Oncologic Workup</w:t>
      </w:r>
    </w:p>
    <w:p>
      <w:pPr>
        <w:pStyle w:val="Normal"/>
        <w:widowControl/>
        <w:numPr>
          <w:ilvl w:val="0"/>
          <w:numId w:val="3"/>
        </w:numPr>
      </w:pPr>
      <w:r>
        <w:t xml:space="preserve">Contrast-enhanced CT chest/abdomen/pelvis (within 4 weeks of listing)</w:t>
      </w:r>
    </w:p>
    <w:p>
      <w:pPr>
        <w:pStyle w:val="Normal"/>
        <w:widowControl/>
        <w:numPr>
          <w:ilvl w:val="0"/>
          <w:numId w:val="3"/>
        </w:numPr>
      </w:pPr>
      <w:r>
        <w:t xml:space="preserve">FDG PET-CT (within 4 weeks of listing)</w:t>
      </w:r>
    </w:p>
    <w:p>
      <w:pPr>
        <w:pStyle w:val="Normal"/>
        <w:widowControl/>
        <w:numPr>
          <w:ilvl w:val="0"/>
          <w:numId w:val="3"/>
        </w:numPr>
      </w:pPr>
      <w:r>
        <w:t xml:space="preserve">Liver MRI with hepatobiliary contrast agent</w:t>
      </w:r>
    </w:p>
    <w:p>
      <w:pPr>
        <w:pStyle w:val="Normal"/>
        <w:widowControl/>
        <w:numPr>
          <w:ilvl w:val="0"/>
          <w:numId w:val="3"/>
        </w:numPr>
      </w:pPr>
      <w:r>
        <w:t xml:space="preserve">Colonoscopy (within 12 months, confirming no local recurrence)</w:t>
      </w:r>
    </w:p>
    <w:p>
      <w:pPr>
        <w:pStyle w:val="Normal"/>
        <w:widowControl/>
        <w:numPr>
          <w:ilvl w:val="0"/>
          <w:numId w:val="3"/>
        </w:numPr>
      </w:pPr>
      <w:r>
        <w:t xml:space="preserve">CEA and CA 19-9 levels</w:t>
      </w:r>
    </w:p>
    <w:p>
      <w:pPr>
        <w:pStyle w:val="Normal"/>
        <w:widowControl/>
        <w:numPr>
          <w:ilvl w:val="0"/>
          <w:numId w:val="3"/>
        </w:numPr>
      </w:pPr>
      <w:r>
        <w:t xml:space="preserve">Comprehensive molecular profiling of tumor (RAS, BRAF, MSI/MMR status, HER2)</w:t>
      </w:r>
    </w:p>
    <w:p>
      <w:pPr>
        <w:pStyle w:val="Normal"/>
        <w:widowControl/>
        <w:numPr>
          <w:ilvl w:val="0"/>
          <w:numId w:val="3"/>
        </w:numPr>
      </w:pPr>
      <w:r>
        <w:t xml:space="preserve">Review of all prior pathology</w:t>
      </w:r>
    </w:p>
    <w:p>
      <w:pPr>
        <w:pStyle w:val="Heading3"/>
        <w:keepNext/>
        <w:widowControl/>
      </w:pPr>
      <w:r>
        <w:t xml:space="preserve">4.3 Standard Transplant Evaluation</w:t>
      </w:r>
    </w:p>
    <w:p>
      <w:pPr>
        <w:pStyle w:val="Normal"/>
        <w:widowControl/>
        <w:numPr>
          <w:ilvl w:val="0"/>
          <w:numId w:val="3"/>
        </w:numPr>
      </w:pPr>
      <w:r>
        <w:t xml:space="preserve">Per institutional liver transplant evaluation protocol (cardiac, pulmonary, renal, psychosocial, infectious disease screening, etc.)</w:t>
      </w:r>
    </w:p>
    <w:p>
      <w:pPr>
        <w:pStyle w:val="Heading3"/>
        <w:keepNext/>
        <w:widowControl/>
      </w:pPr>
      <w:r>
        <w:t xml:space="preserve">5. Waitlist Management</w:t>
      </w:r>
    </w:p>
    <w:p>
      <w:pPr>
        <w:pStyle w:val="Normal"/>
        <w:widowControl/>
        <w:numPr>
          <w:ilvl w:val="0"/>
          <w:numId w:val="3"/>
        </w:numPr>
      </w:pPr>
      <w:r>
        <w:t xml:space="preserve">Submit a non-standard NLRB request. The December 2025 guidance recommends MMaT-20; if that is below 15, Policy 9.4.E sets the exception score to 15. Approval is not automatic.</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yLTFdPC9EaXNwbGF5VGV4dD48cmVjb3JkPjxyZWMtbnVtYmVyPjE8L3JlYy1udW1iZXI+PGZvcmVpZ24ta2V5cz48a2V5IGFwcD0iRU4iIGRiLWlkPSJjZTFlZjNiMS00NjUxLTU3NDMtYWM5MS02OTk1ZWM1N2FiYmYiIHRpbWVzdGFtcD0iMTc5MjkyMTA4Ni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[V12-1]</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yLTJdPC9EaXNwbGF5VGV4dD48cmVjb3JkPjxyZWMtbnVtYmVyPjI8L3JlYy1udW1iZXI+PGZvcmVpZ24ta2V5cz48a2V5IGFwcD0iRU4iIGRiLWlkPSJjZTFlZjNiMS00NjUxLTU3NDMtYWM5MS02OTk1ZWM1N2FiYmYiIHRpbWVzdGFtcD0iMTc5MjkyMTA4N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RGVjZW1iZXIgMjAyNSBndWlkYW5jZSBwb3N0aW5nOyBORVQgcHAuOCYjODIxMTs5LCBDUkxNIHBwLjkmIzgyMTE7MTAuIE5vbmJpbmRpbmcgYWxsb2NhdGlvbi1yZXZpZXcgZ3VpZGFuY2U7IGNsaW5pY2FsIGVsaWdpYmlsaXR5IGFuZCBhY3R1YWwgYWxsb2NhdGlvbiBhcmUgc2VwYXJhdGUuPC9ub3Rlcz48dXJscz48cmVsYXRlZC11cmxzPjx1cmw+aHR0cHM6Ly93d3cuaHJzYS5nb3Yvc2l0ZXMvZGVmYXVsdC9maWxlcy9ocnNhL29wdG4vYWR1bHQtbWVsZC1leGNlcHRpb24tdHJhbnNwbGFudC1vbmNvbG9neS1yZXZpZXctZ3VpZGFuY2UucGRm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r>
        <w:t xml:space="preserve"> </w:t>
      </w:r>
      <w:r>
        <w:t xml:space="preserve"> </w:t>
      </w:r>
      <w:r>
        <w:fldChar w:fldCharType="begin"/>
      </w:r>
      <w:r>
        <w:instrText xml:space="preserve"> ADDIN EN.CITE </w:instrText>
      </w:r>
      <w:r>
        <w:fldChar w:fldCharType="begin">
          <w:fldData>PEVuZE5vdGU+PENpdGU+PEF1dGhvcj5Eb3ZlPC9BdXRob3I+PFllYXI+MjAyNjwvWWVhcj48UmVjTnVtPjY8L1JlY051bT48RGlzcGxheVRleHQ+W1YxMi02XTwvRGlzcGxheVRleHQ+PHJlY29yZD48cmVjLW51bWJlcj42PC9yZWMtbnVtYmVyPjxmb3JlaWduLWtleXM+PGtleSBhcHA9IkVOIiBkYi1pZD0iY2UxZWYzYjEtNDY1MS01NzQzLWFjOTEtNjk5NWVjNTdhYmJmIiB0aW1lc3RhbXA9IjE3OTI5MjEwODYiPjY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[V12-6]</w:t>
      </w:r>
      <w:r>
        <w:fldChar w:fldCharType="end"/>
      </w:r>
    </w:p>
    <w:p>
      <w:pPr>
        <w:pStyle w:val="Normal"/>
        <w:widowControl/>
        <w:numPr>
          <w:ilvl w:val="0"/>
          <w:numId w:val="3"/>
        </w:numPr>
      </w:pPr>
      <w:r>
        <w:t xml:space="preserve">Restaging every 8–12 weeks with:</w:t>
      </w:r>
    </w:p>
    <w:p>
      <w:pPr>
        <w:pStyle w:val="Normal"/>
        <w:widowControl/>
        <w:numPr>
          <w:ilvl w:val="0"/>
          <w:numId w:val="3"/>
        </w:numPr>
      </w:pPr>
      <w:r>
        <w:t xml:space="preserve">CT chest/abdomen/pelvis</w:t>
      </w:r>
    </w:p>
    <w:p>
      <w:pPr>
        <w:pStyle w:val="Normal"/>
        <w:widowControl/>
        <w:numPr>
          <w:ilvl w:val="0"/>
          <w:numId w:val="3"/>
        </w:numPr>
      </w:pPr>
      <w:r>
        <w:t xml:space="preserve">CEA levels</w:t>
      </w:r>
    </w:p>
    <w:p>
      <w:pPr>
        <w:pStyle w:val="Normal"/>
        <w:widowControl/>
        <w:numPr>
          <w:ilvl w:val="0"/>
          <w:numId w:val="3"/>
        </w:numPr>
      </w:pPr>
      <w:r>
        <w:t xml:space="preserve">PET-CT every 3–6 months while listed</w:t>
      </w:r>
    </w:p>
    <w:p>
      <w:pPr>
        <w:pStyle w:val="Normal"/>
        <w:widowControl/>
        <w:numPr>
          <w:ilvl w:val="0"/>
          <w:numId w:val="3"/>
        </w:numPr>
      </w:pPr>
      <w:r>
        <w:t xml:space="preserve">Continue an individualized bridging plan while listed, with agent-specific perioperative washout, toxicity recovery and repeat staging approved by oncology, transplant surgery and pharmacy. TransMet aimed to perform LT within 2 months of the last chemotherapy cycle; this trial implementation interval is not a universal validated exclusion threshold or an allocation guarantee.</w:t>
      </w:r>
      <w:r>
        <w:t xml:space="preserve"> </w:t>
      </w:r>
      <w:r>
        <w:t xml:space="preserve"> </w:t>
      </w:r>
      <w:r>
        <w:fldChar w:fldCharType="begin"/>
      </w:r>
      <w:r>
        <w:instrText xml:space="preserve"> ADDIN EN.CITE </w:instrText>
      </w:r>
      <w:r>
        <w:fldChar w:fldCharType="begin">
          <w:fldData>PEVuZE5vdGU+PENpdGU+PEF1dGhvcj5BZGFtPC9BdXRob3I+PFllYXI+MjAyNDwvWWVhcj48UmVjTnVtPjE0PC9SZWNOdW0+PERpc3BsYXlUZXh0PltWMTItMTRdPC9EaXNwbGF5VGV4dD48cmVjb3JkPjxyZWMtbnVtYmVyPjE0PC9yZWMtbnVtYmVyPjxmb3JlaWduLWtleXM+PGtleSBhcHA9IkVOIiBkYi1pZD0iY2UxZWYzYjEtNDY1MS01NzQzLWFjOTEtNjk5NWVjNTdhYmJmIiB0aW1lc3RhbXA9IjE3OTI5MjEwODYiPjE0PC9rZXk+PC9mb3JlaWduLWtleXM+PHJlZi10eXBlIG5hbWU9IkpvdXJuYWwgQXJ0aWNsZSI+MTc8L3JlZi10eXBlPjxjb250cmlidXRvcnM+PGF1dGhvcnM+PGF1dGhvcj5BZGFtLCBSZW4mIzIzMzs8L2F1dGhvcj48YXV0aG9yPkJhZHJ1ZGluLCBEYXZpZDwvYXV0aG9yPjxhdXRob3I+Q2hpY2hlLCBMYXVyZW5jZTwvYXV0aG9yPjxhdXRob3I+QnVjdXIsIFBldHJ1PC9hdXRob3I+PGF1dGhvcj5TY2F0dG9uLCBPbGl2aWVyPC9hdXRob3I+PGF1dGhvcj5HcmFuZ2VyLCBWaWN0b2lyZTwvYXV0aG9yPjxhdXRob3I+RHVjcmV1eCwgTWljaGVsPC9hdXRob3I+PGF1dGhvcj5DaWxsbywgVW1iZXJ0bzwvYXV0aG9yPjxhdXRob3I+Q2F1Y2h5LCBGcmFuJiMyMzE7b2lzPC9hdXRob3I+PGF1dGhvcj5MZXN1cnRlbCwgTWlja2FlbDwvYXV0aG9yPjxhdXRob3I+TWFicnV0LCBKZWFuLVl2ZXM8L2F1dGhvcj48YXV0aG9yPlZlcnNseXBlLCBDaHJpczwvYXV0aG9yPjxhdXRob3I+Q291YmVhdSwgTGF1cmVudDwvYXV0aG9yPjxhdXRob3I+SGFyZHdpZ3NlbiwgSmVhbjwvYXV0aG9yPjxhdXRob3I+Qm9sZXNsYXdza2ksIEVtbWFudWVsPC9hdXRob3I+PGF1dGhvcj5NdXNjYXJpLCBGYWJyaWNlPC9hdXRob3I+PGF1dGhvcj5KZWRkb3UsIEhlaXRoZW08L2F1dGhvcj48YXV0aG9yPlBlemV0LCBEZW5pczwvYXV0aG9yPjxhdXRob3I+SGV5ZCwgQnJ1bm88L2F1dGhvcj48YXV0aG9yPkx1Y2lkaSwgVmFsZXJpbzwvYXV0aG9yPjxhdXRob3I+R2Vib2VzLCBLYXJlbjwvYXV0aG9yPjxhdXRob3I+TGVydXQsIEphbjwvYXV0aG9yPjxhdXRob3I+TWFqbm8sIFBpZXRybzwvYXV0aG9yPjxhdXRob3I+R3JpbWFsZGksIExhbWlhZTwvYXV0aG9yPjxhdXRob3I+Qm91a2hlZG91bmksIE5hZGppYTwvYXV0aG9yPjxhdXRob3I+UGllZHZhY2hlLCBDJiMyMzM7bGluZTwvYXV0aG9yPjxhdXRob3I+R2VsbGksIE1heGltaWxpYW5vPC9hdXRob3I+PGF1dGhvcj5MZXZpLCBGcmFuY2lzPC9hdXRob3I+PGF1dGhvcj5MZXdpbiwgTWEmIzIzOTt0JiMyMzM7PC9hdXRob3I+PC9hdXRob3JzPjwvY29udHJpYnV0b3JzPjx0aXRsZXM+PHRpdGxlPlNhZmV0eSBhbmQgZmVhc2liaWxpdHkgb2YgY2hlbW90aGVyYXB5IGZvbGxvd2VkIGJ5IGxpdmVyIHRyYW5zcGxhbnRhdGlvbiBmb3IgcGF0aWVudHMgd2l0aCBkZWZpbml0ZWx5IHVucmVzZWN0YWJsZSBjb2xvcmVjdGFsIGxpdmVyIG1ldGFzdGFzZXM6IGluc2lnaHRzIGZyb20gdGhlIFRyYW5zTWV0IHJhbmRvbWlzZWQgY2xpbmljYWwgdHJpYWw8L3RpdGxlPjxzZWNvbmRhcnktdGl0bGU+ZUNsaW5pY2FsTWVkaWNpbmU8L3NlY29uZGFyeS10aXRsZT48L3RpdGxlcz48cGVyaW9kaWNhbD48ZnVsbC10aXRsZT5lQ2xpbmljYWxNZWRpY2luZTwvZnVsbC10aXRsZT48L3BlcmlvZGljYWw+PGRhdGVzPjx5ZWFyPjIwMjQ8L3llYXI+PC9kYXRlcz48dm9sdW1lPjcyPC92b2x1bWU+PHBhZ2VzPjEwMjYwODwvcGFnZXM+PGVsZWN0cm9uaWMtcmVzb3VyY2UtbnVtPjEwLjEwMTYvai5lY2xpbm0uMjAyNC4xMDI2MDg8L2VsZWN0cm9uaWMtcmVzb3VyY2UtbnVtPjxub3Rlcz5FeGlzdGluZyBzdGFuZGFyZC1wcm90b2NvbCByZWZlcmVuY2UgQ29tcGxldGUgdGVuLXBhZ2Ugb3Blbi1hY2Nlc3MgcHJpbWFyeSBhcnRpY2xlIHJlYWQ7IG1hdGNoZWQgaW5kZXggUERGIHJlamVjdGVkIGFuZCBhY3R1YWwgY29tcGxldGUgYXJ0aWNsZSBsb2NhdGVkLiBWOCBleHRyYWN0aW9uIGFuZCBsaW1pdGF0aW9uczogc291cmNlL21ldGFzdGFzZXNfc3RhbmRhcmRfc3VwcGxlbWVudC5qc29uPC9ub3Rlcz48dXJscz48cmVsYXRlZC11cmxzPjx1cmw+aHR0cHM6Ly9wdWJtZWQubmNiaS5ubG0ubmloLmdvdi8zODcyMTAxNTwvdXJsPjwvcmVsYXRlZC11cmxzPjxwZGYtdXJscy8+PC91cmxzPjwvcmVjb3JkPjwvQ2l0ZT48L0VuZE5vdGU+</w:fldData>
        </w:fldChar>
      </w:r>
      <w:r>
        <w:instrText xml:space="preserve"> ADDIN EN.CITE.DATA </w:instrText>
      </w:r>
      <w:r>
        <w:fldChar w:fldCharType="end"/>
      </w:r>
      <w:r>
        <w:fldChar w:fldCharType="separate"/>
      </w:r>
      <w:r>
        <w:t xml:space="preserve">[V12-14]</w:t>
      </w:r>
      <w:r>
        <w:fldChar w:fldCharType="end"/>
      </w:r>
      <w:r>
        <w:t xml:space="preserve"> </w:t>
      </w:r>
      <w:r>
        <w:t xml:space="preserve"> </w:t>
      </w:r>
      <w:r>
        <w:fldChar w:fldCharType="begin"/>
      </w:r>
      <w:r>
        <w:instrText xml:space="preserve"> ADDIN EN.CITE </w:instrText>
      </w:r>
      <w:r>
        <w:fldChar w:fldCharType="begin">
          <w:fldData>PEVuZE5vdGU+PENpdGU+PEF1dGhvcj5BZGFtPC9BdXRob3I+PFllYXI+MjAyNDwvWWVhcj48UmVjTnVtPjM8L1JlY051bT48RGlzcGxheVRleHQ+W1YxMi0zXTwvRGlzcGxheVRleHQ+PHJlY29yZD48cmVjLW51bWJlcj4zPC9yZWMtbnVtYmVyPjxmb3JlaWduLWtleXM+PGtleSBhcHA9IkVOIiBkYi1pZD0iY2UxZWYzYjEtNDY1MS01NzQzLWFjOTEtNjk5NWVjNTdhYmJmIiB0aW1lc3RhbXA9IjE3OTI5MjEwODYiPjM8L2tleT48L2ZvcmVpZ24ta2V5cz48cmVmLXR5cGUgbmFtZT0iSm91cm5hbCBBcnRpY2xlIj4xNzwvcmVmLXR5cGU+PGNvbnRyaWJ1dG9ycz48YXV0aG9ycz48YXV0aG9yPkFkYW0sIFJlbiYjMjMzOzwvYXV0aG9yPjxhdXRob3I+UGllZHZhY2hlLCBDJiMyMzM7bGluZTwvYXV0aG9yPjxhdXRob3I+Q2hpY2hlLCBMYXVyZW5jZTwvYXV0aG9yPjxhdXRob3I+QWRhbSwgSmVhbiBQaGlsaXBwZTwvYXV0aG9yPjxhdXRob3I+U2FsYW0mIzIzMzssIEVwaHJlbTwvYXV0aG9yPjxhdXRob3I+QnVjdXIsIFBldHJ1PC9hdXRob3I+PGF1dGhvcj5DaGVycXVpLCBEYW5pZWw8L2F1dGhvcj48YXV0aG9yPlNjYXR0b24sIE9saXZpZXI8L2F1dGhvcj48YXV0aG9yPkdyYW5nZXIsIFZpY3RvaXJlPC9hdXRob3I+PGF1dGhvcj5EdWNyZXV4LCBNaWNoZWw8L2F1dGhvcj48YXV0aG9yPkNpbGxvLCBVbWJlcnRvPC9hdXRob3I+PGF1dGhvcj5DYXVjaHksIEZyYW4mIzIzMTtvaXM8L2F1dGhvcj48YXV0aG9yPk1hYnJ1dCwgSmVhbi1ZdmVzPC9hdXRob3I+PGF1dGhvcj5WZXJzbHlwZSwgQ2hyaXM8L2F1dGhvcj48YXV0aG9yPkNvdWJlYXUsIExhdXJlbnQ8L2F1dGhvcj48YXV0aG9yPkhhcmR3aWdzZW4sIEplYW48L2F1dGhvcj48YXV0aG9yPkJvbGVzbGF3c2tpLCBFbW1hbnVlbDwvYXV0aG9yPjxhdXRob3I+TXVzY2FyaSwgRmFicmljZTwvYXV0aG9yPjxhdXRob3I+SmVkZG91LCBIZWl0aGVtPC9hdXRob3I+PGF1dGhvcj5QZXpldCwgRGVuaXM8L2F1dGhvcj48YXV0aG9yPkhleWQsIEJydW5vPC9hdXRob3I+PGF1dGhvcj5MdWNpZGksIFZhbGVyaW88L2F1dGhvcj48YXV0aG9yPkdlYm9lcywgS2FyZW48L2F1dGhvcj48YXV0aG9yPkxlcnV0LCBKYW48L2F1dGhvcj48YXV0aG9yPk1ham5vLCBQaWV0cm88L2F1dGhvcj48YXV0aG9yPkdyaW1hbGRpLCBMYW1pYWU8L2F1dGhvcj48YXV0aG9yPkxldmksIEZyYW5jaXM8L2F1dGhvcj48YXV0aG9yPkxld2luLCBNYSYjMjM5O3QmIzIzMzs8L2F1dGhvcj48YXV0aG9yPkdlbGxpLCBNYXhpbWlsaWFubzwvYXV0aG9yPjxhdXRob3I+Q29sbGFib3JhdGl2ZSBUcmFuc01ldCBncm91cCw8L2F1dGhvcj48L2F1dGhvcnM+PC9jb250cmlidXRvcnM+PHRpdGxlcz48dGl0bGU+TGl2ZXIgdHJhbnNwbGFudGF0aW9uIHBsdXMgY2hlbW90aGVyYXB5IHZlcnN1cyBjaGVtb3RoZXJhcHkgYWxvbmUgaW4gcGF0aWVudHMgd2l0aCBwZXJtYW5lbnRseSB1bnJlc2VjdGFibGUgY29sb3JlY3RhbCBsaXZlciBtZXRhc3Rhc2VzIChUcmFuc01ldCk6IHJlc3VsdHMgZnJvbSBhIG11bHRpY2VudHJlLCBvcGVuLWxhYmVsLCBwcm9zcGVjdGl2ZSwgcmFuZG9taXNlZCBjb250cm9sbGVkIHRyaWFsPC90aXRsZT48c2Vjb25kYXJ5LXRpdGxlPkxhbmNldCAoTG9uZG9uLCBFbmdsYW5kKTwvc2Vjb25kYXJ5LXRpdGxlPjwvdGl0bGVzPjxwZXJpb2RpY2FsPjxmdWxsLXRpdGxlPkxhbmNldCAoTG9uZG9uLCBFbmdsYW5kKTwvZnVsbC10aXRsZT48L3BlcmlvZGljYWw+PGRhdGVzPjx5ZWFyPjIwMjQ8L3llYXI+PC9kYXRlcz48dm9sdW1lPjQwNDwvdm9sdW1lPjxudW1iZXI+MTA0NTg8L251bWJlcj48cGFnZXM+MTEwNy0xMTE4PC9wYWdlcz48ZWxlY3Ryb25pYy1yZXNvdXJjZS1udW0+MTAuMTAxNi9TMDE0MC02NzM2KDI0KTAxNTk1LTI8L2VsZWN0cm9uaWMtcmVzb3VyY2UtbnVtPjxub3Rlcz5NdWx0aWNlbnRlciByYW5kb21pemVkIHRyaWFsIENvbXBsZXRlIGxvY2FsIHByaW1hcnkgUERGIGF2YWlsYWJsZTsgcmVsZXZhbnQgbWV0aG9kcywgc2VsZWN0aW9uLCByZXN1bHRzIGFuZCBsaW1pdGF0aW9ucyByZXZpZXdlZCA5NCByYW5kb21pemVkLCA0NyBwZXIgYXJtOyBmaXZlLXllYXIgSVRUIE9TIDU2LjYlIHZzIDEyLjYlLiBOYXJyb3dseSBzZWxlY3RlZCwgQlJBRi1ub25tdXRhdGVkLCBFQ09HIDAmIzgyMTE7MSwgUjAgcHJpbWFyeSwgYXQgbW9zdCB0aHJlZSBsaW5lcy4gQmFzZWxpbmUgYW5kIHRyZWF0ZWQgbGVzaW9uIG1hcHMgaW5mb3JtZWQgdW5yZXNlY3RhYmlsaXR5Ljwvbm90ZXM+PHVybHM+PHJlbGF0ZWQtdXJscz48dXJsPmh0dHBzOi8vZG9pLm9yZy8xMC4xMDE2L1MwMTQwLTY3MzYoMjQpMDE1OTUtMj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p>
    <w:p>
      <w:pPr>
        <w:pStyle w:val="Normal"/>
        <w:widowControl/>
        <w:numPr>
          <w:ilvl w:val="0"/>
          <w:numId w:val="3"/>
        </w:numPr>
      </w:pPr>
      <w:r>
        <w:t xml:space="preserve">A new extrahepatic lesion, local primary recurrence, hepatic progression, concerning CEA or molecular/pathology change is HOLD pending multidisciplinary confirmation and current guidance review. Apply verified guidance exclusions separately. An isolated rise beyond an observational PET/lesion prognostic threshold is not, by itself, an evidence-based permanent exclusion. Reassess true progression, technical options, biological control and allocation eligibility explicitly.</w:t>
      </w:r>
      <w:r>
        <w:t xml:space="preserve"> </w:t>
      </w:r>
      <w:r>
        <w:t xml:space="preserve"> </w:t>
      </w:r>
      <w:r>
        <w:fldChar w:fldCharType="begin"/>
      </w:r>
      <w:r>
        <w:instrText xml:space="preserve"> ADDIN EN.CITE </w:instrText>
      </w:r>
      <w:r>
        <w:fldChar w:fldCharType="begin">
          <w:fldData>PEVuZE5vdGU+PENpdGU+PEF1dGhvcj5HcnV0PC9BdXRob3I+PFllYXI+MjAyMjwvWWVhcj48UmVjTnVtPjEyPC9SZWNOdW0+PERpc3BsYXlUZXh0PltWMTItMTJdPC9EaXNwbGF5VGV4dD48cmVjb3JkPjxyZWMtbnVtYmVyPjEyPC9yZWMtbnVtYmVyPjxmb3JlaWduLWtleXM+PGtleSBhcHA9IkVOIiBkYi1pZD0iY2UxZWYzYjEtNDY1MS01NzQzLWFjOTEtNjk5NWVjNTdhYmJmIiB0aW1lc3RhbXA9IjE3OTI5MjEwODYiPjEyPC9rZXk+PC9mb3JlaWduLWtleXM+PHJlZi10eXBlIG5hbWU9IkpvdXJuYWwgQXJ0aWNsZSI+MTc8L3JlZi10eXBlPjxjb250cmlidXRvcnM+PGF1dGhvcnM+PGF1dGhvcj5HcnV0LCBIYXJhbGQ8L2F1dGhvcj48YXV0aG9yPkxpbmUsIFAmIzIyOTtsLURhZzwvYXV0aG9yPjxhdXRob3I+U3l2ZXJzdmVlbiwgVHJ5Z3ZlPC9hdXRob3I+PGF1dGhvcj5EdWVsYW5kLCBTdmVpbjwvYXV0aG9yPjwvYXV0aG9ycz48L2NvbnRyaWJ1dG9ycz48dGl0bGVzPjx0aXRsZT5NZXRhYm9saWMgdHVtb3Igdm9sdW1lIHByZWRpY3RzIGxvbmctdGVybSBzdXJ2aXZhbCBhZnRlciB0cmFuc3BsYW50YXRpb24gZm9yIHVucmVzZWN0YWJsZSBjb2xvcmVjdGFsIGxpdmVyIG1ldGFzdGFzZXM6IDE1IHllYXJzIG9mIGV4cGVyaWVuY2UgZnJvbSB0aGUgU0VDQSBzdHVkeTwvdGl0bGU+PHNlY29uZGFyeS10aXRsZT5Bbm5hbHMgb2YgbnVjbGVhciBtZWRpY2luZTwvc2Vjb25kYXJ5LXRpdGxlPjwvdGl0bGVzPjxwZXJpb2RpY2FsPjxmdWxsLXRpdGxlPkFubmFscyBvZiBudWNsZWFyIG1lZGljaW5lPC9mdWxsLXRpdGxlPjwvcGVyaW9kaWNhbD48ZGF0ZXM+PHllYXI+MjAyMjwveWVhcj48L2RhdGVzPjx2b2x1bWU+MzY8L3ZvbHVtZT48bnVtYmVyPjEyPC9udW1iZXI+PHBhZ2VzPjEwNzMtMTA4MTwvcGFnZXM+PGVsZWN0cm9uaWMtcmVzb3VyY2UtbnVtPjEwLjEwMDcvczEyMTQ5LTAyMi0wMTc5Ni04PC9lbGVjdHJvbmljLXJlc291cmNlLW51bT48bm90ZXM+UmV0cm9zcGVjdGl2ZSBwcm9nbm9zdGljIGNvaG9ydCBDb21wbGV0ZSBuaW5lLXBhZ2UgcHVibGlzaGVkIHBhcGVyIHJlYWQsIGluY2x1ZGluZyBNZXRob2RzLCBhbGwgdGFibGVzL2ZpZ3VyZXMsIERpc2N1c3Npb24gYW5kIHJlZmVyZW5jZXMuIFY4IGV4dHJhY3Rpb24gYW5kIGxpbWl0YXRpb25zOiBzb3VyY2UvbWV0YXN0YXNlc19mdWxsdGV4dF9yZXZpZXcuanNvbjwvbm90ZXM+PHVybHM+PHJlbGF0ZWQtdXJscz48dXJsPmh0dHBzOi8vZG9pLm9yZy8xMC4xMDA3L3MxMjE0OS0wMjItMDE3OTYtODwvdXJsPjwvcmVsYXRlZC11cmxzPjxwZGYtdXJscy8+PC91cmxzPjwvcmVjb3JkPjwvQ2l0ZT48L0VuZE5vdGU+</w:fldData>
        </w:fldChar>
      </w:r>
      <w:r>
        <w:instrText xml:space="preserve"> ADDIN EN.CITE.DATA </w:instrText>
      </w:r>
      <w:r>
        <w:fldChar w:fldCharType="end"/>
      </w:r>
      <w:r>
        <w:fldChar w:fldCharType="separate"/>
      </w:r>
      <w:r>
        <w:t xml:space="preserve">[V12-12]</w:t>
      </w:r>
      <w:r>
        <w:fldChar w:fldCharType="end"/>
      </w:r>
      <w:r>
        <w:t xml:space="preserve"> </w:t>
      </w:r>
      <w:r>
        <w:t xml:space="preserve"> </w:t>
      </w:r>
      <w:r>
        <w:fldChar w:fldCharType="begin"/>
      </w:r>
      <w:r>
        <w:instrText xml:space="preserve"> ADDIN EN.CITE </w:instrText>
      </w:r>
      <w:r>
        <w:fldChar w:fldCharType="begin">
          <w:fldData>PEVuZE5vdGU+PENpdGU+PEF1dGhvcj5XZWhybGU8L0F1dGhvcj48WWVhcj4yMDI1PC9ZZWFyPjxSZWNOdW0+MTE8L1JlY051bT48RGlzcGxheVRleHQ+W1YxMi0xMV08L0Rpc3BsYXlUZXh0PjxyZWNvcmQ+PHJlYy1udW1iZXI+MTE8L3JlYy1udW1iZXI+PGZvcmVpZ24ta2V5cz48a2V5IGFwcD0iRU4iIGRiLWlkPSJjZTFlZjNiMS00NjUxLTU3NDMtYWM5MS02OTk1ZWM1N2FiYmYiIHRpbWVzdGFtcD0iMTc5MjkyMTA4NiI+MTE8L2tleT48L2ZvcmVpZ24ta2V5cz48cmVmLXR5cGUgbmFtZT0iSm91cm5hbCBBcnRpY2xlIj4xNzwvcmVmLXR5cGU+PGNvbnRyaWJ1dG9ycz48YXV0aG9ycz48YXV0aG9yPldlaHJsZSwgQ2hhc2UgSjwvYXV0aG9yPjxhdXRob3I+Q2gmIzIyNTt2ZXotVmlsbGEsIE1hcmlhbmE8L2F1dGhvcj48YXV0aG9yPkJ5cm5lLCBNYXR0aGV3PC9hdXRob3I+PGF1dGhvcj5LdXNha2FiZSwgSmlybzwvYXV0aG9yPjxhdXRob3I+R3Jvc3MsIEFiYnk8L2F1dGhvcj48YXV0aG9yPk1haGFqYW4sIFBhcmVzaDwvYXV0aG9yPjxhdXRob3I+UnVmZm9sbywgTHVpczwvYXV0aG9yPjxhdXRob3I+V2hpdHNldHQgTGluZ2FubmEsIE1hdXJlZW48L2F1dGhvcj48YXV0aG9yPlNvYm90a2EsIEFubmllPC9hdXRob3I+PGF1dGhvcj5OYWZmb3VqZSwgU2FtZXI8L2F1dGhvcj48YXV0aG9yPktoYWxpbCwgTWF6aGFyPC9hdXRob3I+PGF1dGhvcj5QaXRhLCBBbGVqYW5kcm88L2F1dGhvcj48YXV0aG9yPkZ1amlraSwgTWFzYXRvPC9hdXRob3I+PGF1dGhvcj5Ub21peWFtYSwgS29qaTwvYXV0aG9yPjxhdXRob3I+U2NobGVnZWwsIEFuZHJlYTwvYXV0aG9yPjxhdXRob3I+S3dvbiwgRGF2aWQgQyBIPC9hdXRob3I+PGF1dGhvcj5MaW5lLCBQYWwtRGFnPC9hdXRob3I+PGF1dGhvcj5NaWxsZXIsIENoYXJsZXM8L2F1dGhvcj48YXV0aG9yPkhhc2hpbW90bywgS29qaTwvYXV0aG9yPjxhdXRob3I+SGVybmFuZGV6LUFsZWphbmRybywgUm9iZXJ0bzwvYXV0aG9yPjxhdXRob3I+QXVjZWpvLCBGZWRlcmljbzwvYXV0aG9yPjwvYXV0aG9ycz48L2NvbnRyaWJ1dG9ycz48dGl0bGVzPjx0aXRsZT5QcmV0cmFuc3BsYW50IG1ldGFib2xpYyB0dW1vciB2b2x1bWUgcHJlZGljdHMgcmVjdXJyZW5jZSBmb2xsb3dpbmcgbGl2ZXIgdHJhbnNwbGFudGF0aW9uIGZvciBjb2xvcmVjdGFsIG1ldGFzdGFzaXM6IEEgbXVsdGljZW50ZXIgc3R1ZHk8L3RpdGxlPjxzZWNvbmRhcnktdGl0bGU+TGl2ZXIgdHJhbnNwbGFudGF0aW9uIDogb2ZmaWNpYWwgcHVibGljYXRpb24gb2YgdGhlIEFtZXJpY2FuIEFzc29jaWF0aW9uIGZvciB0aGUgU3R1ZHkgb2YgTGl2ZXIgRGlzZWFzZXMgYW5kIHRoZSBJbnRlcm5hdGlvbmFsIExpdmVyIFRyYW5zcGxhbnRhdGlvbiBTb2NpZXR5PC9zZWNvbmRhcnktdGl0bGU+PC90aXRsZXM+PHBlcmlvZGljYWw+PGZ1bGwtdGl0bGU+TGl2ZXIgdHJhbnNwbGFudGF0aW9uIDogb2ZmaWNpYWwgcHVibGljYXRpb24gb2YgdGhlIEFtZXJpY2FuIEFzc29jaWF0aW9uIGZvciB0aGUgU3R1ZHkgb2YgTGl2ZXIgRGlzZWFzZXMgYW5kIHRoZSBJbnRlcm5hdGlvbmFsIExpdmVyIFRyYW5zcGxhbnRhdGlvbiBTb2NpZXR5PC9mdWxsLXRpdGxlPjwvcGVyaW9kaWNhbD48ZGF0ZXM+PHllYXI+MjAyNTwveWVhcj48L2RhdGVzPjx2b2x1bWU+MzE8L3ZvbHVtZT48bnVtYmVyPjM8L251bWJlcj48cGFnZXM+Mjk4LTMxMDwvcGFnZXM+PGVsZWN0cm9uaWMtcmVzb3VyY2UtbnVtPjEwLjEwOTcvTFZULjAwMDAwMDAwMDAwMDA1MzU8L2VsZWN0cm9uaWMtcmVzb3VyY2UtbnVtPjxub3Rlcz5SZXRyb3NwZWN0aXZlIHR3by1jZW50ZXIgY29ob3J0IENvbXBsZXRlIDEzLXBhZ2UgbWFpbiBwYXBlciByZWFkLCBpbmNsdWRpbmcgbWV0aG9kcywgVGFibGVzIDEmIzgyMTE7MiwgZmlndXJlcy9jYXB0aW9ucywgZGlzY3Vzc2lvbiBhbmQgcmVmZXJlbmNlcy4gVjggZXh0cmFjdGlvbiBhbmQgbGltaXRhdGlvbnM6IHNvdXJjZS9tZXRhc3Rhc2VzX2Z1bGx0ZXh0X3Jldmlldy5qc29uPC9ub3Rlcz48dXJscz48cmVsYXRlZC11cmxzPjx1cmw+aHR0cHM6Ly9kb2kub3JnLzEwLjEwOTcvTFZULjAwMDAwMDAwMDAwMDA1MzU8L3VybD48L3JlbGF0ZWQtdXJscz48cGRmLXVybHMvPjwvdXJscz48L3JlY29yZD48L0NpdGU+PC9FbmROb3RlPg==</w:fldData>
        </w:fldChar>
      </w:r>
      <w:r>
        <w:instrText xml:space="preserve"> ADDIN EN.CITE.DATA </w:instrText>
      </w:r>
      <w:r>
        <w:fldChar w:fldCharType="end"/>
      </w:r>
      <w:r>
        <w:fldChar w:fldCharType="separate"/>
      </w:r>
      <w:r>
        <w:t xml:space="preserve">[V12-11]</w:t>
      </w:r>
      <w:r>
        <w:fldChar w:fldCharType="end"/>
      </w:r>
      <w:r>
        <w:t xml:space="preserve"> </w:t>
      </w:r>
      <w:r>
        <w:t xml:space="preserve"> </w:t>
      </w:r>
      <w:r>
        <w:fldChar w:fldCharType="begin"/>
      </w:r>
      <w:r>
        <w:instrText xml:space="preserve"> ADDIN EN.CITE </w:instrText>
      </w:r>
      <w:r>
        <w:fldChar w:fldCharType="begin">
          <w:fldData>PEVuZE5vdGU+PENpdGU+PEF1dGhvcj5EdWVsYW5kPC9BdXRob3I+PFllYXI+MjAyNjwvWWVhcj48UmVjTnVtPjE1PC9SZWNOdW0+PERpc3BsYXlUZXh0PltWMTItMTVdPC9EaXNwbGF5VGV4dD48cmVjb3JkPjxyZWMtbnVtYmVyPjE1PC9yZWMtbnVtYmVyPjxmb3JlaWduLWtleXM+PGtleSBhcHA9IkVOIiBkYi1pZD0iY2UxZWYzYjEtNDY1MS01NzQzLWFjOTEtNjk5NWVjNTdhYmJmIiB0aW1lc3RhbXA9IjE3OTI5MjEwODYiPjE1PC9rZXk+PC9mb3JlaWduLWtleXM+PHJlZi10eXBlIG5hbWU9IkpvdXJuYWwgQXJ0aWNsZSI+MTc8L3JlZi10eXBlPjxjb250cmlidXRvcnM+PGF1dGhvcnM+PGF1dGhvcj5EdWVsYW5kLCBTdmVpbjwvYXV0aG9yPjxhdXRob3I+U21lZG1hbiwgVG9yIE0uPC9hdXRob3I+PGF1dGhvcj5TeXZlcnN2ZWVuLCBUcnlndmU8L2F1dGhvcj48YXV0aG9yPktoYW4sIEFtbWFyPC9hdXRob3I+PGF1dGhvcj5HcnV0LCBIYXJhbGQ8L2F1dGhvcj48YXV0aG9yPkxpbmUsIFAmIzIyOTtsLURhZzwvYXV0aG9yPjwvYXV0aG9ycz48L2NvbnRyaWJ1dG9ycz48dGl0bGVzPjx0aXRsZT5MaXZlciBUcmFuc3BsYW50YXRpb24gZm9yIE5vbnJlc2VjdGFibGUgQ29sb3JlY3RhbCBMaXZlciBNZXRhc3Rhc2VzOiBUZW4teWVhciBGb2xsb3ctdXAgYW5kIEFzc2Vzc21lbnQgb2YgQ3VyYXRpdmUgUmF0ZSBpbiB0aGUgU0VDQS1JSSBTdHVkeTwvdGl0bGU+PHNlY29uZGFyeS10aXRsZT5Bbm5hbHMgb2YgU3VyZ2VyeTwvc2Vjb25kYXJ5LXRpdGxlPjwvdGl0bGVzPjxwZXJpb2RpY2FsPjxmdWxsLXRpdGxlPkFubmFscyBvZiBTdXJnZXJ5PC9mdWxsLXRpdGxlPjwvcGVyaW9kaWNhbD48ZGF0ZXM+PHllYXI+MjAyNjwveWVhcj48L2RhdGVzPjxlbGVjdHJvbmljLXJlc291cmNlLW51bT4xMC4xMDk3L3NsYS4wMDAwMDAwMDAwMDA3MjAwPC9lbGVjdHJvbmljLXJlc291cmNlLW51bT48bm90ZXM+RXh0ZW5kZWQgcHJvc3BlY3RpdmUtY29ob3J0IGZvbGxvdy11cDsgb3ZlcmxhcHMgb3JpZ2luYWwgU0VDQS1JSSBDb21wbGV0ZSBzZXZlbi1wYWdlIGFkdmFuY2Utb25saW5lIG1haW4gYXJ0aWNsZSByZWFkLCBpbmNsdWRpbmcgYWxsIGZpZ3VyZXMsIHRhYmxlIGFuZCByZWZlcmVuY2VzLiBWOCBleHRyYWN0aW9uIGFuZCBsaW1pdGF0aW9uczogc291cmNlL21ldGFzdGFzZXNfZnVsbHRleHRfcmV2aWV3Lmpzb248L25vdGVzPjx1cmxzPjxyZWxhdGVkLXVybHM+PHVybD5odHRwczovL2RvaS5vcmcvMTAuMTA5Ny9TTEEuMDAwMDAwMDAwMDAwNzIwMDwvdXJsPjwvcmVsYXRlZC11cmxzPjxwZGYtdXJscy8+PC91cmxzPjwvcmVjb3JkPjwvQ2l0ZT48L0VuZE5vdGU+</w:fldData>
        </w:fldChar>
      </w:r>
      <w:r>
        <w:instrText xml:space="preserve"> ADDIN EN.CITE.DATA </w:instrText>
      </w:r>
      <w:r>
        <w:fldChar w:fldCharType="end"/>
      </w:r>
      <w:r>
        <w:fldChar w:fldCharType="separate"/>
      </w:r>
      <w:r>
        <w:t xml:space="preserve">[V12-15]</w:t>
      </w:r>
      <w:r>
        <w:fldChar w:fldCharType="end"/>
      </w:r>
    </w:p>
    <w:p>
      <w:pPr>
        <w:pStyle w:val="Normal"/>
        <w:widowControl/>
        <w:numPr>
          <w:ilvl w:val="0"/>
          <w:numId w:val="3"/>
        </w:numPr>
      </w:pPr>
      <w:r>
        <w:t xml:space="preserve">HOLD for confirmed hepatic progression or a new lesion and obtain renewed oncology, HPB/transplant and allocation review. Report standard RECIST separately from the NLRB-specific growth wording. Reactivation is not automatic after two scans: re-establish all current guidance criteria, including the applicable continuous six-month disease-control interval, with no extrahepatic disease and persistent unresectability. The separate time-since-CRLM-diagnosis requirement is not the biological-control clock. Any salvage/re-entry proposal remains OPEN for explicit committee and allocation adjudication.</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yLTJdPC9EaXNwbGF5VGV4dD48cmVjb3JkPjxyZWMtbnVtYmVyPjI8L3JlYy1udW1iZXI+PGZvcmVpZ24ta2V5cz48a2V5IGFwcD0iRU4iIGRiLWlkPSJjZTFlZjNiMS00NjUxLTU3NDMtYWM5MS02OTk1ZWM1N2FiYmYiIHRpbWVzdGFtcD0iMTc5MjkyMTA4N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RGVjZW1iZXIgMjAyNSBndWlkYW5jZSBwb3N0aW5nOyBORVQgcHAuOCYjODIxMTs5LCBDUkxNIHBwLjkmIzgyMTE7MTAuIE5vbmJpbmRpbmcgYWxsb2NhdGlvbi1yZXZpZXcgZ3VpZGFuY2U7IGNsaW5pY2FsIGVsaWdpYmlsaXR5IGFuZCBhY3R1YWwgYWxsb2NhdGlvbiBhcmUgc2VwYXJhdGUuPC9ub3Rlcz48dXJscz48cmVsYXRlZC11cmxzPjx1cmw+aHR0cHM6Ly93d3cuaHJzYS5nb3Yvc2l0ZXMvZGVmYXVsdC9maWxlcy9ocnNhL29wdG4vYWR1bHQtbWVsZC1leGNlcHRpb24tdHJhbnNwbGFudC1vbmNvbG9neS1yZXZpZXctZ3VpZGFuY2UucGRm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r>
        <w:t xml:space="preserve"> </w:t>
      </w:r>
      <w:r>
        <w:t xml:space="preserve"> </w:t>
      </w:r>
      <w:r>
        <w:fldChar w:fldCharType="begin"/>
      </w:r>
      <w:r>
        <w:instrText xml:space="preserve"> ADDIN EN.CITE </w:instrText>
      </w:r>
      <w:r>
        <w:fldChar w:fldCharType="begin">
          <w:fldData>PEVuZE5vdGU+PENpdGU+PEF1dGhvcj5Cb25uZXk8L0F1dGhvcj48WWVhcj4yMDIxPC9ZZWFyPjxSZWNOdW0+MTM8L1JlY051bT48RGlzcGxheVRleHQ+W1YxMi0xM108L0Rpc3BsYXlUZXh0PjxyZWNvcmQ+PHJlYy1udW1iZXI+MTM8L3JlYy1udW1iZXI+PGZvcmVpZ24ta2V5cz48a2V5IGFwcD0iRU4iIGRiLWlkPSJjZTFlZjNiMS00NjUxLTU3NDMtYWM5MS02OTk1ZWM1N2FiYmYiIHRpbWVzdGFtcD0iMTc5MjkyMTA4NiI+MTM8L2tleT48L2ZvcmVpZ24ta2V5cz48cmVmLXR5cGUgbmFtZT0iSm91cm5hbCBBcnRpY2xlIj4xNzwvcmVmLXR5cGU+PGNvbnRyaWJ1dG9ycz48YXV0aG9ycz48YXV0aG9yPkJvbm5leSwgR2xlbm4gSzwvYXV0aG9yPjxhdXRob3I+Q2hldywgQ2xhaXJlIEFsZXhhbmRyYTwvYXV0aG9yPjxhdXRob3I+TG9kZ2UsIFBldGVyPC9hdXRob3I+PGF1dGhvcj5IdWJiYXJkLCBKb2xlZW48L2F1dGhvcj48YXV0aG9yPkhhbGF6dW4sIEthcmltIEo8L2F1dGhvcj48YXV0aG9yPlRydW5lY2thLCBQYXZlbDwvYXV0aG9yPjxhdXRob3I+TXVpZXNhbiwgUGFvbG88L2F1dGhvcj48YXV0aG9yPk1pcnphLCBEYXJpdXMgRjwvYXV0aG9yPjxhdXRob3I+SXNhYWMsIEpvaG48L2F1dGhvcj48YXV0aG9yPkxhaW5nLCBSaWNoYXJkIFc8L2F1dGhvcj48YXV0aG9yPkl5ZXIsIFNocmlkaGFyIEdhbnBhdGhpPC9hdXRob3I+PGF1dGhvcj5DaGVlLCBDaGVuZyBFYW48L2F1dGhvcj48YXV0aG9yPllvbmcsIFdlaSBQZW5nPC9hdXRob3I+PGF1dGhvcj5NdXRoaWFoLCBNYXJrIERoaW5lc2g8L2F1dGhvcj48YXV0aG9yPlBhbmFybywgRmFicml6aW88L2F1dGhvcj48YXV0aG9yPlNhbmFicmlhLCBKdWFuPC9hdXRob3I+PGF1dGhvcj5Hcm90aGV5LCBBeGVsPC9hdXRob3I+PGF1dGhvcj5Nb29kbGV5LCBLZXltYW50aHJpPC9hdXRob3I+PGF1dGhvcj5DaGF1LCBJYW48L2F1dGhvcj48YXV0aG9yPkNoYW4sIEFsYmVydCBDIFk8L2F1dGhvcj48YXV0aG9yPldhbmcsIENoaWggQ2hpPC9hdXRob3I+PGF1dGhvcj5NZW5vbiwgS3Jpc2huYTwvYXV0aG9yPjxhdXRob3I+U2FwaXNvY2hpbiwgR29uemFsbzwvYXV0aG9yPjxhdXRob3I+SGFnbmVzcywgTW9ydGVuPC9hdXRob3I+PGF1dGhvcj5EdWVsYW5kLCBTdmVpbjwvYXV0aG9yPjxhdXRob3I+TGluZSwgUCYjMjI5O2wtRGFnPC9hdXRob3I+PGF1dGhvcj5BZGFtLCBSZW4mIzIzMzs8L2F1dGhvcj48L2F1dGhvcnM+PC9jb250cmlidXRvcnM+PHRpdGxlcz48dGl0bGU+TGl2ZXIgdHJhbnNwbGFudGF0aW9uIGZvciBub24tcmVzZWN0YWJsZSBjb2xvcmVjdGFsIGxpdmVyIG1ldGFzdGFzZXM6IHRoZSBJbnRlcm5hdGlvbmFsIEhlcGF0by1QYW5jcmVhdG8tQmlsaWFyeSBBc3NvY2lhdGlvbiBjb25zZW5zdXMgZ3VpZGVsaW5lczwvdGl0bGU+PHNlY29uZGFyeS10aXRsZT5UaGUgbGFuY2V0LiBHYXN0cm9lbnRlcm9sb2d5ICZhbXA7IGhlcGF0b2xvZ3k8L3NlY29uZGFyeS10aXRsZT48L3RpdGxlcz48cGVyaW9kaWNhbD48ZnVsbC10aXRsZT5UaGUgbGFuY2V0LiBHYXN0cm9lbnRlcm9sb2d5ICZhbXA7IGhlcGF0b2xvZ3k8L2Z1bGwtdGl0bGU+PC9wZXJpb2RpY2FsPjxkYXRlcz48eWVhcj4yMDIxPC95ZWFyPjwvZGF0ZXM+PHZvbHVtZT42PC92b2x1bWU+PG51bWJlcj4xMTwvbnVtYmVyPjxwYWdlcz45MzMtOTQ2PC9wYWdlcz48ZWxlY3Ryb25pYy1yZXNvdXJjZS1udW0+MTAuMTAxNi9TMjQ2OC0xMjUzKDIxKTAwMjE5LTM8L2VsZWN0cm9uaWMtcmVzb3VyY2UtbnVtPjxub3Rlcz5FeHBlcnQgY29uc2Vuc3VzIENvbXBsZXRlIGxvY2FsIHByaW1hcnkgUERGIGF2YWlsYWJsZTsgcmVsZXZhbnQgbWV0aG9kcywgc2VsZWN0aW9uLCByZXN1bHRzIGFuZCBsaW1pdGF0aW9ucyByZXZpZXdlZCBTZWxlY3Rpb24sIGJpb2xvZ2ljYWwgcHJvZ25vc2lzIGFuZCB0ZWNobmljYWwgcmVzZWN0YWJpbGl0eSBoYXZlIGRpc3RpbmN0IHJvbGVzLiBBbiBleHBlcnQgcmVjb21tZW5kYXRpb24gaXMgbm90IGEgbmF0aW9uYWwgYWxsb2NhdGlvbiBydWxlLjwvbm90ZXM+PHVybHM+PHJlbGF0ZWQtdXJscz48dXJsPmh0dHBzOi8vZG9pLm9yZy8xMC4xMDE2L1MyNDY4LTEyNTMoMjEpMDAyMTktMzwvdXJsPjwvcmVsYXRlZC11cmxzPjxwZGYtdXJscy8+PC91cmxzPjwvcmVjb3JkPjwvQ2l0ZT48L0VuZE5vdGU+</w:fldData>
        </w:fldChar>
      </w:r>
      <w:r>
        <w:instrText xml:space="preserve"> ADDIN EN.CITE.DATA </w:instrText>
      </w:r>
      <w:r>
        <w:fldChar w:fldCharType="end"/>
      </w:r>
      <w:r>
        <w:fldChar w:fldCharType="separate"/>
      </w:r>
      <w:r>
        <w:t xml:space="preserve">[V12-13]</w:t>
      </w:r>
      <w:r>
        <w:fldChar w:fldCharType="end"/>
      </w:r>
    </w:p>
    <w:p>
      <w:pPr>
        <w:pStyle w:val="Normal"/>
        <w:widowControl/>
        <w:numPr>
          <w:ilvl w:val="0"/>
          <w:numId w:val="3"/>
        </w:numPr>
      </w:pPr>
      <w:r>
        <w:t xml:space="preserve">Every removal and every reactivation is recorded with its category and the supporting evidence.</w:t>
      </w:r>
    </w:p>
    <w:p>
      <w:pPr>
        <w:pStyle w:val="Heading3"/>
        <w:widowControl/>
        <w:keepNext/>
      </w:pPr>
      <w:r>
        <w:t xml:space="preserve">Systemic treatment evidence and transplant boundaries</w:t>
      </w:r>
    </w:p>
    <w:p>
      <w:pPr>
        <w:pStyle w:val="Normal"/>
        <w:widowControl/>
        <w:spacing w:after="120"/>
      </w:pPr>
      <w:r>
        <w:t xml:space="preserve">Later-line efficacy does not define persistent unresectability. HPB MDT must document why complete clearance of every original disease site cannot be achieved with a credible resection/ablation strategy, liver reserve and staged options. Treated/nonviable lesions alone are not proof of active unresectable disease. Preserve all biology, extrahepatic and allocation gates.</w:t>
      </w:r>
    </w:p>
    <w:p>
      <w:pPr>
        <w:pStyle w:val="Heading4"/>
        <w:widowControl/>
        <w:keepNext/>
      </w:pPr>
      <w:r>
        <w:t xml:space="preserve">MOUNTAINEER final: HER2-positive CRC</w:t>
      </w:r>
    </w:p>
    <w:p>
      <w:pPr>
        <w:pStyle w:val="Normal"/>
        <w:widowControl/>
        <w:spacing w:after="120"/>
      </w:pPr>
      <w:r>
        <w:t xml:space="preserve">Use local validated HER2 IHC3+, IHC2+/ISH+, or qualifying tissue amplification with RAS wild type and prior-treatment review. A negative plasma result may require tissue testing. Response can prompt HPB reassessment but does not establish persistent unresectability or transplant benefit.</w:t>
      </w:r>
      <w:r>
        <w:t xml:space="preserve"> </w:t>
      </w:r>
      <w:r>
        <w:fldChar w:fldCharType="begin"/>
      </w:r>
      <w:r>
        <w:instrText xml:space="preserve"> ADDIN EN.CITE </w:instrText>
      </w:r>
      <w:r>
        <w:fldChar w:fldCharType="begin">
          <w:fldData>PEVuZE5vdGU+PENpdGU+PEF1dGhvcj5TdHJpY2tsZXIgSkg8L0F1dGhvcj48WWVhcj4yMDI2PC9ZZWFyPjxSZWNOdW0+MjM8L1JlY051bT48RGlzcGxheVRleHQ+W1YxMi0yM108L0Rpc3BsYXlUZXh0PjxyZWNvcmQ+PHJlYy1udW1iZXI+MjM8L3JlYy1udW1iZXI+PGZvcmVpZ24ta2V5cz48a2V5IGFwcD0iRU4iIGRiLWlkPSJjZTFlZjNiMS00NjUxLTU3NDMtYWM5MS02OTk1ZWM1N2FiYmYiIHRpbWVzdGFtcD0iMTc5MjkyMTA4NiI+MjM8L2tleT48L2ZvcmVpZ24ta2V5cz48cmVmLXR5cGUgbmFtZT0iSm91cm5hbCBBcnRpY2xlIj4xNzwvcmVmLXR5cGU+PGNvbnRyaWJ1dG9ycz48YXV0aG9ycz48YXV0aG9yPlN0cmlja2xlciBKSDwvYXV0aG9yPjxhdXRob3I+Q2VyY2VrIEE8L2F1dGhvcj48YXV0aG9yPlNpZW5hIFM8L2F1dGhvcj48YXV0aG9yPkFuZHImIzIzMzsgVDwvYXV0aG9yPjxhdXRob3I+TmcgSzwvYXV0aG9yPjxhdXRob3I+VmFuIEN1dHNlbSBFPC9hdXRob3I+PGF1dGhvcj5XdSBDPC9hdXRob3I+PGF1dGhvcj5QYXVsc29uIEFTPC9hdXRob3I+PGF1dGhvcj5IdWJiYXJkIEpNPC9hdXRob3I+PGF1dGhvcj5Db3ZlbGVyIEFMPC9hdXRob3I+PGF1dGhvcj5Gb3VudHppbGFzIEM8L2F1dGhvcj48YXV0aG9yPkthcmRvc2ggQTwvYXV0aG9yPjxhdXRob3I+S2FzaSBQTTwvYXV0aG9yPjxhdXRob3I+TGVueiBISjwvYXV0aG9yPjxhdXRob3I+Q2lvbWJvciBLPC9hdXRob3I+PGF1dGhvcj5FbGV6IEU8L2F1dGhvcj48YXV0aG9yPkJham9yIERMPC9hdXRob3I+PGF1dGhvcj5DcmVtb2xpbmkgQzwvYXV0aG9yPjxhdXRob3I+U2FuY2hleiBGPC9hdXRob3I+PGF1dGhvcj5OYXllcmkgTTwvYXV0aG9yPjxhdXRob3I+RmVuZyBXPC9hdXRob3I+PGF1dGhvcj5CaWVkYSBNPC9hdXRob3I+PGF1dGhvcj5CZWthaWktU2FhYiBUUzwvYXV0aG9yPjwvYXV0aG9ycz48L2NvbnRyaWJ1dG9ycz48dGl0bGVzPjx0aXRsZT5UdWNhdGluaWIgcGx1cyB0cmFzdHV6dW1hYiBmb3IgY2hlbW90aGVyYXB5LXJlZnJhY3RvcnksIEhFUjImIzgyMDE7KyYjODIwMTssIFJBUyB3aWxkLXR5cGUgbWV0YXN0YXRpYyBjb2xvcmVjdGFsIGNhbmNlciAoTU9VTlRBSU5FRVIpOiBmaW5hbCBhbmFseXNpcy48L3RpdGxlPjxzZWNvbmRhcnktdGl0bGU+TmF0dXJlIGNvbW11bmljYXRpb25zPC9zZWNvbmRhcnktdGl0bGU+PC90aXRsZXM+PHBlcmlvZGljYWw+PGZ1bGwtdGl0bGU+TmF0dXJlIGNvbW11bmljYXRpb25zPC9mdWxsLXRpdGxlPjwvcGVyaW9kaWNhbD48ZGF0ZXM+PHllYXI+MjAyNjwveWVhcj48L2RhdGVzPjx2b2x1bWU+MTc8L3ZvbHVtZT48bnVtYmVyPjE8L251bWJlcj48cGFnZXM+MTA2ODwvcGFnZXM+PGVsZWN0cm9uaWMtcmVzb3VyY2UtbnVtPjEwLjEwMzgvczQxNDY3LTAyNS02NzgyNC16PC9lbGVjdHJvbmljLXJlc291cmNlLW51bT48bm90ZXM+UGVlciByZXZpZXdlZCBwdWJsaWNhdGlvbiBDb21wbGV0ZSBtYWluIFBERiByZWFkIChhbGwgcGFnZXMsIG1ldGhvZHMvcmVzdWx0cy9kaXNjdXNzaW9uL3RhYmxlcy9yZWZlcmVuY2VzKTsgc2VwYXJhdGUgZXh0ZXJuYWwgc3VwcGxlbWVudHMgbm90IHJldmlld2VkOyBBbGwgMTIgbWFpbi1QREYgcGFnZXM7IG1ldGhvZHMsIGVmZmljYWN5IFRhYmxlIDIsIHNhZmV0eSBUYWJsZSA0IGFuZCBiaW9tYXJrZXIgZmlndXJlcy48L25vdGVzPjx1cmxzPjxyZWxhdGVkLXVybHM+PHVybD5odHRwczovL2RvaS5vcmcvMTAuMTAzOC9zNDE0NjctMDI1LTY3ODI0LXo8L3VybD48L3JlbGF0ZWQtdXJscz48cGRmLXVybHMvPjwvdXJscz48L3JlY29yZD48L0NpdGU+PC9FbmROb3RlPg==</w:fldData>
        </w:fldChar>
      </w:r>
      <w:r>
        <w:instrText xml:space="preserve"> ADDIN EN.CITE.DATA </w:instrText>
      </w:r>
      <w:r>
        <w:fldChar w:fldCharType="end"/>
      </w:r>
      <w:r>
        <w:fldChar w:fldCharType="separate"/>
      </w:r>
      <w:r>
        <w:t xml:space="preserve">[V12-23]</w:t>
      </w:r>
      <w:r>
        <w:fldChar w:fldCharType="end"/>
      </w:r>
      <w:r>
        <w:br/>
      </w:r>
      <w:hyperlink r:id="rId88">
        <w:r>
          <w:rPr>
            <w:color w:val="0563C1"/>
            <w:u w:val="single"/>
          </w:rPr>
          <w:t>Source</w:t>
        </w:r>
      </w:hyperlink>
      <w:r>
        <w:t xml:space="preserve"> · </w:t>
      </w:r>
      <w:hyperlink r:id="rId89">
        <w:r>
          <w:rPr>
            <w:color w:val="0563C1"/>
            <w:u w:val="single"/>
          </w:rPr>
          <w:t>PDF</w:t>
        </w:r>
      </w:hyperlink>
    </w:p>
    <w:p>
      <w:pPr>
        <w:pStyle w:val="Heading4"/>
        <w:widowControl/>
        <w:keepNext/>
      </w:pPr>
      <w:r>
        <w:t xml:space="preserve">SUNLIGHT: FTD/TPI plus bevacizumab</w:t>
      </w:r>
    </w:p>
    <w:p>
      <w:pPr>
        <w:pStyle w:val="Normal"/>
        <w:widowControl/>
        <w:spacing w:after="120"/>
      </w:pPr>
      <w:r>
        <w:t xml:space="preserve">Offer a later-line disease-control option when marrow reserve and anti-VEGF safety permit. Record bleeding, wound-healing and operative timing; do not translate disease control automatically into LT eligibility.</w:t>
      </w:r>
      <w:r>
        <w:t xml:space="preserve"> </w:t>
      </w:r>
      <w:r>
        <w:fldChar w:fldCharType="begin"/>
      </w:r>
      <w:r>
        <w:instrText xml:space="preserve"> ADDIN EN.CITE </w:instrText>
      </w:r>
      <w:r>
        <w:fldChar w:fldCharType="begin">
          <w:fldData>PEVuZE5vdGU+PENpdGU+PEF1dGhvcj5QcmFnZXIgR1c8L0F1dGhvcj48WWVhcj4yMDIzPC9ZZWFyPjxSZWNOdW0+MjQ8L1JlY051bT48RGlzcGxheVRleHQ+W1YxMi0yNF08L0Rpc3BsYXlUZXh0PjxyZWNvcmQ+PHJlYy1udW1iZXI+MjQ8L3JlYy1udW1iZXI+PGZvcmVpZ24ta2V5cz48a2V5IGFwcD0iRU4iIGRiLWlkPSJjZTFlZjNiMS00NjUxLTU3NDMtYWM5MS02OTk1ZWM1N2FiYmYiIHRpbWVzdGFtcD0iMTc5MjkyMTA4NiI+MjQ8L2tleT48L2ZvcmVpZ24ta2V5cz48cmVmLXR5cGUgbmFtZT0iSm91cm5hbCBBcnRpY2xlIj4xNzwvcmVmLXR5cGU+PGNvbnRyaWJ1dG9ycz48YXV0aG9ycz48YXV0aG9yPlByYWdlciBHVzwvYXV0aG9yPjxhdXRob3I+VGFpZWIgSjwvYXV0aG9yPjxhdXRob3I+RmFraWggTTwvYXV0aG9yPjxhdXRob3I+Q2lhcmRpZWxsbyBGPC9hdXRob3I+PGF1dGhvcj5WYW4gQ3V0c2VtIEU8L2F1dGhvcj48YXV0aG9yPkVsZXogRTwvYXV0aG9yPjxhdXRob3I+Q3J1eiBGTTwvYXV0aG9yPjxhdXRob3I+V3lyd2ljeiBMPC9hdXRob3I+PGF1dGhvcj5TdHJveWFrb3Zza2l5IEQ8L2F1dGhvcj48YXV0aG9yPlAmIzIyNTtwYWkgWjwvYXV0aG9yPjxhdXRob3I+UG91cmVhdSBQRzwvYXV0aG9yPjxhdXRob3I+TGlwb3NpdHMgRzwvYXV0aG9yPjxhdXRob3I+Q3JlbW9saW5pIEM8L2F1dGhvcj48YXV0aG9yPkJvbmRhcmVua28gSTwvYXV0aG9yPjxhdXRob3I+TW9kZXN0IERQPC9hdXRob3I+PGF1dGhvcj5CZW5oYWRqaSBLQTwvYXV0aG9yPjxhdXRob3I+QW1lbGxhbCBOPC9hdXRob3I+PGF1dGhvcj5MZWdlciBDPC9hdXRob3I+PGF1dGhvcj5WaWRvdCBMPC9hdXRob3I+PGF1dGhvcj5UYWJlcm5lcm8gSjwvYXV0aG9yPjxhdXRob3I+U1VOTElHSFQgSW52ZXN0aWdhdG9yczwvYXV0aG9yPjwvYXV0aG9ycz48L2NvbnRyaWJ1dG9ycz48dGl0bGVzPjx0aXRsZT5UcmlmbHVyaWRpbmUtVGlwaXJhY2lsIGFuZCBCZXZhY2l6dW1hYiBpbiBSZWZyYWN0b3J5IE1ldGFzdGF0aWMgQ29sb3JlY3RhbCBDYW5jZXIuPC90aXRsZT48c2Vjb25kYXJ5LXRpdGxlPlRoZSBOZXcgRW5nbGFuZCBqb3VybmFsIG9mIG1lZGljaW5lPC9zZWNvbmRhcnktdGl0bGU+PC90aXRsZXM+PHBlcmlvZGljYWw+PGZ1bGwtdGl0bGU+VGhlIE5ldyBFbmdsYW5kIGpvdXJuYWwgb2YgbWVkaWNpbmU8L2Z1bGwtdGl0bGU+PC9wZXJpb2RpY2FsPjxkYXRlcz48eWVhcj4yMDIzPC95ZWFyPjwvZGF0ZXM+PHZvbHVtZT4zODg8L3ZvbHVtZT48bnVtYmVyPjE4PC9udW1iZXI+PHBhZ2VzPjE2NTctMTY2NzwvcGFnZXM+PGVsZWN0cm9uaWMtcmVzb3VyY2UtbnVtPjEwLjEwNTYvTkVKTW9hMjIxNDk2MzwvZWxlY3Ryb25pYy1yZXNvdXJjZS1udW0+PG5vdGVzPlBlZXIgcmV2aWV3ZWQgcHVibGljYXRpb24gQ29tcGxldGUgbWFpbiBQREYgcmVhZCAoYWxsIHBhZ2VzLCBtZXRob2RzL3Jlc3VsdHMvZGlzY3Vzc2lvbi90YWJsZXMvcmVmZXJlbmNlcyk7IHNlcGFyYXRlIGV4dGVybmFsIHN1cHBsZW1lbnRzIG5vdCByZXZpZXdlZDsgQWxsIDExIG1haW4tUERGIHBhZ2VzOyBGaWd1cmVzIDEmIzgyMTE7MiBhbmQgVGFibGVzIDEmIzgyMTE7Mi48L25vdGVzPjx1cmxzPjxyZWxhdGVkLXVybHM+PHVybD5odHRwczovL2RvaS5vcmcvMTAuMTA1Ni9ORUpNb2EyMjE0OTYzPC91cmw+PC9yZWxhdGVkLXVybHM+PHBkZi11cmxzLz48L3VybHM+PC9yZWNvcmQ+PC9DaXRlPjwvRW5kTm90ZT4=</w:fldData>
        </w:fldChar>
      </w:r>
      <w:r>
        <w:instrText xml:space="preserve"> ADDIN EN.CITE.DATA </w:instrText>
      </w:r>
      <w:r>
        <w:fldChar w:fldCharType="end"/>
      </w:r>
      <w:r>
        <w:fldChar w:fldCharType="separate"/>
      </w:r>
      <w:r>
        <w:t xml:space="preserve">[V12-24]</w:t>
      </w:r>
      <w:r>
        <w:fldChar w:fldCharType="end"/>
      </w:r>
      <w:r>
        <w:br/>
      </w:r>
      <w:hyperlink r:id="rId90">
        <w:r>
          <w:rPr>
            <w:color w:val="0563C1"/>
            <w:u w:val="single"/>
          </w:rPr>
          <w:t>Source</w:t>
        </w:r>
      </w:hyperlink>
      <w:r>
        <w:t xml:space="preserve"> · </w:t>
      </w:r>
      <w:hyperlink r:id="rId91">
        <w:r>
          <w:rPr>
            <w:color w:val="0563C1"/>
            <w:u w:val="single"/>
          </w:rPr>
          <w:t>PDF</w:t>
        </w:r>
      </w:hyperlink>
    </w:p>
    <w:p>
      <w:pPr>
        <w:pStyle w:val="Heading4"/>
        <w:widowControl/>
        <w:keepNext/>
      </w:pPr>
      <w:r>
        <w:t xml:space="preserve">FRESCO-2: fruquintinib</w:t>
      </w:r>
    </w:p>
    <w:p>
      <w:pPr>
        <w:pStyle w:val="Normal"/>
        <w:widowControl/>
        <w:spacing w:after="120"/>
      </w:pPr>
      <w:r>
        <w:t xml:space="preserve">Retain a later-line option with BP, proteinuria, hand–foot, bleeding/perforation and operative safety assessment. Not an evidence-based curative conversion strategy or new transplant-selection route.</w:t>
      </w:r>
      <w:r>
        <w:t xml:space="preserve"> </w:t>
      </w:r>
      <w:r>
        <w:fldChar w:fldCharType="begin"/>
      </w:r>
      <w:r>
        <w:instrText xml:space="preserve"> ADDIN EN.CITE </w:instrText>
      </w:r>
      <w:r>
        <w:fldChar w:fldCharType="begin">
          <w:fldData>PEVuZE5vdGU+PENpdGU+PEF1dGhvcj5EYXNhcmkgQTwvQXV0aG9yPjxZZWFyPjIwMjM8L1llYXI+PFJlY051bT4yNTwvUmVjTnVtPjxEaXNwbGF5VGV4dD5bVjEyLTI1XTwvRGlzcGxheVRleHQ+PHJlY29yZD48cmVjLW51bWJlcj4yNTwvcmVjLW51bWJlcj48Zm9yZWlnbi1rZXlzPjxrZXkgYXBwPSJFTiIgZGItaWQ9ImNlMWVmM2IxLTQ2NTEtNTc0My1hYzkxLTY5OTVlYzU3YWJiZiIgdGltZXN0YW1wPSIxNzkyOTIxMDg2Ij4yNTwva2V5PjwvZm9yZWlnbi1rZXlzPjxyZWYtdHlwZSBuYW1lPSJKb3VybmFsIEFydGljbGUiPjE3PC9yZWYtdHlwZT48Y29udHJpYnV0b3JzPjxhdXRob3JzPjxhdXRob3I+RGFzYXJpIEE8L2F1dGhvcj48YXV0aG9yPkxvbmFyZGkgUzwvYXV0aG9yPjxhdXRob3I+R2FyY2lhLUNhcmJvbmVybyBSPC9hdXRob3I+PGF1dGhvcj5FbGV6IEU8L2F1dGhvcj48YXV0aG9yPllvc2hpbm8gVDwvYXV0aG9yPjxhdXRob3I+U29icmVybyBBPC9hdXRob3I+PGF1dGhvcj5ZYW8gSjwvYXV0aG9yPjxhdXRob3I+R2FyYyYjMjM3O2EtQWxmb25zbyBQPC9hdXRob3I+PGF1dGhvcj5Lb2NzaXMgSjwvYXV0aG9yPjxhdXRob3I+Q3ViaWxsbyBHcmFjaWFuIEE8L2F1dGhvcj48YXV0aG9yPlNhcnRvcmUtQmlhbmNoaSBBPC9hdXRob3I+PGF1dGhvcj5TYXRvaCBUPC9hdXRob3I+PGF1dGhvcj5SYW5kcmlhbiBWPC9hdXRob3I+PGF1dGhvcj5Ub21hc2VrIEo8L2F1dGhvcj48YXV0aG9yPkNob25nIEc8L2F1dGhvcj48YXV0aG9yPlBhdWxzb24gQVM8L2F1dGhvcj48YXV0aG9yPk1hc3Vpc2hpIFQ8L2F1dGhvcj48YXV0aG9yPkpvbmVzIEo8L2F1dGhvcj48YXV0aG9yPkNzJiMzMzc7c3ppIFQ8L2F1dGhvcj48YXV0aG9yPkNyZW1vbGluaSBDPC9hdXRob3I+PGF1dGhvcj5HaGlyaW5naGVsbGkgRjwvYXV0aG9yPjxhdXRob3I+U2hlcmdpbGwgQTwvYXV0aG9yPjxhdXRob3I+SG9jaHN0ZXIgSFM8L2F1dGhvcj48YXV0aG9yPktyYXVzcyBKPC9hdXRob3I+PGF1dGhvcj5CYXNzYW0gQTwvYXV0aG9yPjxhdXRob3I+RHVjcmV1eCBNPC9hdXRob3I+PGF1dGhvcj5FbG1lIEE8L2F1dGhvcj48YXV0aG9yPkZhdWdlcmFzIEw8L2F1dGhvcj48YXV0aG9yPkthc3BlciBTPC9hdXRob3I+PGF1dGhvcj5WYW4gQ3V0c2VtIEU8L2F1dGhvcj48YXV0aG9yPkFybm9sZCBEPC9hdXRob3I+PGF1dGhvcj5OYW5kYSBTPC9hdXRob3I+PGF1dGhvcj5ZYW5nIFo8L2F1dGhvcj48YXV0aG9yPlNjaGVsbWFuIFdSPC9hdXRob3I+PGF1dGhvcj5LYW5pYSBNPC9hdXRob3I+PGF1dGhvcj5UYWJlcm5lcm8gSjwvYXV0aG9yPjxhdXRob3I+RW5nIEM8L2F1dGhvcj48YXV0aG9yPkZSRVNDTy0yIFN0dWR5IEludmVzdGlnYXRvcnM8L2F1dGhvcj48L2F1dGhvcnM+PC9jb250cmlidXRvcnM+PHRpdGxlcz48dGl0bGU+RnJ1cXVpbnRpbmliIHZlcnN1cyBwbGFjZWJvIGluIHBhdGllbnRzIHdpdGggcmVmcmFjdG9yeSBtZXRhc3RhdGljIGNvbG9yZWN0YWwgY2FuY2VyIChGUkVTQ08tMik6IGFuIGludGVybmF0aW9uYWwsIG11bHRpY2VudHJlLCByYW5kb21pc2VkLCBkb3VibGUtYmxpbmQsIHBoYXNlIDMgc3R1ZHkuPC90aXRsZT48c2Vjb25kYXJ5LXRpdGxlPkxhbmNldCAoTG9uZG9uLCBFbmdsYW5kKTwvc2Vjb25kYXJ5LXRpdGxlPjwvdGl0bGVzPjxwZXJpb2RpY2FsPjxmdWxsLXRpdGxlPkxhbmNldCAoTG9uZG9uLCBFbmdsYW5kKTwvZnVsbC10aXRsZT48L3BlcmlvZGljYWw+PGRhdGVzPjx5ZWFyPjIwMjM8L3llYXI+PC9kYXRlcz48dm9sdW1lPjQwMjwvdm9sdW1lPjxudW1iZXI+MTAzOTU8L251bWJlcj48cGFnZXM+NDEtNTM8L3BhZ2VzPjxlbGVjdHJvbmljLXJlc291cmNlLW51bT4xMC4xMDE2L1MwMTQwLTY3MzYoMjMpMDA3NzItOTwvZWxlY3Ryb25pYy1yZXNvdXJjZS1udW0+PG5vdGVzPlBlZXIgcmV2aWV3ZWQgcHVibGljYXRpb24gQ29tcGxldGUgbWFpbiBQREYgcmVhZCAoYWxsIHBhZ2VzLCBtZXRob2RzL3Jlc3VsdHMvZGlzY3Vzc2lvbi90YWJsZXMvcmVmZXJlbmNlcyk7IHNlcGFyYXRlIGV4dGVybmFsIHN1cHBsZW1lbnRzIG5vdCByZXZpZXdlZDsgQWxsIDEzIG1haW4tUERGIHBhZ2VzOyBGaWd1cmVzIDImIzgyMTE7MyBhbmQgVGFibGVzIDEmIzgyMTE7My48L25vdGVzPjx1cmxzPjxyZWxhdGVkLXVybHM+PHVybD5odHRwczovL2RvaS5vcmcvMTAuMTAxNi9TMDE0MC02NzM2KDIzKTAwNzcyLTk8L3VybD48L3JlbGF0ZWQtdXJscz48cGRmLXVybHMvPjwvdXJscz48L3JlY29yZD48L0NpdGU+PC9FbmROb3RlPg==</w:fldData>
        </w:fldChar>
      </w:r>
      <w:r>
        <w:instrText xml:space="preserve"> ADDIN EN.CITE.DATA </w:instrText>
      </w:r>
      <w:r>
        <w:fldChar w:fldCharType="end"/>
      </w:r>
      <w:r>
        <w:fldChar w:fldCharType="separate"/>
      </w:r>
      <w:r>
        <w:t xml:space="preserve">[V12-25]</w:t>
      </w:r>
      <w:r>
        <w:fldChar w:fldCharType="end"/>
      </w:r>
      <w:r>
        <w:br/>
      </w:r>
      <w:hyperlink r:id="rId92">
        <w:r>
          <w:rPr>
            <w:color w:val="0563C1"/>
            <w:u w:val="single"/>
          </w:rPr>
          <w:t>Source</w:t>
        </w:r>
      </w:hyperlink>
      <w:r>
        <w:t xml:space="preserve"> · </w:t>
      </w:r>
      <w:hyperlink r:id="rId93">
        <w:r>
          <w:rPr>
            <w:color w:val="0563C1"/>
            <w:u w:val="single"/>
          </w:rPr>
          <w:t>PDF</w:t>
        </w:r>
      </w:hyperlink>
    </w:p>
    <w:p>
      <w:pPr>
        <w:pStyle w:val="Normal"/>
        <w:widowControl/>
        <w:spacing w:after="120"/>
      </w:pPr>
      <w:r>
        <w:t xml:space="preserve">Treatment comparisons and detailed regimen evidence: </w:t>
      </w:r>
      <w:hyperlink r:id="rId87">
        <w:r>
          <w:rPr>
            <w:color w:val="0563C1"/>
            <w:u w:val="single"/>
          </w:rPr>
          <w:t>Cross-tumor systemic matrix</w:t>
        </w:r>
      </w:hyperlink>
    </w:p>
    <w:p>
      <w:pPr>
        <w:pStyle w:val="Heading3"/>
        <w:keepNext/>
        <w:widowControl/>
      </w:pPr>
      <w:r>
        <w:t xml:space="preserve">6. Surgical Procedure</w:t>
      </w:r>
    </w:p>
    <w:p>
      <w:pPr>
        <w:pStyle w:val="Normal"/>
        <w:widowControl/>
        <w:numPr>
          <w:ilvl w:val="0"/>
          <w:numId w:val="3"/>
        </w:numPr>
      </w:pPr>
      <w:r>
        <w:t xml:space="preserve">Whole cadaveric liver graft with conventional orthotopic transplantation technique</w:t>
      </w:r>
      <w:r>
        <w:t xml:space="preserve"> </w:t>
      </w:r>
      <w:r>
        <w:t xml:space="preserve"> </w:t>
      </w:r>
      <w:r>
        <w:fldChar w:fldCharType="begin"/>
      </w:r>
      <w:r>
        <w:instrText xml:space="preserve"> ADDIN EN.CITE </w:instrText>
      </w:r>
      <w:r>
        <w:fldChar w:fldCharType="begin">
          <w:fldData>PEVuZE5vdGU+PENpdGU+PEF1dGhvcj5BZGFtPC9BdXRob3I+PFllYXI+MjAyNDwvWWVhcj48UmVjTnVtPjM8L1JlY051bT48RGlzcGxheVRleHQ+W1YxMi0zXTwvRGlzcGxheVRleHQ+PHJlY29yZD48cmVjLW51bWJlcj4zPC9yZWMtbnVtYmVyPjxmb3JlaWduLWtleXM+PGtleSBhcHA9IkVOIiBkYi1pZD0iY2UxZWYzYjEtNDY1MS01NzQzLWFjOTEtNjk5NWVjNTdhYmJmIiB0aW1lc3RhbXA9IjE3OTI5MjEwODYiPjM8L2tleT48L2ZvcmVpZ24ta2V5cz48cmVmLXR5cGUgbmFtZT0iSm91cm5hbCBBcnRpY2xlIj4xNzwvcmVmLXR5cGU+PGNvbnRyaWJ1dG9ycz48YXV0aG9ycz48YXV0aG9yPkFkYW0sIFJlbiYjMjMzOzwvYXV0aG9yPjxhdXRob3I+UGllZHZhY2hlLCBDJiMyMzM7bGluZTwvYXV0aG9yPjxhdXRob3I+Q2hpY2hlLCBMYXVyZW5jZTwvYXV0aG9yPjxhdXRob3I+QWRhbSwgSmVhbiBQaGlsaXBwZTwvYXV0aG9yPjxhdXRob3I+U2FsYW0mIzIzMzssIEVwaHJlbTwvYXV0aG9yPjxhdXRob3I+QnVjdXIsIFBldHJ1PC9hdXRob3I+PGF1dGhvcj5DaGVycXVpLCBEYW5pZWw8L2F1dGhvcj48YXV0aG9yPlNjYXR0b24sIE9saXZpZXI8L2F1dGhvcj48YXV0aG9yPkdyYW5nZXIsIFZpY3RvaXJlPC9hdXRob3I+PGF1dGhvcj5EdWNyZXV4LCBNaWNoZWw8L2F1dGhvcj48YXV0aG9yPkNpbGxvLCBVbWJlcnRvPC9hdXRob3I+PGF1dGhvcj5DYXVjaHksIEZyYW4mIzIzMTtvaXM8L2F1dGhvcj48YXV0aG9yPk1hYnJ1dCwgSmVhbi1ZdmVzPC9hdXRob3I+PGF1dGhvcj5WZXJzbHlwZSwgQ2hyaXM8L2F1dGhvcj48YXV0aG9yPkNvdWJlYXUsIExhdXJlbnQ8L2F1dGhvcj48YXV0aG9yPkhhcmR3aWdzZW4sIEplYW48L2F1dGhvcj48YXV0aG9yPkJvbGVzbGF3c2tpLCBFbW1hbnVlbDwvYXV0aG9yPjxhdXRob3I+TXVzY2FyaSwgRmFicmljZTwvYXV0aG9yPjxhdXRob3I+SmVkZG91LCBIZWl0aGVtPC9hdXRob3I+PGF1dGhvcj5QZXpldCwgRGVuaXM8L2F1dGhvcj48YXV0aG9yPkhleWQsIEJydW5vPC9hdXRob3I+PGF1dGhvcj5MdWNpZGksIFZhbGVyaW88L2F1dGhvcj48YXV0aG9yPkdlYm9lcywgS2FyZW48L2F1dGhvcj48YXV0aG9yPkxlcnV0LCBKYW48L2F1dGhvcj48YXV0aG9yPk1ham5vLCBQaWV0cm88L2F1dGhvcj48YXV0aG9yPkdyaW1hbGRpLCBMYW1pYWU8L2F1dGhvcj48YXV0aG9yPkxldmksIEZyYW5jaXM8L2F1dGhvcj48YXV0aG9yPkxld2luLCBNYSYjMjM5O3QmIzIzMzs8L2F1dGhvcj48YXV0aG9yPkdlbGxpLCBNYXhpbWlsaWFubzwvYXV0aG9yPjxhdXRob3I+Q29sbGFib3JhdGl2ZSBUcmFuc01ldCBncm91cCw8L2F1dGhvcj48L2F1dGhvcnM+PC9jb250cmlidXRvcnM+PHRpdGxlcz48dGl0bGU+TGl2ZXIgdHJhbnNwbGFudGF0aW9uIHBsdXMgY2hlbW90aGVyYXB5IHZlcnN1cyBjaGVtb3RoZXJhcHkgYWxvbmUgaW4gcGF0aWVudHMgd2l0aCBwZXJtYW5lbnRseSB1bnJlc2VjdGFibGUgY29sb3JlY3RhbCBsaXZlciBtZXRhc3Rhc2VzIChUcmFuc01ldCk6IHJlc3VsdHMgZnJvbSBhIG11bHRpY2VudHJlLCBvcGVuLWxhYmVsLCBwcm9zcGVjdGl2ZSwgcmFuZG9taXNlZCBjb250cm9sbGVkIHRyaWFsPC90aXRsZT48c2Vjb25kYXJ5LXRpdGxlPkxhbmNldCAoTG9uZG9uLCBFbmdsYW5kKTwvc2Vjb25kYXJ5LXRpdGxlPjwvdGl0bGVzPjxwZXJpb2RpY2FsPjxmdWxsLXRpdGxlPkxhbmNldCAoTG9uZG9uLCBFbmdsYW5kKTwvZnVsbC10aXRsZT48L3BlcmlvZGljYWw+PGRhdGVzPjx5ZWFyPjIwMjQ8L3llYXI+PC9kYXRlcz48dm9sdW1lPjQwNDwvdm9sdW1lPjxudW1iZXI+MTA0NTg8L251bWJlcj48cGFnZXM+MTEwNy0xMTE4PC9wYWdlcz48ZWxlY3Ryb25pYy1yZXNvdXJjZS1udW0+MTAuMTAxNi9TMDE0MC02NzM2KDI0KTAxNTk1LTI8L2VsZWN0cm9uaWMtcmVzb3VyY2UtbnVtPjxub3Rlcz5NdWx0aWNlbnRlciByYW5kb21pemVkIHRyaWFsIENvbXBsZXRlIGxvY2FsIHByaW1hcnkgUERGIGF2YWlsYWJsZTsgcmVsZXZhbnQgbWV0aG9kcywgc2VsZWN0aW9uLCByZXN1bHRzIGFuZCBsaW1pdGF0aW9ucyByZXZpZXdlZCA5NCByYW5kb21pemVkLCA0NyBwZXIgYXJtOyBmaXZlLXllYXIgSVRUIE9TIDU2LjYlIHZzIDEyLjYlLiBOYXJyb3dseSBzZWxlY3RlZCwgQlJBRi1ub25tdXRhdGVkLCBFQ09HIDAmIzgyMTE7MSwgUjAgcHJpbWFyeSwgYXQgbW9zdCB0aHJlZSBsaW5lcy4gQmFzZWxpbmUgYW5kIHRyZWF0ZWQgbGVzaW9uIG1hcHMgaW5mb3JtZWQgdW5yZXNlY3RhYmlsaXR5Ljwvbm90ZXM+PHVybHM+PHJlbGF0ZWQtdXJscz48dXJsPmh0dHBzOi8vZG9pLm9yZy8xMC4xMDE2L1MwMTQwLTY3MzYoMjQpMDE1OTUtMj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p>
    <w:p>
      <w:pPr>
        <w:pStyle w:val="Normal"/>
        <w:widowControl/>
        <w:numPr>
          <w:ilvl w:val="0"/>
          <w:numId w:val="3"/>
        </w:numPr>
      </w:pPr>
      <w:r>
        <w:t xml:space="preserve">Complete abdominal exploration at laparotomy with frozen section of any suspicious lymph nodes</w:t>
      </w:r>
      <w:r>
        <w:t xml:space="preserve"> </w:t>
      </w:r>
      <w:r>
        <w:t xml:space="preserve"> </w:t>
      </w:r>
      <w:r>
        <w:fldChar w:fldCharType="begin"/>
      </w:r>
      <w:r>
        <w:instrText xml:space="preserve"> ADDIN EN.CITE </w:instrText>
      </w:r>
      <w:r>
        <w:fldChar w:fldCharType="begin">
          <w:fldData>PEVuZE5vdGU+PENpdGU+PEF1dGhvcj5BZGFtPC9BdXRob3I+PFllYXI+MjAyNDwvWWVhcj48UmVjTnVtPjE0PC9SZWNOdW0+PERpc3BsYXlUZXh0PltWMTItMTRdPC9EaXNwbGF5VGV4dD48cmVjb3JkPjxyZWMtbnVtYmVyPjE0PC9yZWMtbnVtYmVyPjxmb3JlaWduLWtleXM+PGtleSBhcHA9IkVOIiBkYi1pZD0iY2UxZWYzYjEtNDY1MS01NzQzLWFjOTEtNjk5NWVjNTdhYmJmIiB0aW1lc3RhbXA9IjE3OTI5MjEwODYiPjE0PC9rZXk+PC9mb3JlaWduLWtleXM+PHJlZi10eXBlIG5hbWU9IkpvdXJuYWwgQXJ0aWNsZSI+MTc8L3JlZi10eXBlPjxjb250cmlidXRvcnM+PGF1dGhvcnM+PGF1dGhvcj5BZGFtLCBSZW4mIzIzMzs8L2F1dGhvcj48YXV0aG9yPkJhZHJ1ZGluLCBEYXZpZDwvYXV0aG9yPjxhdXRob3I+Q2hpY2hlLCBMYXVyZW5jZTwvYXV0aG9yPjxhdXRob3I+QnVjdXIsIFBldHJ1PC9hdXRob3I+PGF1dGhvcj5TY2F0dG9uLCBPbGl2aWVyPC9hdXRob3I+PGF1dGhvcj5HcmFuZ2VyLCBWaWN0b2lyZTwvYXV0aG9yPjxhdXRob3I+RHVjcmV1eCwgTWljaGVsPC9hdXRob3I+PGF1dGhvcj5DaWxsbywgVW1iZXJ0bzwvYXV0aG9yPjxhdXRob3I+Q2F1Y2h5LCBGcmFuJiMyMzE7b2lzPC9hdXRob3I+PGF1dGhvcj5MZXN1cnRlbCwgTWlja2FlbDwvYXV0aG9yPjxhdXRob3I+TWFicnV0LCBKZWFuLVl2ZXM8L2F1dGhvcj48YXV0aG9yPlZlcnNseXBlLCBDaHJpczwvYXV0aG9yPjxhdXRob3I+Q291YmVhdSwgTGF1cmVudDwvYXV0aG9yPjxhdXRob3I+SGFyZHdpZ3NlbiwgSmVhbjwvYXV0aG9yPjxhdXRob3I+Qm9sZXNsYXdza2ksIEVtbWFudWVsPC9hdXRob3I+PGF1dGhvcj5NdXNjYXJpLCBGYWJyaWNlPC9hdXRob3I+PGF1dGhvcj5KZWRkb3UsIEhlaXRoZW08L2F1dGhvcj48YXV0aG9yPlBlemV0LCBEZW5pczwvYXV0aG9yPjxhdXRob3I+SGV5ZCwgQnJ1bm88L2F1dGhvcj48YXV0aG9yPkx1Y2lkaSwgVmFsZXJpbzwvYXV0aG9yPjxhdXRob3I+R2Vib2VzLCBLYXJlbjwvYXV0aG9yPjxhdXRob3I+TGVydXQsIEphbjwvYXV0aG9yPjxhdXRob3I+TWFqbm8sIFBpZXRybzwvYXV0aG9yPjxhdXRob3I+R3JpbWFsZGksIExhbWlhZTwvYXV0aG9yPjxhdXRob3I+Qm91a2hlZG91bmksIE5hZGppYTwvYXV0aG9yPjxhdXRob3I+UGllZHZhY2hlLCBDJiMyMzM7bGluZTwvYXV0aG9yPjxhdXRob3I+R2VsbGksIE1heGltaWxpYW5vPC9hdXRob3I+PGF1dGhvcj5MZXZpLCBGcmFuY2lzPC9hdXRob3I+PGF1dGhvcj5MZXdpbiwgTWEmIzIzOTt0JiMyMzM7PC9hdXRob3I+PC9hdXRob3JzPjwvY29udHJpYnV0b3JzPjx0aXRsZXM+PHRpdGxlPlNhZmV0eSBhbmQgZmVhc2liaWxpdHkgb2YgY2hlbW90aGVyYXB5IGZvbGxvd2VkIGJ5IGxpdmVyIHRyYW5zcGxhbnRhdGlvbiBmb3IgcGF0aWVudHMgd2l0aCBkZWZpbml0ZWx5IHVucmVzZWN0YWJsZSBjb2xvcmVjdGFsIGxpdmVyIG1ldGFzdGFzZXM6IGluc2lnaHRzIGZyb20gdGhlIFRyYW5zTWV0IHJhbmRvbWlzZWQgY2xpbmljYWwgdHJpYWw8L3RpdGxlPjxzZWNvbmRhcnktdGl0bGU+ZUNsaW5pY2FsTWVkaWNpbmU8L3NlY29uZGFyeS10aXRsZT48L3RpdGxlcz48cGVyaW9kaWNhbD48ZnVsbC10aXRsZT5lQ2xpbmljYWxNZWRpY2luZTwvZnVsbC10aXRsZT48L3BlcmlvZGljYWw+PGRhdGVzPjx5ZWFyPjIwMjQ8L3llYXI+PC9kYXRlcz48dm9sdW1lPjcyPC92b2x1bWU+PHBhZ2VzPjEwMjYwODwvcGFnZXM+PGVsZWN0cm9uaWMtcmVzb3VyY2UtbnVtPjEwLjEwMTYvai5lY2xpbm0uMjAyNC4xMDI2MDg8L2VsZWN0cm9uaWMtcmVzb3VyY2UtbnVtPjxub3Rlcz5FeGlzdGluZyBzdGFuZGFyZC1wcm90b2NvbCByZWZlcmVuY2UgQ29tcGxldGUgdGVuLXBhZ2Ugb3Blbi1hY2Nlc3MgcHJpbWFyeSBhcnRpY2xlIHJlYWQ7IG1hdGNoZWQgaW5kZXggUERGIHJlamVjdGVkIGFuZCBhY3R1YWwgY29tcGxldGUgYXJ0aWNsZSBsb2NhdGVkLiBWOCBleHRyYWN0aW9uIGFuZCBsaW1pdGF0aW9uczogc291cmNlL21ldGFzdGFzZXNfc3RhbmRhcmRfc3VwcGxlbWVudC5qc29uPC9ub3Rlcz48dXJscz48cmVsYXRlZC11cmxzPjx1cmw+aHR0cHM6Ly9wdWJtZWQubmNiaS5ubG0ubmloLmdvdi8zODcyMTAxNTwvdXJsPjwvcmVsYXRlZC11cmxzPjxwZGYtdXJscy8+PC91cmxzPjwvcmVjb3JkPjwvQ2l0ZT48L0VuZE5vdGU+</w:fldData>
        </w:fldChar>
      </w:r>
      <w:r>
        <w:instrText xml:space="preserve"> ADDIN EN.CITE.DATA </w:instrText>
      </w:r>
      <w:r>
        <w:fldChar w:fldCharType="end"/>
      </w:r>
      <w:r>
        <w:fldChar w:fldCharType="separate"/>
      </w:r>
      <w:r>
        <w:t xml:space="preserve">[V12-14]</w:t>
      </w:r>
      <w:r>
        <w:fldChar w:fldCharType="end"/>
      </w:r>
    </w:p>
    <w:p>
      <w:pPr>
        <w:pStyle w:val="Normal"/>
        <w:widowControl/>
        <w:numPr>
          <w:ilvl w:val="0"/>
          <w:numId w:val="3"/>
        </w:numPr>
      </w:pPr>
      <w:r>
        <w:t xml:space="preserve">If extrahepatic disease is identified at exploration, transplant is aborted</w:t>
      </w:r>
    </w:p>
    <w:p>
      <w:pPr>
        <w:pStyle w:val="Normal"/>
        <w:widowControl/>
        <w:numPr>
          <w:ilvl w:val="0"/>
          <w:numId w:val="3"/>
        </w:numPr>
      </w:pPr>
      <w:r>
        <w:t xml:space="preserve">At transplantation, explore the abdomen and assess suspicious deposits and regional/pedicle nodes with pathology, including frozen section when indicated; metastatic nodal or extrahepatic disease should halt the guidance-aligned oncologic transplant plan. The extent of any systematic portal lymphadenectomy requires a separately documented surgical protocol; it is not established as mandatory by TransMet or by an ASCO abstract.</w:t>
      </w:r>
      <w:r>
        <w:t xml:space="preserve"> </w:t>
      </w:r>
      <w:r>
        <w:t xml:space="preserve"> </w:t>
      </w:r>
      <w:r>
        <w:fldChar w:fldCharType="begin"/>
      </w:r>
      <w:r>
        <w:instrText xml:space="preserve"> ADDIN EN.CITE </w:instrText>
      </w:r>
      <w:r>
        <w:fldChar w:fldCharType="begin">
          <w:fldData>PEVuZE5vdGU+PENpdGU+PEF1dGhvcj5BZGFtPC9BdXRob3I+PFllYXI+MjAyNDwvWWVhcj48UmVjTnVtPjM8L1JlY051bT48RGlzcGxheVRleHQ+W1YxMi0zXTwvRGlzcGxheVRleHQ+PHJlY29yZD48cmVjLW51bWJlcj4zPC9yZWMtbnVtYmVyPjxmb3JlaWduLWtleXM+PGtleSBhcHA9IkVOIiBkYi1pZD0iY2UxZWYzYjEtNDY1MS01NzQzLWFjOTEtNjk5NWVjNTdhYmJmIiB0aW1lc3RhbXA9IjE3OTI5MjEwODYiPjM8L2tleT48L2ZvcmVpZ24ta2V5cz48cmVmLXR5cGUgbmFtZT0iSm91cm5hbCBBcnRpY2xlIj4xNzwvcmVmLXR5cGU+PGNvbnRyaWJ1dG9ycz48YXV0aG9ycz48YXV0aG9yPkFkYW0sIFJlbiYjMjMzOzwvYXV0aG9yPjxhdXRob3I+UGllZHZhY2hlLCBDJiMyMzM7bGluZTwvYXV0aG9yPjxhdXRob3I+Q2hpY2hlLCBMYXVyZW5jZTwvYXV0aG9yPjxhdXRob3I+QWRhbSwgSmVhbiBQaGlsaXBwZTwvYXV0aG9yPjxhdXRob3I+U2FsYW0mIzIzMzssIEVwaHJlbTwvYXV0aG9yPjxhdXRob3I+QnVjdXIsIFBldHJ1PC9hdXRob3I+PGF1dGhvcj5DaGVycXVpLCBEYW5pZWw8L2F1dGhvcj48YXV0aG9yPlNjYXR0b24sIE9saXZpZXI8L2F1dGhvcj48YXV0aG9yPkdyYW5nZXIsIFZpY3RvaXJlPC9hdXRob3I+PGF1dGhvcj5EdWNyZXV4LCBNaWNoZWw8L2F1dGhvcj48YXV0aG9yPkNpbGxvLCBVbWJlcnRvPC9hdXRob3I+PGF1dGhvcj5DYXVjaHksIEZyYW4mIzIzMTtvaXM8L2F1dGhvcj48YXV0aG9yPk1hYnJ1dCwgSmVhbi1ZdmVzPC9hdXRob3I+PGF1dGhvcj5WZXJzbHlwZSwgQ2hyaXM8L2F1dGhvcj48YXV0aG9yPkNvdWJlYXUsIExhdXJlbnQ8L2F1dGhvcj48YXV0aG9yPkhhcmR3aWdzZW4sIEplYW48L2F1dGhvcj48YXV0aG9yPkJvbGVzbGF3c2tpLCBFbW1hbnVlbDwvYXV0aG9yPjxhdXRob3I+TXVzY2FyaSwgRmFicmljZTwvYXV0aG9yPjxhdXRob3I+SmVkZG91LCBIZWl0aGVtPC9hdXRob3I+PGF1dGhvcj5QZXpldCwgRGVuaXM8L2F1dGhvcj48YXV0aG9yPkhleWQsIEJydW5vPC9hdXRob3I+PGF1dGhvcj5MdWNpZGksIFZhbGVyaW88L2F1dGhvcj48YXV0aG9yPkdlYm9lcywgS2FyZW48L2F1dGhvcj48YXV0aG9yPkxlcnV0LCBKYW48L2F1dGhvcj48YXV0aG9yPk1ham5vLCBQaWV0cm88L2F1dGhvcj48YXV0aG9yPkdyaW1hbGRpLCBMYW1pYWU8L2F1dGhvcj48YXV0aG9yPkxldmksIEZyYW5jaXM8L2F1dGhvcj48YXV0aG9yPkxld2luLCBNYSYjMjM5O3QmIzIzMzs8L2F1dGhvcj48YXV0aG9yPkdlbGxpLCBNYXhpbWlsaWFubzwvYXV0aG9yPjxhdXRob3I+Q29sbGFib3JhdGl2ZSBUcmFuc01ldCBncm91cCw8L2F1dGhvcj48L2F1dGhvcnM+PC9jb250cmlidXRvcnM+PHRpdGxlcz48dGl0bGU+TGl2ZXIgdHJhbnNwbGFudGF0aW9uIHBsdXMgY2hlbW90aGVyYXB5IHZlcnN1cyBjaGVtb3RoZXJhcHkgYWxvbmUgaW4gcGF0aWVudHMgd2l0aCBwZXJtYW5lbnRseSB1bnJlc2VjdGFibGUgY29sb3JlY3RhbCBsaXZlciBtZXRhc3Rhc2VzIChUcmFuc01ldCk6IHJlc3VsdHMgZnJvbSBhIG11bHRpY2VudHJlLCBvcGVuLWxhYmVsLCBwcm9zcGVjdGl2ZSwgcmFuZG9taXNlZCBjb250cm9sbGVkIHRyaWFsPC90aXRsZT48c2Vjb25kYXJ5LXRpdGxlPkxhbmNldCAoTG9uZG9uLCBFbmdsYW5kKTwvc2Vjb25kYXJ5LXRpdGxlPjwvdGl0bGVzPjxwZXJpb2RpY2FsPjxmdWxsLXRpdGxlPkxhbmNldCAoTG9uZG9uLCBFbmdsYW5kKTwvZnVsbC10aXRsZT48L3BlcmlvZGljYWw+PGRhdGVzPjx5ZWFyPjIwMjQ8L3llYXI+PC9kYXRlcz48dm9sdW1lPjQwNDwvdm9sdW1lPjxudW1iZXI+MTA0NTg8L251bWJlcj48cGFnZXM+MTEwNy0xMTE4PC9wYWdlcz48ZWxlY3Ryb25pYy1yZXNvdXJjZS1udW0+MTAuMTAxNi9TMDE0MC02NzM2KDI0KTAxNTk1LTI8L2VsZWN0cm9uaWMtcmVzb3VyY2UtbnVtPjxub3Rlcz5NdWx0aWNlbnRlciByYW5kb21pemVkIHRyaWFsIENvbXBsZXRlIGxvY2FsIHByaW1hcnkgUERGIGF2YWlsYWJsZTsgcmVsZXZhbnQgbWV0aG9kcywgc2VsZWN0aW9uLCByZXN1bHRzIGFuZCBsaW1pdGF0aW9ucyByZXZpZXdlZCA5NCByYW5kb21pemVkLCA0NyBwZXIgYXJtOyBmaXZlLXllYXIgSVRUIE9TIDU2LjYlIHZzIDEyLjYlLiBOYXJyb3dseSBzZWxlY3RlZCwgQlJBRi1ub25tdXRhdGVkLCBFQ09HIDAmIzgyMTE7MSwgUjAgcHJpbWFyeSwgYXQgbW9zdCB0aHJlZSBsaW5lcy4gQmFzZWxpbmUgYW5kIHRyZWF0ZWQgbGVzaW9uIG1hcHMgaW5mb3JtZWQgdW5yZXNlY3RhYmlsaXR5Ljwvbm90ZXM+PHVybHM+PHJlbGF0ZWQtdXJscz48dXJsPmh0dHBzOi8vZG9pLm9yZy8xMC4xMDE2L1MwMTQwLTY3MzYoMjQpMDE1OTUtMj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r>
        <w:t xml:space="preserve"> </w:t>
      </w:r>
      <w:r>
        <w:t xml:space="preserve"> </w:t>
      </w:r>
      <w:r>
        <w:fldChar w:fldCharType="begin"/>
      </w:r>
      <w:r>
        <w:instrText xml:space="preserve"> ADDIN EN.CITE </w:instrText>
      </w:r>
      <w:r>
        <w:fldChar w:fldCharType="begin">
          <w:fldData>PEVuZE5vdGU+PENpdGU+PEF1dGhvcj5BZGFtPC9BdXRob3I+PFllYXI+MjAyNDwvWWVhcj48UmVjTnVtPjE0PC9SZWNOdW0+PERpc3BsYXlUZXh0PltWMTItMTRdPC9EaXNwbGF5VGV4dD48cmVjb3JkPjxyZWMtbnVtYmVyPjE0PC9yZWMtbnVtYmVyPjxmb3JlaWduLWtleXM+PGtleSBhcHA9IkVOIiBkYi1pZD0iY2UxZWYzYjEtNDY1MS01NzQzLWFjOTEtNjk5NWVjNTdhYmJmIiB0aW1lc3RhbXA9IjE3OTI5MjEwODYiPjE0PC9rZXk+PC9mb3JlaWduLWtleXM+PHJlZi10eXBlIG5hbWU9IkpvdXJuYWwgQXJ0aWNsZSI+MTc8L3JlZi10eXBlPjxjb250cmlidXRvcnM+PGF1dGhvcnM+PGF1dGhvcj5BZGFtLCBSZW4mIzIzMzs8L2F1dGhvcj48YXV0aG9yPkJhZHJ1ZGluLCBEYXZpZDwvYXV0aG9yPjxhdXRob3I+Q2hpY2hlLCBMYXVyZW5jZTwvYXV0aG9yPjxhdXRob3I+QnVjdXIsIFBldHJ1PC9hdXRob3I+PGF1dGhvcj5TY2F0dG9uLCBPbGl2aWVyPC9hdXRob3I+PGF1dGhvcj5HcmFuZ2VyLCBWaWN0b2lyZTwvYXV0aG9yPjxhdXRob3I+RHVjcmV1eCwgTWljaGVsPC9hdXRob3I+PGF1dGhvcj5DaWxsbywgVW1iZXJ0bzwvYXV0aG9yPjxhdXRob3I+Q2F1Y2h5LCBGcmFuJiMyMzE7b2lzPC9hdXRob3I+PGF1dGhvcj5MZXN1cnRlbCwgTWlja2FlbDwvYXV0aG9yPjxhdXRob3I+TWFicnV0LCBKZWFuLVl2ZXM8L2F1dGhvcj48YXV0aG9yPlZlcnNseXBlLCBDaHJpczwvYXV0aG9yPjxhdXRob3I+Q291YmVhdSwgTGF1cmVudDwvYXV0aG9yPjxhdXRob3I+SGFyZHdpZ3NlbiwgSmVhbjwvYXV0aG9yPjxhdXRob3I+Qm9sZXNsYXdza2ksIEVtbWFudWVsPC9hdXRob3I+PGF1dGhvcj5NdXNjYXJpLCBGYWJyaWNlPC9hdXRob3I+PGF1dGhvcj5KZWRkb3UsIEhlaXRoZW08L2F1dGhvcj48YXV0aG9yPlBlemV0LCBEZW5pczwvYXV0aG9yPjxhdXRob3I+SGV5ZCwgQnJ1bm88L2F1dGhvcj48YXV0aG9yPkx1Y2lkaSwgVmFsZXJpbzwvYXV0aG9yPjxhdXRob3I+R2Vib2VzLCBLYXJlbjwvYXV0aG9yPjxhdXRob3I+TGVydXQsIEphbjwvYXV0aG9yPjxhdXRob3I+TWFqbm8sIFBpZXRybzwvYXV0aG9yPjxhdXRob3I+R3JpbWFsZGksIExhbWlhZTwvYXV0aG9yPjxhdXRob3I+Qm91a2hlZG91bmksIE5hZGppYTwvYXV0aG9yPjxhdXRob3I+UGllZHZhY2hlLCBDJiMyMzM7bGluZTwvYXV0aG9yPjxhdXRob3I+R2VsbGksIE1heGltaWxpYW5vPC9hdXRob3I+PGF1dGhvcj5MZXZpLCBGcmFuY2lzPC9hdXRob3I+PGF1dGhvcj5MZXdpbiwgTWEmIzIzOTt0JiMyMzM7PC9hdXRob3I+PC9hdXRob3JzPjwvY29udHJpYnV0b3JzPjx0aXRsZXM+PHRpdGxlPlNhZmV0eSBhbmQgZmVhc2liaWxpdHkgb2YgY2hlbW90aGVyYXB5IGZvbGxvd2VkIGJ5IGxpdmVyIHRyYW5zcGxhbnRhdGlvbiBmb3IgcGF0aWVudHMgd2l0aCBkZWZpbml0ZWx5IHVucmVzZWN0YWJsZSBjb2xvcmVjdGFsIGxpdmVyIG1ldGFzdGFzZXM6IGluc2lnaHRzIGZyb20gdGhlIFRyYW5zTWV0IHJhbmRvbWlzZWQgY2xpbmljYWwgdHJpYWw8L3RpdGxlPjxzZWNvbmRhcnktdGl0bGU+ZUNsaW5pY2FsTWVkaWNpbmU8L3NlY29uZGFyeS10aXRsZT48L3RpdGxlcz48cGVyaW9kaWNhbD48ZnVsbC10aXRsZT5lQ2xpbmljYWxNZWRpY2luZTwvZnVsbC10aXRsZT48L3BlcmlvZGljYWw+PGRhdGVzPjx5ZWFyPjIwMjQ8L3llYXI+PC9kYXRlcz48dm9sdW1lPjcyPC92b2x1bWU+PHBhZ2VzPjEwMjYwODwvcGFnZXM+PGVsZWN0cm9uaWMtcmVzb3VyY2UtbnVtPjEwLjEwMTYvai5lY2xpbm0uMjAyNC4xMDI2MDg8L2VsZWN0cm9uaWMtcmVzb3VyY2UtbnVtPjxub3Rlcz5FeGlzdGluZyBzdGFuZGFyZC1wcm90b2NvbCByZWZlcmVuY2UgQ29tcGxldGUgdGVuLXBhZ2Ugb3Blbi1hY2Nlc3MgcHJpbWFyeSBhcnRpY2xlIHJlYWQ7IG1hdGNoZWQgaW5kZXggUERGIHJlamVjdGVkIGFuZCBhY3R1YWwgY29tcGxldGUgYXJ0aWNsZSBsb2NhdGVkLiBWOCBleHRyYWN0aW9uIGFuZCBsaW1pdGF0aW9uczogc291cmNlL21ldGFzdGFzZXNfc3RhbmRhcmRfc3VwcGxlbWVudC5qc29uPC9ub3Rlcz48dXJscz48cmVsYXRlZC11cmxzPjx1cmw+aHR0cHM6Ly9wdWJtZWQubmNiaS5ubG0ubmloLmdvdi8zODcyMTAxNTwvdXJsPjwvcmVsYXRlZC11cmxzPjxwZGYtdXJscy8+PC91cmxzPjwvcmVjb3JkPjwvQ2l0ZT48L0VuZE5vdGU+</w:fldData>
        </w:fldChar>
      </w:r>
      <w:r>
        <w:instrText xml:space="preserve"> ADDIN EN.CITE.DATA </w:instrText>
      </w:r>
      <w:r>
        <w:fldChar w:fldCharType="end"/>
      </w:r>
      <w:r>
        <w:fldChar w:fldCharType="separate"/>
      </w:r>
      <w:r>
        <w:t xml:space="preserve">[V12-14]</w:t>
      </w:r>
      <w:r>
        <w:fldChar w:fldCharType="end"/>
      </w:r>
    </w:p>
    <w:p>
      <w:pPr>
        <w:pStyle w:val="Heading3"/>
        <w:keepNext/>
        <w:widowControl/>
      </w:pPr>
      <w:r>
        <w:t xml:space="preserve">7. Post-Transplant Immunosuppression</w:t>
      </w:r>
    </w:p>
    <w:p>
      <w:pPr>
        <w:pStyle w:val="Normal"/>
        <w:widowControl/>
      </w:pPr>
      <w:r>
        <w:t xml:space="preserve">Medication management — institutional LT and transplant-pharmacy protocol, not a copied trial prescription:</w:t>
      </w:r>
      <w:r>
        <w:t xml:space="preserve"> </w:t>
      </w:r>
      <w:r>
        <w:t xml:space="preserve"> </w:t>
      </w:r>
      <w:r>
        <w:fldChar w:fldCharType="begin"/>
      </w:r>
      <w:r>
        <w:instrText xml:space="preserve"> ADDIN EN.CITE </w:instrText>
      </w:r>
      <w:r>
        <w:fldChar w:fldCharType="begin">
          <w:fldData>PEVuZE5vdGU+PENpdGU+PEF1dGhvcj5BZGFtPC9BdXRob3I+PFllYXI+MjAyNDwvWWVhcj48UmVjTnVtPjM8L1JlY051bT48RGlzcGxheVRleHQ+W1YxMi0zXTwvRGlzcGxheVRleHQ+PHJlY29yZD48cmVjLW51bWJlcj4zPC9yZWMtbnVtYmVyPjxmb3JlaWduLWtleXM+PGtleSBhcHA9IkVOIiBkYi1pZD0iY2UxZWYzYjEtNDY1MS01NzQzLWFjOTEtNjk5NWVjNTdhYmJmIiB0aW1lc3RhbXA9IjE3OTI5MjEwODYiPjM8L2tleT48L2ZvcmVpZ24ta2V5cz48cmVmLXR5cGUgbmFtZT0iSm91cm5hbCBBcnRpY2xlIj4xNzwvcmVmLXR5cGU+PGNvbnRyaWJ1dG9ycz48YXV0aG9ycz48YXV0aG9yPkFkYW0sIFJlbiYjMjMzOzwvYXV0aG9yPjxhdXRob3I+UGllZHZhY2hlLCBDJiMyMzM7bGluZTwvYXV0aG9yPjxhdXRob3I+Q2hpY2hlLCBMYXVyZW5jZTwvYXV0aG9yPjxhdXRob3I+QWRhbSwgSmVhbiBQaGlsaXBwZTwvYXV0aG9yPjxhdXRob3I+U2FsYW0mIzIzMzssIEVwaHJlbTwvYXV0aG9yPjxhdXRob3I+QnVjdXIsIFBldHJ1PC9hdXRob3I+PGF1dGhvcj5DaGVycXVpLCBEYW5pZWw8L2F1dGhvcj48YXV0aG9yPlNjYXR0b24sIE9saXZpZXI8L2F1dGhvcj48YXV0aG9yPkdyYW5nZXIsIFZpY3RvaXJlPC9hdXRob3I+PGF1dGhvcj5EdWNyZXV4LCBNaWNoZWw8L2F1dGhvcj48YXV0aG9yPkNpbGxvLCBVbWJlcnRvPC9hdXRob3I+PGF1dGhvcj5DYXVjaHksIEZyYW4mIzIzMTtvaXM8L2F1dGhvcj48YXV0aG9yPk1hYnJ1dCwgSmVhbi1ZdmVzPC9hdXRob3I+PGF1dGhvcj5WZXJzbHlwZSwgQ2hyaXM8L2F1dGhvcj48YXV0aG9yPkNvdWJlYXUsIExhdXJlbnQ8L2F1dGhvcj48YXV0aG9yPkhhcmR3aWdzZW4sIEplYW48L2F1dGhvcj48YXV0aG9yPkJvbGVzbGF3c2tpLCBFbW1hbnVlbDwvYXV0aG9yPjxhdXRob3I+TXVzY2FyaSwgRmFicmljZTwvYXV0aG9yPjxhdXRob3I+SmVkZG91LCBIZWl0aGVtPC9hdXRob3I+PGF1dGhvcj5QZXpldCwgRGVuaXM8L2F1dGhvcj48YXV0aG9yPkhleWQsIEJydW5vPC9hdXRob3I+PGF1dGhvcj5MdWNpZGksIFZhbGVyaW88L2F1dGhvcj48YXV0aG9yPkdlYm9lcywgS2FyZW48L2F1dGhvcj48YXV0aG9yPkxlcnV0LCBKYW48L2F1dGhvcj48YXV0aG9yPk1ham5vLCBQaWV0cm88L2F1dGhvcj48YXV0aG9yPkdyaW1hbGRpLCBMYW1pYWU8L2F1dGhvcj48YXV0aG9yPkxldmksIEZyYW5jaXM8L2F1dGhvcj48YXV0aG9yPkxld2luLCBNYSYjMjM5O3QmIzIzMzs8L2F1dGhvcj48YXV0aG9yPkdlbGxpLCBNYXhpbWlsaWFubzwvYXV0aG9yPjxhdXRob3I+Q29sbGFib3JhdGl2ZSBUcmFuc01ldCBncm91cCw8L2F1dGhvcj48L2F1dGhvcnM+PC9jb250cmlidXRvcnM+PHRpdGxlcz48dGl0bGU+TGl2ZXIgdHJhbnNwbGFudGF0aW9uIHBsdXMgY2hlbW90aGVyYXB5IHZlcnN1cyBjaGVtb3RoZXJhcHkgYWxvbmUgaW4gcGF0aWVudHMgd2l0aCBwZXJtYW5lbnRseSB1bnJlc2VjdGFibGUgY29sb3JlY3RhbCBsaXZlciBtZXRhc3Rhc2VzIChUcmFuc01ldCk6IHJlc3VsdHMgZnJvbSBhIG11bHRpY2VudHJlLCBvcGVuLWxhYmVsLCBwcm9zcGVjdGl2ZSwgcmFuZG9taXNlZCBjb250cm9sbGVkIHRyaWFsPC90aXRsZT48c2Vjb25kYXJ5LXRpdGxlPkxhbmNldCAoTG9uZG9uLCBFbmdsYW5kKTwvc2Vjb25kYXJ5LXRpdGxlPjwvdGl0bGVzPjxwZXJpb2RpY2FsPjxmdWxsLXRpdGxlPkxhbmNldCAoTG9uZG9uLCBFbmdsYW5kKTwvZnVsbC10aXRsZT48L3BlcmlvZGljYWw+PGRhdGVzPjx5ZWFyPjIwMjQ8L3llYXI+PC9kYXRlcz48dm9sdW1lPjQwNDwvdm9sdW1lPjxudW1iZXI+MTA0NTg8L251bWJlcj48cGFnZXM+MTEwNy0xMTE4PC9wYWdlcz48ZWxlY3Ryb25pYy1yZXNvdXJjZS1udW0+MTAuMTAxNi9TMDE0MC02NzM2KDI0KTAxNTk1LTI8L2VsZWN0cm9uaWMtcmVzb3VyY2UtbnVtPjxub3Rlcz5NdWx0aWNlbnRlciByYW5kb21pemVkIHRyaWFsIENvbXBsZXRlIGxvY2FsIHByaW1hcnkgUERGIGF2YWlsYWJsZTsgcmVsZXZhbnQgbWV0aG9kcywgc2VsZWN0aW9uLCByZXN1bHRzIGFuZCBsaW1pdGF0aW9ucyByZXZpZXdlZCA5NCByYW5kb21pemVkLCA0NyBwZXIgYXJtOyBmaXZlLXllYXIgSVRUIE9TIDU2LjYlIHZzIDEyLjYlLiBOYXJyb3dseSBzZWxlY3RlZCwgQlJBRi1ub25tdXRhdGVkLCBFQ09HIDAmIzgyMTE7MSwgUjAgcHJpbWFyeSwgYXQgbW9zdCB0aHJlZSBsaW5lcy4gQmFzZWxpbmUgYW5kIHRyZWF0ZWQgbGVzaW9uIG1hcHMgaW5mb3JtZWQgdW5yZXNlY3RhYmlsaXR5Ljwvbm90ZXM+PHVybHM+PHJlbGF0ZWQtdXJscz48dXJsPmh0dHBzOi8vZG9pLm9yZy8xMC4xMDE2L1MwMTQwLTY3MzYoMjQpMDE1OTUtMj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p>
    <w:p>
      <w:pPr>
        <w:pStyle w:val="Normal"/>
        <w:widowControl/>
        <w:numPr>
          <w:ilvl w:val="0"/>
          <w:numId w:val="3"/>
        </w:numPr>
      </w:pPr>
      <w:r>
        <w:t xml:space="preserve">Use the current signed institutional LT immunosuppression order set with transplant-pharmacy oversight. TransMet’s study regimen is descriptive and does not establish an oncologically superior CRLM regimen. Individualize induction, MMF duration, corticosteroid taper, CNI exposure and optional mTOR conversion; do not use this evidence summary as a stand-alone medication order.</w:t>
      </w:r>
      <w:r>
        <w:t xml:space="preserve"> </w:t>
      </w:r>
      <w:r>
        <w:t xml:space="preserve"> </w:t>
      </w:r>
      <w:r>
        <w:fldChar w:fldCharType="begin"/>
      </w:r>
      <w:r>
        <w:instrText xml:space="preserve"> ADDIN EN.CITE </w:instrText>
      </w:r>
      <w:r>
        <w:fldChar w:fldCharType="begin">
          <w:fldData>PEVuZE5vdGU+PENpdGU+PEF1dGhvcj5BZGFtPC9BdXRob3I+PFllYXI+MjAyNDwvWWVhcj48UmVjTnVtPjM8L1JlY051bT48RGlzcGxheVRleHQ+W1YxMi0zXTwvRGlzcGxheVRleHQ+PHJlY29yZD48cmVjLW51bWJlcj4zPC9yZWMtbnVtYmVyPjxmb3JlaWduLWtleXM+PGtleSBhcHA9IkVOIiBkYi1pZD0iY2UxZWYzYjEtNDY1MS01NzQzLWFjOTEtNjk5NWVjNTdhYmJmIiB0aW1lc3RhbXA9IjE3OTI5MjEwODYiPjM8L2tleT48L2ZvcmVpZ24ta2V5cz48cmVmLXR5cGUgbmFtZT0iSm91cm5hbCBBcnRpY2xlIj4xNzwvcmVmLXR5cGU+PGNvbnRyaWJ1dG9ycz48YXV0aG9ycz48YXV0aG9yPkFkYW0sIFJlbiYjMjMzOzwvYXV0aG9yPjxhdXRob3I+UGllZHZhY2hlLCBDJiMyMzM7bGluZTwvYXV0aG9yPjxhdXRob3I+Q2hpY2hlLCBMYXVyZW5jZTwvYXV0aG9yPjxhdXRob3I+QWRhbSwgSmVhbiBQaGlsaXBwZTwvYXV0aG9yPjxhdXRob3I+U2FsYW0mIzIzMzssIEVwaHJlbTwvYXV0aG9yPjxhdXRob3I+QnVjdXIsIFBldHJ1PC9hdXRob3I+PGF1dGhvcj5DaGVycXVpLCBEYW5pZWw8L2F1dGhvcj48YXV0aG9yPlNjYXR0b24sIE9saXZpZXI8L2F1dGhvcj48YXV0aG9yPkdyYW5nZXIsIFZpY3RvaXJlPC9hdXRob3I+PGF1dGhvcj5EdWNyZXV4LCBNaWNoZWw8L2F1dGhvcj48YXV0aG9yPkNpbGxvLCBVbWJlcnRvPC9hdXRob3I+PGF1dGhvcj5DYXVjaHksIEZyYW4mIzIzMTtvaXM8L2F1dGhvcj48YXV0aG9yPk1hYnJ1dCwgSmVhbi1ZdmVzPC9hdXRob3I+PGF1dGhvcj5WZXJzbHlwZSwgQ2hyaXM8L2F1dGhvcj48YXV0aG9yPkNvdWJlYXUsIExhdXJlbnQ8L2F1dGhvcj48YXV0aG9yPkhhcmR3aWdzZW4sIEplYW48L2F1dGhvcj48YXV0aG9yPkJvbGVzbGF3c2tpLCBFbW1hbnVlbDwvYXV0aG9yPjxhdXRob3I+TXVzY2FyaSwgRmFicmljZTwvYXV0aG9yPjxhdXRob3I+SmVkZG91LCBIZWl0aGVtPC9hdXRob3I+PGF1dGhvcj5QZXpldCwgRGVuaXM8L2F1dGhvcj48YXV0aG9yPkhleWQsIEJydW5vPC9hdXRob3I+PGF1dGhvcj5MdWNpZGksIFZhbGVyaW88L2F1dGhvcj48YXV0aG9yPkdlYm9lcywgS2FyZW48L2F1dGhvcj48YXV0aG9yPkxlcnV0LCBKYW48L2F1dGhvcj48YXV0aG9yPk1ham5vLCBQaWV0cm88L2F1dGhvcj48YXV0aG9yPkdyaW1hbGRpLCBMYW1pYWU8L2F1dGhvcj48YXV0aG9yPkxldmksIEZyYW5jaXM8L2F1dGhvcj48YXV0aG9yPkxld2luLCBNYSYjMjM5O3QmIzIzMzs8L2F1dGhvcj48YXV0aG9yPkdlbGxpLCBNYXhpbWlsaWFubzwvYXV0aG9yPjxhdXRob3I+Q29sbGFib3JhdGl2ZSBUcmFuc01ldCBncm91cCw8L2F1dGhvcj48L2F1dGhvcnM+PC9jb250cmlidXRvcnM+PHRpdGxlcz48dGl0bGU+TGl2ZXIgdHJhbnNwbGFudGF0aW9uIHBsdXMgY2hlbW90aGVyYXB5IHZlcnN1cyBjaGVtb3RoZXJhcHkgYWxvbmUgaW4gcGF0aWVudHMgd2l0aCBwZXJtYW5lbnRseSB1bnJlc2VjdGFibGUgY29sb3JlY3RhbCBsaXZlciBtZXRhc3Rhc2VzIChUcmFuc01ldCk6IHJlc3VsdHMgZnJvbSBhIG11bHRpY2VudHJlLCBvcGVuLWxhYmVsLCBwcm9zcGVjdGl2ZSwgcmFuZG9taXNlZCBjb250cm9sbGVkIHRyaWFsPC90aXRsZT48c2Vjb25kYXJ5LXRpdGxlPkxhbmNldCAoTG9uZG9uLCBFbmdsYW5kKTwvc2Vjb25kYXJ5LXRpdGxlPjwvdGl0bGVzPjxwZXJpb2RpY2FsPjxmdWxsLXRpdGxlPkxhbmNldCAoTG9uZG9uLCBFbmdsYW5kKTwvZnVsbC10aXRsZT48L3BlcmlvZGljYWw+PGRhdGVzPjx5ZWFyPjIwMjQ8L3llYXI+PC9kYXRlcz48dm9sdW1lPjQwNDwvdm9sdW1lPjxudW1iZXI+MTA0NTg8L251bWJlcj48cGFnZXM+MTEwNy0xMTE4PC9wYWdlcz48ZWxlY3Ryb25pYy1yZXNvdXJjZS1udW0+MTAuMTAxNi9TMDE0MC02NzM2KDI0KTAxNTk1LTI8L2VsZWN0cm9uaWMtcmVzb3VyY2UtbnVtPjxub3Rlcz5NdWx0aWNlbnRlciByYW5kb21pemVkIHRyaWFsIENvbXBsZXRlIGxvY2FsIHByaW1hcnkgUERGIGF2YWlsYWJsZTsgcmVsZXZhbnQgbWV0aG9kcywgc2VsZWN0aW9uLCByZXN1bHRzIGFuZCBsaW1pdGF0aW9ucyByZXZpZXdlZCA5NCByYW5kb21pemVkLCA0NyBwZXIgYXJtOyBmaXZlLXllYXIgSVRUIE9TIDU2LjYlIHZzIDEyLjYlLiBOYXJyb3dseSBzZWxlY3RlZCwgQlJBRi1ub25tdXRhdGVkLCBFQ09HIDAmIzgyMTE7MSwgUjAgcHJpbWFyeSwgYXQgbW9zdCB0aHJlZSBsaW5lcy4gQmFzZWxpbmUgYW5kIHRyZWF0ZWQgbGVzaW9uIG1hcHMgaW5mb3JtZWQgdW5yZXNlY3RhYmlsaXR5Ljwvbm90ZXM+PHVybHM+PHJlbGF0ZWQtdXJscz48dXJsPmh0dHBzOi8vZG9pLm9yZy8xMC4xMDE2L1MwMTQwLTY3MzYoMjQpMDE1OTUtMj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r>
        <w:t xml:space="preserve"> </w:t>
      </w:r>
      <w:r>
        <w:t xml:space="preserve"> </w:t>
      </w:r>
      <w:r>
        <w:fldChar w:fldCharType="begin"/>
      </w:r>
      <w:r>
        <w:instrText xml:space="preserve"> ADDIN EN.CITE </w:instrText>
      </w:r>
      <w:r>
        <w:fldChar w:fldCharType="begin">
          <w:fldData>PEVuZE5vdGU+PENpdGU+PEF1dGhvcj5UZTwvQXV0aG9yPjxZZWFyPjIwMjU8L1llYXI+PFJlY051bT4xNjwvUmVjTnVtPjxEaXNwbGF5VGV4dD5bVjEyLTE2XTwvRGlzcGxheVRleHQ+PHJlY29yZD48cmVjLW51bWJlcj4xNjwvcmVjLW51bWJlcj48Zm9yZWlnbi1rZXlzPjxrZXkgYXBwPSJFTiIgZGItaWQ9ImNlMWVmM2IxLTQ2NTEtNTc0My1hYzkxLTY5OTVlYzU3YWJiZiIgdGltZXN0YW1wPSIxNzkyOTIxMDg2Ij4xNjwva2V5PjwvZm9yZWlnbi1rZXlzPjxyZWYtdHlwZSBuYW1lPSJKb3VybmFsIEFydGljbGUiPjE3PC9yZWYtdHlwZT48Y29udHJpYnV0b3JzPjxhdXRob3JzPjxhdXRob3I+VGUsIEhlbGVuIFMuPC9hdXRob3I+PGF1dGhvcj5BZ29waWFuLCBWYXRjaGUgRy48L2F1dGhvcj48YXV0aG9yPkRlbWV0cmlzLCBBbnRob255IEouPC9hdXRob3I+PGF1dGhvcj5Ld28sIFBhdWwgWS48L2F1dGhvcj48YXV0aG9yPk1jR3VpcmUsIEJyZW5kYW4gTS48L2F1dGhvcj48YXV0aG9yPlJ1c3NvLCBNYXJrIFcuPC9hdXRob3I+PGF1dGhvcj5TZWx6bmVyLCBOYXppYTwvYXV0aG9yPjxhdXRob3I+V2FzaGJ1cm4sIFcuIEtlbm5ldGg8L2F1dGhvcj48YXV0aG9yPldpbmRlciwgR2VyYWxkIFNjb3R0PC9hdXRob3I+PGF1dGhvcj5TY2hpYW5vLCBUaG9tYXMgRC48L2F1dGhvcj48L2F1dGhvcnM+PC9jb250cmlidXRvcnM+PHRpdGxlcz48dGl0bGU+QUFTTEQgQVNUIFByYWN0aWNlIEd1aWRlbGluZSBvbiBhZHVsdCBsaXZlciB0cmFuc3BsYW50YXRpb246IERpYWdub3NpcyBhbmQgbWFuYWdlbWVudCBvZiBncmFmdC1yZWxhdGVkIGNvbXBsaWNhdGlvbnM8L3RpdGxlPjxzZWNvbmRhcnktdGl0bGU+TGl2ZXIgVHJhbnNwbGFudGF0aW9uPC9zZWNvbmRhcnktdGl0bGU+PC90aXRsZXM+PHBlcmlvZGljYWw+PGZ1bGwtdGl0bGU+TGl2ZXIgVHJhbnNwbGFudGF0aW9uPC9mdWxsLXRpdGxlPjwvcGVyaW9kaWNhbD48ZGF0ZXM+PHllYXI+MjAyNTwveWVhcj48L2RhdGVzPjx2b2x1bWU+MzI8L3ZvbHVtZT48bnVtYmVyPjM8L251bWJlcj48cGFnZXM+NDQ0LTQ5MDwvcGFnZXM+PGVsZWN0cm9uaWMtcmVzb3VyY2UtbnVtPjEwLjEwOTcvbHZ0LjAwMDAwMDAwMDAwMDA3MTU8L2VsZWN0cm9uaWMtcmVzb3VyY2UtbnVtPjxub3Rlcz5FeGlzdGluZyBzdGFuZGFyZC1wcm90b2NvbCByZWZlcmVuY2UgVGFyZ2V0ZWQgZnVsbC1zZWN0aW9uIHJldmlldyBvZiA0Ny1wYWdlIGd1aWRlbGluZTogUERGIHBwIDEmIzgyMTE7MiAoc2NvcGUvbWV0aG9kcykgYW5kIHBwIDEyJiM4MjExOzIxIChwcmludGVkIDQ1NSYjODIxMTs0NjQ7IGltbXVub3N1cHByZXNzaW9uLCBtaW5pbWl6YXRpb24gYW5kIHJlamVjdGlvbiBzdGF0ZW1lbnRzL3RhYmxlcykuIE90aGVyIGdyYWZ0L3JlY3VycmVudC1kaXNlYXNlIGNoYXB0ZXJzIHdlcmUgbm90IGZ1bGx5IHJldmlld2VkLiBWOCBleHRyYWN0aW9uIGFuZCBsaW1pdGF0aW9uczogc291cmNlL21ldGFzdGFzZXNfc3RhbmRhcmRfc3VwcGxlbWVudC5qc29uPC9ub3Rlcz48dXJscz48cmVsYXRlZC11cmxzPjx1cmw+aHR0cHM6Ly9kb2kub3JnLzEwLjEwOTcvbHZ0LjAwMDAwMDAwMDAwMDA3MTU8L3VybD48L3JlbGF0ZWQtdXJscz48cGRmLXVybHMvPjwvdXJscz48L3JlY29yZD48L0NpdGU+PC9FbmROb3RlPg==</w:fldData>
        </w:fldChar>
      </w:r>
      <w:r>
        <w:instrText xml:space="preserve"> ADDIN EN.CITE.DATA </w:instrText>
      </w:r>
      <w:r>
        <w:fldChar w:fldCharType="end"/>
      </w:r>
      <w:r>
        <w:fldChar w:fldCharType="separate"/>
      </w:r>
      <w:r>
        <w:t xml:space="preserve">[V12-16]</w:t>
      </w:r>
      <w:r>
        <w:fldChar w:fldCharType="end"/>
      </w:r>
      <w:r>
        <w:t xml:space="preserve"> </w:t>
      </w:r>
      <w:r>
        <w:t xml:space="preserve"> </w:t>
      </w:r>
      <w:r>
        <w:fldChar w:fldCharType="begin"/>
      </w:r>
      <w:r>
        <w:instrText xml:space="preserve"> ADDIN EN.CITE </w:instrText>
      </w:r>
      <w:r>
        <w:fldChar w:fldCharType="begin">
          <w:fldData>PEVuZE5vdGU+PENpdGU+PEF1dGhvcj5Ob3ZhcnRpcyBQaGFybWFjZXV0aWNhbHMgQ29ycG9yYXRpb248L0F1dGhvcj48WWVhcj4yMDI2PC9ZZWFyPjxSZWNOdW0+MTc8L1JlY051bT48RGlzcGxheVRleHQ+W1YxMi0xN108L0Rpc3BsYXlUZXh0PjxyZWNvcmQ+PHJlYy1udW1iZXI+MTc8L3JlYy1udW1iZXI+PGZvcmVpZ24ta2V5cz48a2V5IGFwcD0iRU4iIGRiLWlkPSJjZTFlZjNiMS00NjUxLTU3NDMtYWM5MS02OTk1ZWM1N2FiYmYiIHRpbWVzdGFtcD0iMTc5MjkyMTA4NiI+MTc8L2tleT48L2ZvcmVpZ24ta2V5cz48cmVmLXR5cGUgbmFtZT0iUmVwb3J0Ij4yNzwvcmVmLXR5cGU+PGNvbnRyaWJ1dG9ycz48YXV0aG9ycz48YXV0aG9yPk5vdmFydGlzIFBoYXJtYWNldXRpY2FscyBDb3Jwb3JhdGlvbjwvYXV0aG9yPjwvYXV0aG9ycz48L2NvbnRyaWJ1dG9ycz48dGl0bGVzPjx0aXRsZT5ab3J0cmVzcyAoZXZlcm9saW11cykgVVMgcHJlc2NyaWJpbmcgaW5mb3JtYXRpb24sIHVwZGF0ZWQgMTYgU2VwdGVtYmVyIDIwMjY8L3RpdGxlPjxzZWNvbmRhcnktdGl0bGU+RGFpbHlNZWQ8L3NlY29uZGFyeS10aXRsZT48L3RpdGxlcz48cGVyaW9kaWNhbD48ZnVsbC10aXRsZT5EYWlseU1lZDwvZnVsbC10aXRsZT48L3BlcmlvZGljYWw+PGRhdGVzPjx5ZWFyPjIwMjY8L3llYXI+PC9kYXRlcz48bm90ZXM+VVMgcHJlc2NyaWJpbmcgaW5mb3JtYXRpb24gVGFyZ2V0ZWQgbGFiZWwgc2VjdGlvbnMgMS4yLCAyLjMgYW5kIDUuNSBjaGVja2VkIGluIGN1cnJlbnQgb2ZmaWNpYWwgb25saW5lIGxhYmVsOyBub3QgYSB3aG9sZS1sYWJlbCBjbGluaWNhbCBhdWRpdCBEcnVnLXNwZWNpZmljIGFkdWx0LUxUIHRpbWluZyBzYWZldHkgZmxvb3I7IG5vIG9uY29sb2d5LWJlbmVmaXQgaW5mZXJlbmNlLjwvbm90ZXM+PHVybHM+PHJlbGF0ZWQtdXJscz48dXJsPmh0dHBzOi8vZGFpbHltZWQubmxtLm5paC5nb3YvZGFpbHltZWQvZHJ1Z0luZm8uY2ZtP3NldGlkPWUwODJhMDI0LTc4NTAtNDAwYi1hNWMyLTJhMTQwNjEyNTYyYTwvdXJsPjwvcmVsYXRlZC11cmxzPjxwZGYtdXJscy8+PC91cmxzPjwvcmVjb3JkPjwvQ2l0ZT48L0VuZE5vdGU+</w:fldData>
        </w:fldChar>
      </w:r>
      <w:r>
        <w:instrText xml:space="preserve"> ADDIN EN.CITE.DATA </w:instrText>
      </w:r>
      <w:r>
        <w:fldChar w:fldCharType="end"/>
      </w:r>
      <w:r>
        <w:fldChar w:fldCharType="separate"/>
      </w:r>
      <w:r>
        <w:t xml:space="preserve">[V12-17]</w:t>
      </w:r>
      <w:r>
        <w:fldChar w:fldCharType="end"/>
      </w:r>
    </w:p>
    <w:p>
      <w:pPr>
        <w:pStyle w:val="Normal"/>
        <w:widowControl/>
      </w:pPr>
      <w:r>
        <w:t xml:space="preserve">Rationale for mTOR Inhibitor Use:</w:t>
      </w:r>
    </w:p>
    <w:p>
      <w:pPr>
        <w:pStyle w:val="Normal"/>
        <w:widowControl/>
      </w:pPr>
      <w:r>
        <w:t xml:space="preserve">mTOR-based calcineurin-inhibitor minimization may be considered for appropriate renal, immunologic and tolerability indications with transplant-pharmacy oversight. A reduction in CRLM recurrence from everolimus has not been established. The AASLD/AST conditional HCC-within-Milan recommendation must not be represented as CRLM-specific evidence or as a mandatory preferred regimen.</w:t>
      </w:r>
      <w:r>
        <w:t xml:space="preserve"> </w:t>
      </w:r>
      <w:r>
        <w:t xml:space="preserve"> </w:t>
      </w:r>
      <w:r>
        <w:fldChar w:fldCharType="begin"/>
      </w:r>
      <w:r>
        <w:instrText xml:space="preserve"> ADDIN EN.CITE </w:instrText>
      </w:r>
      <w:r>
        <w:fldChar w:fldCharType="begin">
          <w:fldData>PEVuZE5vdGU+PENpdGU+PEF1dGhvcj5UZTwvQXV0aG9yPjxZZWFyPjIwMjU8L1llYXI+PFJlY051bT4xNjwvUmVjTnVtPjxEaXNwbGF5VGV4dD5bVjEyLTE2XTwvRGlzcGxheVRleHQ+PHJlY29yZD48cmVjLW51bWJlcj4xNjwvcmVjLW51bWJlcj48Zm9yZWlnbi1rZXlzPjxrZXkgYXBwPSJFTiIgZGItaWQ9ImNlMWVmM2IxLTQ2NTEtNTc0My1hYzkxLTY5OTVlYzU3YWJiZiIgdGltZXN0YW1wPSIxNzkyOTIxMDg2Ij4xNjwva2V5PjwvZm9yZWlnbi1rZXlzPjxyZWYtdHlwZSBuYW1lPSJKb3VybmFsIEFydGljbGUiPjE3PC9yZWYtdHlwZT48Y29udHJpYnV0b3JzPjxhdXRob3JzPjxhdXRob3I+VGUsIEhlbGVuIFMuPC9hdXRob3I+PGF1dGhvcj5BZ29waWFuLCBWYXRjaGUgRy48L2F1dGhvcj48YXV0aG9yPkRlbWV0cmlzLCBBbnRob255IEouPC9hdXRob3I+PGF1dGhvcj5Ld28sIFBhdWwgWS48L2F1dGhvcj48YXV0aG9yPk1jR3VpcmUsIEJyZW5kYW4gTS48L2F1dGhvcj48YXV0aG9yPlJ1c3NvLCBNYXJrIFcuPC9hdXRob3I+PGF1dGhvcj5TZWx6bmVyLCBOYXppYTwvYXV0aG9yPjxhdXRob3I+V2FzaGJ1cm4sIFcuIEtlbm5ldGg8L2F1dGhvcj48YXV0aG9yPldpbmRlciwgR2VyYWxkIFNjb3R0PC9hdXRob3I+PGF1dGhvcj5TY2hpYW5vLCBUaG9tYXMgRC48L2F1dGhvcj48L2F1dGhvcnM+PC9jb250cmlidXRvcnM+PHRpdGxlcz48dGl0bGU+QUFTTEQgQVNUIFByYWN0aWNlIEd1aWRlbGluZSBvbiBhZHVsdCBsaXZlciB0cmFuc3BsYW50YXRpb246IERpYWdub3NpcyBhbmQgbWFuYWdlbWVudCBvZiBncmFmdC1yZWxhdGVkIGNvbXBsaWNhdGlvbnM8L3RpdGxlPjxzZWNvbmRhcnktdGl0bGU+TGl2ZXIgVHJhbnNwbGFudGF0aW9uPC9zZWNvbmRhcnktdGl0bGU+PC90aXRsZXM+PHBlcmlvZGljYWw+PGZ1bGwtdGl0bGU+TGl2ZXIgVHJhbnNwbGFudGF0aW9uPC9mdWxsLXRpdGxlPjwvcGVyaW9kaWNhbD48ZGF0ZXM+PHllYXI+MjAyNTwveWVhcj48L2RhdGVzPjx2b2x1bWU+MzI8L3ZvbHVtZT48bnVtYmVyPjM8L251bWJlcj48cGFnZXM+NDQ0LTQ5MDwvcGFnZXM+PGVsZWN0cm9uaWMtcmVzb3VyY2UtbnVtPjEwLjEwOTcvbHZ0LjAwMDAwMDAwMDAwMDA3MTU8L2VsZWN0cm9uaWMtcmVzb3VyY2UtbnVtPjxub3Rlcz5FeGlzdGluZyBzdGFuZGFyZC1wcm90b2NvbCByZWZlcmVuY2UgVGFyZ2V0ZWQgZnVsbC1zZWN0aW9uIHJldmlldyBvZiA0Ny1wYWdlIGd1aWRlbGluZTogUERGIHBwIDEmIzgyMTE7MiAoc2NvcGUvbWV0aG9kcykgYW5kIHBwIDEyJiM4MjExOzIxIChwcmludGVkIDQ1NSYjODIxMTs0NjQ7IGltbXVub3N1cHByZXNzaW9uLCBtaW5pbWl6YXRpb24gYW5kIHJlamVjdGlvbiBzdGF0ZW1lbnRzL3RhYmxlcykuIE90aGVyIGdyYWZ0L3JlY3VycmVudC1kaXNlYXNlIGNoYXB0ZXJzIHdlcmUgbm90IGZ1bGx5IHJldmlld2VkLiBWOCBleHRyYWN0aW9uIGFuZCBsaW1pdGF0aW9uczogc291cmNlL21ldGFzdGFzZXNfc3RhbmRhcmRfc3VwcGxlbWVudC5qc29uPC9ub3Rlcz48dXJscz48cmVsYXRlZC11cmxzPjx1cmw+aHR0cHM6Ly9kb2kub3JnLzEwLjEwOTcvbHZ0LjAwMDAwMDAwMDAwMDA3MTU8L3VybD48L3JlbGF0ZWQtdXJscz48cGRmLXVybHMvPjwvdXJscz48L3JlY29yZD48L0NpdGU+PC9FbmROb3RlPg==</w:fldData>
        </w:fldChar>
      </w:r>
      <w:r>
        <w:instrText xml:space="preserve"> ADDIN EN.CITE.DATA </w:instrText>
      </w:r>
      <w:r>
        <w:fldChar w:fldCharType="end"/>
      </w:r>
      <w:r>
        <w:fldChar w:fldCharType="separate"/>
      </w:r>
      <w:r>
        <w:t xml:space="preserve">[V12-16]</w:t>
      </w:r>
      <w:r>
        <w:fldChar w:fldCharType="end"/>
      </w:r>
      <w:r>
        <w:t xml:space="preserve"> </w:t>
      </w:r>
      <w:r>
        <w:t xml:space="preserve"> </w:t>
      </w:r>
      <w:r>
        <w:fldChar w:fldCharType="begin"/>
      </w:r>
      <w:r>
        <w:instrText xml:space="preserve"> ADDIN EN.CITE </w:instrText>
      </w:r>
      <w:r>
        <w:fldChar w:fldCharType="begin">
          <w:fldData>PEVuZE5vdGU+PENpdGU+PEF1dGhvcj5OYXNoYW48L0F1dGhvcj48WWVhcj4yMDE4PC9ZZWFyPjxSZWNOdW0+MTg8L1JlY051bT48RGlzcGxheVRleHQ+W1YxMi0xOF08L0Rpc3BsYXlUZXh0PjxyZWNvcmQ+PHJlYy1udW1iZXI+MTg8L3JlYy1udW1iZXI+PGZvcmVpZ24ta2V5cz48a2V5IGFwcD0iRU4iIGRiLWlkPSJjZTFlZjNiMS00NjUxLTU3NDMtYWM5MS02OTk1ZWM1N2FiYmYiIHRpbWVzdGFtcD0iMTc5MjkyMTA4NiI+MTg8L2tleT48L2ZvcmVpZ24ta2V5cz48cmVmLXR5cGUgbmFtZT0iSm91cm5hbCBBcnRpY2xlIj4xNzwvcmVmLXR5cGU+PGNvbnRyaWJ1dG9ycz48YXV0aG9ycz48YXV0aG9yPk5hc2hhbiwgQmomIzI0NjtybjwvYXV0aG9yPjwvYXV0aG9ycz48L2NvbnRyaWJ1dG9ycz48dGl0bGVzPjx0aXRsZT5tVE9SIEluaGliaXRpb24gYW5kIENsaW5pY2FsIFRyYW5zcGxhbnRhdGlvbjwvdGl0bGU+PHNlY29uZGFyeS10aXRsZT5UcmFuc3BsYW50YXRpb248L3NlY29uZGFyeS10aXRsZT48L3RpdGxlcz48cGVyaW9kaWNhbD48ZnVsbC10aXRsZT5UcmFuc3BsYW50YXRpb248L2Z1bGwtdGl0bGU+PC9wZXJpb2RpY2FsPjxkYXRlcz48eWVhcj4yMDE4PC95ZWFyPjwvZGF0ZXM+PHZvbHVtZT4xMDI8L3ZvbHVtZT48bnVtYmVyPjJTPC9udW1iZXI+PHBhZ2VzPlMxOS1TMjY8L3BhZ2VzPjxlbGVjdHJvbmljLXJlc291cmNlLW51bT4xMC4xMDk3L3RwLjAwMDAwMDAwMDAwMDE2OTA8L2VsZWN0cm9uaWMtcmVzb3VyY2UtbnVtPjxub3Rlcz5FeGlzdGluZyBzdGFuZGFyZC1wcm90b2NvbCByZWZlcmVuY2UgQ29tcGxldGUgZWlnaHQtcGFnZSByZXZpZXcgcmVhZCwgaW5jbHVkaW5nIHRyaWFsIHRhYmxlLCBzYWZldHkgc2VjdGlvbnMgYW5kIHJlZmVyZW5jZXMuIFY4IGV4dHJhY3Rpb24gYW5kIGxpbWl0YXRpb25zOiBzb3VyY2UvbWV0YXN0YXNlc19zdGFuZGFyZF9zdXBwbGVtZW50Lmpzb248L25vdGVzPjx1cmxzPjxyZWxhdGVkLXVybHM+PHVybD5odHRwczovL3B1Ym1lZC5uY2JpLm5sbS5uaWguZ292LzI4MjMwNjM5PC91cmw+PC9yZWxhdGVkLXVybHM+PHBkZi11cmxzLz48L3VybHM+PC9yZWNvcmQ+PC9DaXRlPjwvRW5kTm90ZT4=</w:fldData>
        </w:fldChar>
      </w:r>
      <w:r>
        <w:instrText xml:space="preserve"> ADDIN EN.CITE.DATA </w:instrText>
      </w:r>
      <w:r>
        <w:fldChar w:fldCharType="end"/>
      </w:r>
      <w:r>
        <w:fldChar w:fldCharType="separate"/>
      </w:r>
      <w:r>
        <w:t xml:space="preserve">[V12-18]</w:t>
      </w:r>
      <w:r>
        <w:fldChar w:fldCharType="end"/>
      </w:r>
    </w:p>
    <w:p>
      <w:pPr>
        <w:pStyle w:val="Heading3"/>
        <w:keepNext/>
        <w:widowControl/>
      </w:pPr>
      <w:r>
        <w:t xml:space="preserve">8. Post-Transplant Adjuvant Chemotherapy</w:t>
      </w:r>
    </w:p>
    <w:p>
      <w:pPr>
        <w:pStyle w:val="Normal"/>
        <w:widowControl/>
        <w:numPr>
          <w:ilvl w:val="0"/>
          <w:numId w:val="3"/>
        </w:numPr>
      </w:pPr>
      <w:r>
        <w:t xml:space="preserve">Routine post-transplant systemic chemotherapy is not an established standard and is not recommended by the IHPBA LT-CoMet 21 consensus. Consider it only case-by-case or within a prospective protocol after graft recovery and multidisciplinary review.</w:t>
      </w:r>
      <w:r>
        <w:t xml:space="preserve"> </w:t>
      </w:r>
      <w:r>
        <w:t xml:space="preserve"> </w:t>
      </w:r>
      <w:r>
        <w:fldChar w:fldCharType="begin"/>
      </w:r>
      <w:r>
        <w:instrText xml:space="preserve"> ADDIN EN.CITE </w:instrText>
      </w:r>
      <w:r>
        <w:fldChar w:fldCharType="begin">
          <w:fldData>PEVuZE5vdGU+PENpdGU+PEF1dGhvcj5BZGFtPC9BdXRob3I+PFllYXI+MjAyNDwvWWVhcj48UmVjTnVtPjM8L1JlY051bT48RGlzcGxheVRleHQ+W1YxMi0zXTwvRGlzcGxheVRleHQ+PHJlY29yZD48cmVjLW51bWJlcj4zPC9yZWMtbnVtYmVyPjxmb3JlaWduLWtleXM+PGtleSBhcHA9IkVOIiBkYi1pZD0iY2UxZWYzYjEtNDY1MS01NzQzLWFjOTEtNjk5NWVjNTdhYmJmIiB0aW1lc3RhbXA9IjE3OTI5MjEwODYiPjM8L2tleT48L2ZvcmVpZ24ta2V5cz48cmVmLXR5cGUgbmFtZT0iSm91cm5hbCBBcnRpY2xlIj4xNzwvcmVmLXR5cGU+PGNvbnRyaWJ1dG9ycz48YXV0aG9ycz48YXV0aG9yPkFkYW0sIFJlbiYjMjMzOzwvYXV0aG9yPjxhdXRob3I+UGllZHZhY2hlLCBDJiMyMzM7bGluZTwvYXV0aG9yPjxhdXRob3I+Q2hpY2hlLCBMYXVyZW5jZTwvYXV0aG9yPjxhdXRob3I+QWRhbSwgSmVhbiBQaGlsaXBwZTwvYXV0aG9yPjxhdXRob3I+U2FsYW0mIzIzMzssIEVwaHJlbTwvYXV0aG9yPjxhdXRob3I+QnVjdXIsIFBldHJ1PC9hdXRob3I+PGF1dGhvcj5DaGVycXVpLCBEYW5pZWw8L2F1dGhvcj48YXV0aG9yPlNjYXR0b24sIE9saXZpZXI8L2F1dGhvcj48YXV0aG9yPkdyYW5nZXIsIFZpY3RvaXJlPC9hdXRob3I+PGF1dGhvcj5EdWNyZXV4LCBNaWNoZWw8L2F1dGhvcj48YXV0aG9yPkNpbGxvLCBVbWJlcnRvPC9hdXRob3I+PGF1dGhvcj5DYXVjaHksIEZyYW4mIzIzMTtvaXM8L2F1dGhvcj48YXV0aG9yPk1hYnJ1dCwgSmVhbi1ZdmVzPC9hdXRob3I+PGF1dGhvcj5WZXJzbHlwZSwgQ2hyaXM8L2F1dGhvcj48YXV0aG9yPkNvdWJlYXUsIExhdXJlbnQ8L2F1dGhvcj48YXV0aG9yPkhhcmR3aWdzZW4sIEplYW48L2F1dGhvcj48YXV0aG9yPkJvbGVzbGF3c2tpLCBFbW1hbnVlbDwvYXV0aG9yPjxhdXRob3I+TXVzY2FyaSwgRmFicmljZTwvYXV0aG9yPjxhdXRob3I+SmVkZG91LCBIZWl0aGVtPC9hdXRob3I+PGF1dGhvcj5QZXpldCwgRGVuaXM8L2F1dGhvcj48YXV0aG9yPkhleWQsIEJydW5vPC9hdXRob3I+PGF1dGhvcj5MdWNpZGksIFZhbGVyaW88L2F1dGhvcj48YXV0aG9yPkdlYm9lcywgS2FyZW48L2F1dGhvcj48YXV0aG9yPkxlcnV0LCBKYW48L2F1dGhvcj48YXV0aG9yPk1ham5vLCBQaWV0cm88L2F1dGhvcj48YXV0aG9yPkdyaW1hbGRpLCBMYW1pYWU8L2F1dGhvcj48YXV0aG9yPkxldmksIEZyYW5jaXM8L2F1dGhvcj48YXV0aG9yPkxld2luLCBNYSYjMjM5O3QmIzIzMzs8L2F1dGhvcj48YXV0aG9yPkdlbGxpLCBNYXhpbWlsaWFubzwvYXV0aG9yPjxhdXRob3I+Q29sbGFib3JhdGl2ZSBUcmFuc01ldCBncm91cCw8L2F1dGhvcj48L2F1dGhvcnM+PC9jb250cmlidXRvcnM+PHRpdGxlcz48dGl0bGU+TGl2ZXIgdHJhbnNwbGFudGF0aW9uIHBsdXMgY2hlbW90aGVyYXB5IHZlcnN1cyBjaGVtb3RoZXJhcHkgYWxvbmUgaW4gcGF0aWVudHMgd2l0aCBwZXJtYW5lbnRseSB1bnJlc2VjdGFibGUgY29sb3JlY3RhbCBsaXZlciBtZXRhc3Rhc2VzIChUcmFuc01ldCk6IHJlc3VsdHMgZnJvbSBhIG11bHRpY2VudHJlLCBvcGVuLWxhYmVsLCBwcm9zcGVjdGl2ZSwgcmFuZG9taXNlZCBjb250cm9sbGVkIHRyaWFsPC90aXRsZT48c2Vjb25kYXJ5LXRpdGxlPkxhbmNldCAoTG9uZG9uLCBFbmdsYW5kKTwvc2Vjb25kYXJ5LXRpdGxlPjwvdGl0bGVzPjxwZXJpb2RpY2FsPjxmdWxsLXRpdGxlPkxhbmNldCAoTG9uZG9uLCBFbmdsYW5kKTwvZnVsbC10aXRsZT48L3BlcmlvZGljYWw+PGRhdGVzPjx5ZWFyPjIwMjQ8L3llYXI+PC9kYXRlcz48dm9sdW1lPjQwNDwvdm9sdW1lPjxudW1iZXI+MTA0NTg8L251bWJlcj48cGFnZXM+MTEwNy0xMTE4PC9wYWdlcz48ZWxlY3Ryb25pYy1yZXNvdXJjZS1udW0+MTAuMTAxNi9TMDE0MC02NzM2KDI0KTAxNTk1LTI8L2VsZWN0cm9uaWMtcmVzb3VyY2UtbnVtPjxub3Rlcz5NdWx0aWNlbnRlciByYW5kb21pemVkIHRyaWFsIENvbXBsZXRlIGxvY2FsIHByaW1hcnkgUERGIGF2YWlsYWJsZTsgcmVsZXZhbnQgbWV0aG9kcywgc2VsZWN0aW9uLCByZXN1bHRzIGFuZCBsaW1pdGF0aW9ucyByZXZpZXdlZCA5NCByYW5kb21pemVkLCA0NyBwZXIgYXJtOyBmaXZlLXllYXIgSVRUIE9TIDU2LjYlIHZzIDEyLjYlLiBOYXJyb3dseSBzZWxlY3RlZCwgQlJBRi1ub25tdXRhdGVkLCBFQ09HIDAmIzgyMTE7MSwgUjAgcHJpbWFyeSwgYXQgbW9zdCB0aHJlZSBsaW5lcy4gQmFzZWxpbmUgYW5kIHRyZWF0ZWQgbGVzaW9uIG1hcHMgaW5mb3JtZWQgdW5yZXNlY3RhYmlsaXR5Ljwvbm90ZXM+PHVybHM+PHJlbGF0ZWQtdXJscz48dXJsPmh0dHBzOi8vZG9pLm9yZy8xMC4xMDE2L1MwMTQwLTY3MzYoMjQpMDE1OTUtMj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r>
        <w:t xml:space="preserve"> </w:t>
      </w:r>
      <w:r>
        <w:t xml:space="preserve"> </w:t>
      </w:r>
      <w:r>
        <w:fldChar w:fldCharType="begin"/>
      </w:r>
      <w:r>
        <w:instrText xml:space="preserve"> ADDIN EN.CITE </w:instrText>
      </w:r>
      <w:r>
        <w:fldChar w:fldCharType="begin">
          <w:fldData>PEVuZE5vdGU+PENpdGU+PEF1dGhvcj5Cb25uZXk8L0F1dGhvcj48WWVhcj4yMDIxPC9ZZWFyPjxSZWNOdW0+MTM8L1JlY051bT48RGlzcGxheVRleHQ+W1YxMi0xM108L0Rpc3BsYXlUZXh0PjxyZWNvcmQ+PHJlYy1udW1iZXI+MTM8L3JlYy1udW1iZXI+PGZvcmVpZ24ta2V5cz48a2V5IGFwcD0iRU4iIGRiLWlkPSJjZTFlZjNiMS00NjUxLTU3NDMtYWM5MS02OTk1ZWM1N2FiYmYiIHRpbWVzdGFtcD0iMTc5MjkyMTA4NiI+MTM8L2tleT48L2ZvcmVpZ24ta2V5cz48cmVmLXR5cGUgbmFtZT0iSm91cm5hbCBBcnRpY2xlIj4xNzwvcmVmLXR5cGU+PGNvbnRyaWJ1dG9ycz48YXV0aG9ycz48YXV0aG9yPkJvbm5leSwgR2xlbm4gSzwvYXV0aG9yPjxhdXRob3I+Q2hldywgQ2xhaXJlIEFsZXhhbmRyYTwvYXV0aG9yPjxhdXRob3I+TG9kZ2UsIFBldGVyPC9hdXRob3I+PGF1dGhvcj5IdWJiYXJkLCBKb2xlZW48L2F1dGhvcj48YXV0aG9yPkhhbGF6dW4sIEthcmltIEo8L2F1dGhvcj48YXV0aG9yPlRydW5lY2thLCBQYXZlbDwvYXV0aG9yPjxhdXRob3I+TXVpZXNhbiwgUGFvbG88L2F1dGhvcj48YXV0aG9yPk1pcnphLCBEYXJpdXMgRjwvYXV0aG9yPjxhdXRob3I+SXNhYWMsIEpvaG48L2F1dGhvcj48YXV0aG9yPkxhaW5nLCBSaWNoYXJkIFc8L2F1dGhvcj48YXV0aG9yPkl5ZXIsIFNocmlkaGFyIEdhbnBhdGhpPC9hdXRob3I+PGF1dGhvcj5DaGVlLCBDaGVuZyBFYW48L2F1dGhvcj48YXV0aG9yPllvbmcsIFdlaSBQZW5nPC9hdXRob3I+PGF1dGhvcj5NdXRoaWFoLCBNYXJrIERoaW5lc2g8L2F1dGhvcj48YXV0aG9yPlBhbmFybywgRmFicml6aW88L2F1dGhvcj48YXV0aG9yPlNhbmFicmlhLCBKdWFuPC9hdXRob3I+PGF1dGhvcj5Hcm90aGV5LCBBeGVsPC9hdXRob3I+PGF1dGhvcj5Nb29kbGV5LCBLZXltYW50aHJpPC9hdXRob3I+PGF1dGhvcj5DaGF1LCBJYW48L2F1dGhvcj48YXV0aG9yPkNoYW4sIEFsYmVydCBDIFk8L2F1dGhvcj48YXV0aG9yPldhbmcsIENoaWggQ2hpPC9hdXRob3I+PGF1dGhvcj5NZW5vbiwgS3Jpc2huYTwvYXV0aG9yPjxhdXRob3I+U2FwaXNvY2hpbiwgR29uemFsbzwvYXV0aG9yPjxhdXRob3I+SGFnbmVzcywgTW9ydGVuPC9hdXRob3I+PGF1dGhvcj5EdWVsYW5kLCBTdmVpbjwvYXV0aG9yPjxhdXRob3I+TGluZSwgUCYjMjI5O2wtRGFnPC9hdXRob3I+PGF1dGhvcj5BZGFtLCBSZW4mIzIzMzs8L2F1dGhvcj48L2F1dGhvcnM+PC9jb250cmlidXRvcnM+PHRpdGxlcz48dGl0bGU+TGl2ZXIgdHJhbnNwbGFudGF0aW9uIGZvciBub24tcmVzZWN0YWJsZSBjb2xvcmVjdGFsIGxpdmVyIG1ldGFzdGFzZXM6IHRoZSBJbnRlcm5hdGlvbmFsIEhlcGF0by1QYW5jcmVhdG8tQmlsaWFyeSBBc3NvY2lhdGlvbiBjb25zZW5zdXMgZ3VpZGVsaW5lczwvdGl0bGU+PHNlY29uZGFyeS10aXRsZT5UaGUgbGFuY2V0LiBHYXN0cm9lbnRlcm9sb2d5ICZhbXA7IGhlcGF0b2xvZ3k8L3NlY29uZGFyeS10aXRsZT48L3RpdGxlcz48cGVyaW9kaWNhbD48ZnVsbC10aXRsZT5UaGUgbGFuY2V0LiBHYXN0cm9lbnRlcm9sb2d5ICZhbXA7IGhlcGF0b2xvZ3k8L2Z1bGwtdGl0bGU+PC9wZXJpb2RpY2FsPjxkYXRlcz48eWVhcj4yMDIxPC95ZWFyPjwvZGF0ZXM+PHZvbHVtZT42PC92b2x1bWU+PG51bWJlcj4xMTwvbnVtYmVyPjxwYWdlcz45MzMtOTQ2PC9wYWdlcz48ZWxlY3Ryb25pYy1yZXNvdXJjZS1udW0+MTAuMTAxNi9TMjQ2OC0xMjUzKDIxKTAwMjE5LTM8L2VsZWN0cm9uaWMtcmVzb3VyY2UtbnVtPjxub3Rlcz5FeHBlcnQgY29uc2Vuc3VzIENvbXBsZXRlIGxvY2FsIHByaW1hcnkgUERGIGF2YWlsYWJsZTsgcmVsZXZhbnQgbWV0aG9kcywgc2VsZWN0aW9uLCByZXN1bHRzIGFuZCBsaW1pdGF0aW9ucyByZXZpZXdlZCBTZWxlY3Rpb24sIGJpb2xvZ2ljYWwgcHJvZ25vc2lzIGFuZCB0ZWNobmljYWwgcmVzZWN0YWJpbGl0eSBoYXZlIGRpc3RpbmN0IHJvbGVzLiBBbiBleHBlcnQgcmVjb21tZW5kYXRpb24gaXMgbm90IGEgbmF0aW9uYWwgYWxsb2NhdGlvbiBydWxlLjwvbm90ZXM+PHVybHM+PHJlbGF0ZWQtdXJscz48dXJsPmh0dHBzOi8vZG9pLm9yZy8xMC4xMDE2L1MyNDY4LTEyNTMoMjEpMDAyMTktMzwvdXJsPjwvcmVsYXRlZC11cmxzPjxwZGYtdXJscy8+PC91cmxzPjwvcmVjb3JkPjwvQ2l0ZT48L0VuZE5vdGU+</w:fldData>
        </w:fldChar>
      </w:r>
      <w:r>
        <w:instrText xml:space="preserve"> ADDIN EN.CITE.DATA </w:instrText>
      </w:r>
      <w:r>
        <w:fldChar w:fldCharType="end"/>
      </w:r>
      <w:r>
        <w:fldChar w:fldCharType="separate"/>
      </w:r>
      <w:r>
        <w:t xml:space="preserve">[V12-13]</w:t>
      </w:r>
      <w:r>
        <w:fldChar w:fldCharType="end"/>
      </w:r>
    </w:p>
    <w:p>
      <w:pPr>
        <w:pStyle w:val="Normal"/>
        <w:widowControl/>
        <w:numPr>
          <w:ilvl w:val="0"/>
          <w:numId w:val="3"/>
        </w:numPr>
      </w:pPr>
      <w:r>
        <w:t xml:space="preserve">Any treatment decision requires joint medical-oncology, transplant-surgery, hepatology, and transplant-pharmacy review; the absence of proven overall-survival benefit must be documented.</w:t>
      </w:r>
    </w:p>
    <w:p>
      <w:pPr>
        <w:pStyle w:val="Normal"/>
        <w:widowControl/>
        <w:numPr>
          <w:ilvl w:val="0"/>
          <w:numId w:val="3"/>
        </w:numPr>
      </w:pPr>
      <w:r>
        <w:t xml:space="preserve">If investigational adjuvant therapy is selected, timing must depend on graft function, wound healing, infection status, marrow recovery, and immunosuppressant interactions.</w:t>
      </w:r>
    </w:p>
    <w:p>
      <w:pPr>
        <w:pStyle w:val="Normal"/>
        <w:widowControl/>
        <w:numPr>
          <w:ilvl w:val="0"/>
          <w:numId w:val="3"/>
        </w:numPr>
      </w:pPr>
      <w:r>
        <w:t xml:space="preserve">Duration is not evidence-defined after LT and must be specified by the approved protocol.</w:t>
      </w:r>
    </w:p>
    <w:p>
      <w:pPr>
        <w:pStyle w:val="Normal"/>
        <w:widowControl/>
        <w:numPr>
          <w:ilvl w:val="0"/>
          <w:numId w:val="3"/>
        </w:numPr>
      </w:pPr>
      <w:r>
        <w:t xml:space="preserve">Note: The IHPBA LT-CoMet 21 guidelines do not recommend routine adjuvant chemotherapy given the absence of proven OS benefit and risk of chemotoxicity in immunosuppressed patients</w:t>
      </w:r>
      <w:r>
        <w:t xml:space="preserve"> </w:t>
      </w:r>
      <w:r>
        <w:t xml:space="preserve"> </w:t>
      </w:r>
      <w:r>
        <w:fldChar w:fldCharType="begin"/>
      </w:r>
      <w:r>
        <w:instrText xml:space="preserve"> ADDIN EN.CITE </w:instrText>
      </w:r>
      <w:r>
        <w:fldChar w:fldCharType="begin">
          <w:fldData>PEVuZE5vdGU+PENpdGU+PEF1dGhvcj5Cb25uZXk8L0F1dGhvcj48WWVhcj4yMDIxPC9ZZWFyPjxSZWNOdW0+MTM8L1JlY051bT48RGlzcGxheVRleHQ+W1YxMi0xM108L0Rpc3BsYXlUZXh0PjxyZWNvcmQ+PHJlYy1udW1iZXI+MTM8L3JlYy1udW1iZXI+PGZvcmVpZ24ta2V5cz48a2V5IGFwcD0iRU4iIGRiLWlkPSJjZTFlZjNiMS00NjUxLTU3NDMtYWM5MS02OTk1ZWM1N2FiYmYiIHRpbWVzdGFtcD0iMTc5MjkyMTA4NiI+MTM8L2tleT48L2ZvcmVpZ24ta2V5cz48cmVmLXR5cGUgbmFtZT0iSm91cm5hbCBBcnRpY2xlIj4xNzwvcmVmLXR5cGU+PGNvbnRyaWJ1dG9ycz48YXV0aG9ycz48YXV0aG9yPkJvbm5leSwgR2xlbm4gSzwvYXV0aG9yPjxhdXRob3I+Q2hldywgQ2xhaXJlIEFsZXhhbmRyYTwvYXV0aG9yPjxhdXRob3I+TG9kZ2UsIFBldGVyPC9hdXRob3I+PGF1dGhvcj5IdWJiYXJkLCBKb2xlZW48L2F1dGhvcj48YXV0aG9yPkhhbGF6dW4sIEthcmltIEo8L2F1dGhvcj48YXV0aG9yPlRydW5lY2thLCBQYXZlbDwvYXV0aG9yPjxhdXRob3I+TXVpZXNhbiwgUGFvbG88L2F1dGhvcj48YXV0aG9yPk1pcnphLCBEYXJpdXMgRjwvYXV0aG9yPjxhdXRob3I+SXNhYWMsIEpvaG48L2F1dGhvcj48YXV0aG9yPkxhaW5nLCBSaWNoYXJkIFc8L2F1dGhvcj48YXV0aG9yPkl5ZXIsIFNocmlkaGFyIEdhbnBhdGhpPC9hdXRob3I+PGF1dGhvcj5DaGVlLCBDaGVuZyBFYW48L2F1dGhvcj48YXV0aG9yPllvbmcsIFdlaSBQZW5nPC9hdXRob3I+PGF1dGhvcj5NdXRoaWFoLCBNYXJrIERoaW5lc2g8L2F1dGhvcj48YXV0aG9yPlBhbmFybywgRmFicml6aW88L2F1dGhvcj48YXV0aG9yPlNhbmFicmlhLCBKdWFuPC9hdXRob3I+PGF1dGhvcj5Hcm90aGV5LCBBeGVsPC9hdXRob3I+PGF1dGhvcj5Nb29kbGV5LCBLZXltYW50aHJpPC9hdXRob3I+PGF1dGhvcj5DaGF1LCBJYW48L2F1dGhvcj48YXV0aG9yPkNoYW4sIEFsYmVydCBDIFk8L2F1dGhvcj48YXV0aG9yPldhbmcsIENoaWggQ2hpPC9hdXRob3I+PGF1dGhvcj5NZW5vbiwgS3Jpc2huYTwvYXV0aG9yPjxhdXRob3I+U2FwaXNvY2hpbiwgR29uemFsbzwvYXV0aG9yPjxhdXRob3I+SGFnbmVzcywgTW9ydGVuPC9hdXRob3I+PGF1dGhvcj5EdWVsYW5kLCBTdmVpbjwvYXV0aG9yPjxhdXRob3I+TGluZSwgUCYjMjI5O2wtRGFnPC9hdXRob3I+PGF1dGhvcj5BZGFtLCBSZW4mIzIzMzs8L2F1dGhvcj48L2F1dGhvcnM+PC9jb250cmlidXRvcnM+PHRpdGxlcz48dGl0bGU+TGl2ZXIgdHJhbnNwbGFudGF0aW9uIGZvciBub24tcmVzZWN0YWJsZSBjb2xvcmVjdGFsIGxpdmVyIG1ldGFzdGFzZXM6IHRoZSBJbnRlcm5hdGlvbmFsIEhlcGF0by1QYW5jcmVhdG8tQmlsaWFyeSBBc3NvY2lhdGlvbiBjb25zZW5zdXMgZ3VpZGVsaW5lczwvdGl0bGU+PHNlY29uZGFyeS10aXRsZT5UaGUgbGFuY2V0LiBHYXN0cm9lbnRlcm9sb2d5ICZhbXA7IGhlcGF0b2xvZ3k8L3NlY29uZGFyeS10aXRsZT48L3RpdGxlcz48cGVyaW9kaWNhbD48ZnVsbC10aXRsZT5UaGUgbGFuY2V0LiBHYXN0cm9lbnRlcm9sb2d5ICZhbXA7IGhlcGF0b2xvZ3k8L2Z1bGwtdGl0bGU+PC9wZXJpb2RpY2FsPjxkYXRlcz48eWVhcj4yMDIxPC95ZWFyPjwvZGF0ZXM+PHZvbHVtZT42PC92b2x1bWU+PG51bWJlcj4xMTwvbnVtYmVyPjxwYWdlcz45MzMtOTQ2PC9wYWdlcz48ZWxlY3Ryb25pYy1yZXNvdXJjZS1udW0+MTAuMTAxNi9TMjQ2OC0xMjUzKDIxKTAwMjE5LTM8L2VsZWN0cm9uaWMtcmVzb3VyY2UtbnVtPjxub3Rlcz5FeHBlcnQgY29uc2Vuc3VzIENvbXBsZXRlIGxvY2FsIHByaW1hcnkgUERGIGF2YWlsYWJsZTsgcmVsZXZhbnQgbWV0aG9kcywgc2VsZWN0aW9uLCByZXN1bHRzIGFuZCBsaW1pdGF0aW9ucyByZXZpZXdlZCBTZWxlY3Rpb24sIGJpb2xvZ2ljYWwgcHJvZ25vc2lzIGFuZCB0ZWNobmljYWwgcmVzZWN0YWJpbGl0eSBoYXZlIGRpc3RpbmN0IHJvbGVzLiBBbiBleHBlcnQgcmVjb21tZW5kYXRpb24gaXMgbm90IGEgbmF0aW9uYWwgYWxsb2NhdGlvbiBydWxlLjwvbm90ZXM+PHVybHM+PHJlbGF0ZWQtdXJscz48dXJsPmh0dHBzOi8vZG9pLm9yZy8xMC4xMDE2L1MyNDY4LTEyNTMoMjEpMDAyMTktMzwvdXJsPjwvcmVsYXRlZC11cmxzPjxwZGYtdXJscy8+PC91cmxzPjwvcmVjb3JkPjwvQ2l0ZT48L0VuZE5vdGU+</w:fldData>
        </w:fldChar>
      </w:r>
      <w:r>
        <w:instrText xml:space="preserve"> ADDIN EN.CITE.DATA </w:instrText>
      </w:r>
      <w:r>
        <w:fldChar w:fldCharType="end"/>
      </w:r>
      <w:r>
        <w:fldChar w:fldCharType="separate"/>
      </w:r>
      <w:r>
        <w:t xml:space="preserve">[V12-13]</w:t>
      </w:r>
      <w:r>
        <w:fldChar w:fldCharType="end"/>
      </w:r>
    </w:p>
    <w:p>
      <w:pPr>
        <w:pStyle w:val="Heading3"/>
        <w:keepNext/>
        <w:widowControl/>
      </w:pPr>
      <w:r>
        <w:t xml:space="preserve">9. Post-Transplant Surveillance</w:t>
      </w:r>
    </w:p>
    <w:p>
      <w:pPr>
        <w:pStyle w:val="Normal"/>
        <w:widowControl/>
      </w:pPr>
      <w:r>
        <w:t xml:space="preserve">Oncologic Surveillance:</w:t>
      </w:r>
      <w:r>
        <w:t xml:space="preserve"> </w:t>
      </w:r>
      <w:r>
        <w:t xml:space="preserve"> </w:t>
      </w:r>
      <w:r>
        <w:fldChar w:fldCharType="begin"/>
      </w:r>
      <w:r>
        <w:instrText xml:space="preserve"> ADDIN EN.CITE </w:instrText>
      </w:r>
      <w:r>
        <w:fldChar w:fldCharType="begin">
          <w:fldData>PEVuZE5vdGU+PENpdGU+PEF1dGhvcj5BZGFtPC9BdXRob3I+PFllYXI+MjAyNDwvWWVhcj48UmVjTnVtPjM8L1JlY051bT48RGlzcGxheVRleHQ+W1YxMi0zXTwvRGlzcGxheVRleHQ+PHJlY29yZD48cmVjLW51bWJlcj4zPC9yZWMtbnVtYmVyPjxmb3JlaWduLWtleXM+PGtleSBhcHA9IkVOIiBkYi1pZD0iY2UxZWYzYjEtNDY1MS01NzQzLWFjOTEtNjk5NWVjNTdhYmJmIiB0aW1lc3RhbXA9IjE3OTI5MjEwODYiPjM8L2tleT48L2ZvcmVpZ24ta2V5cz48cmVmLXR5cGUgbmFtZT0iSm91cm5hbCBBcnRpY2xlIj4xNzwvcmVmLXR5cGU+PGNvbnRyaWJ1dG9ycz48YXV0aG9ycz48YXV0aG9yPkFkYW0sIFJlbiYjMjMzOzwvYXV0aG9yPjxhdXRob3I+UGllZHZhY2hlLCBDJiMyMzM7bGluZTwvYXV0aG9yPjxhdXRob3I+Q2hpY2hlLCBMYXVyZW5jZTwvYXV0aG9yPjxhdXRob3I+QWRhbSwgSmVhbiBQaGlsaXBwZTwvYXV0aG9yPjxhdXRob3I+U2FsYW0mIzIzMzssIEVwaHJlbTwvYXV0aG9yPjxhdXRob3I+QnVjdXIsIFBldHJ1PC9hdXRob3I+PGF1dGhvcj5DaGVycXVpLCBEYW5pZWw8L2F1dGhvcj48YXV0aG9yPlNjYXR0b24sIE9saXZpZXI8L2F1dGhvcj48YXV0aG9yPkdyYW5nZXIsIFZpY3RvaXJlPC9hdXRob3I+PGF1dGhvcj5EdWNyZXV4LCBNaWNoZWw8L2F1dGhvcj48YXV0aG9yPkNpbGxvLCBVbWJlcnRvPC9hdXRob3I+PGF1dGhvcj5DYXVjaHksIEZyYW4mIzIzMTtvaXM8L2F1dGhvcj48YXV0aG9yPk1hYnJ1dCwgSmVhbi1ZdmVzPC9hdXRob3I+PGF1dGhvcj5WZXJzbHlwZSwgQ2hyaXM8L2F1dGhvcj48YXV0aG9yPkNvdWJlYXUsIExhdXJlbnQ8L2F1dGhvcj48YXV0aG9yPkhhcmR3aWdzZW4sIEplYW48L2F1dGhvcj48YXV0aG9yPkJvbGVzbGF3c2tpLCBFbW1hbnVlbDwvYXV0aG9yPjxhdXRob3I+TXVzY2FyaSwgRmFicmljZTwvYXV0aG9yPjxhdXRob3I+SmVkZG91LCBIZWl0aGVtPC9hdXRob3I+PGF1dGhvcj5QZXpldCwgRGVuaXM8L2F1dGhvcj48YXV0aG9yPkhleWQsIEJydW5vPC9hdXRob3I+PGF1dGhvcj5MdWNpZGksIFZhbGVyaW88L2F1dGhvcj48YXV0aG9yPkdlYm9lcywgS2FyZW48L2F1dGhvcj48YXV0aG9yPkxlcnV0LCBKYW48L2F1dGhvcj48YXV0aG9yPk1ham5vLCBQaWV0cm88L2F1dGhvcj48YXV0aG9yPkdyaW1hbGRpLCBMYW1pYWU8L2F1dGhvcj48YXV0aG9yPkxldmksIEZyYW5jaXM8L2F1dGhvcj48YXV0aG9yPkxld2luLCBNYSYjMjM5O3QmIzIzMzs8L2F1dGhvcj48YXV0aG9yPkdlbGxpLCBNYXhpbWlsaWFubzwvYXV0aG9yPjxhdXRob3I+Q29sbGFib3JhdGl2ZSBUcmFuc01ldCBncm91cCw8L2F1dGhvcj48L2F1dGhvcnM+PC9jb250cmlidXRvcnM+PHRpdGxlcz48dGl0bGU+TGl2ZXIgdHJhbnNwbGFudGF0aW9uIHBsdXMgY2hlbW90aGVyYXB5IHZlcnN1cyBjaGVtb3RoZXJhcHkgYWxvbmUgaW4gcGF0aWVudHMgd2l0aCBwZXJtYW5lbnRseSB1bnJlc2VjdGFibGUgY29sb3JlY3RhbCBsaXZlciBtZXRhc3Rhc2VzIChUcmFuc01ldCk6IHJlc3VsdHMgZnJvbSBhIG11bHRpY2VudHJlLCBvcGVuLWxhYmVsLCBwcm9zcGVjdGl2ZSwgcmFuZG9taXNlZCBjb250cm9sbGVkIHRyaWFsPC90aXRsZT48c2Vjb25kYXJ5LXRpdGxlPkxhbmNldCAoTG9uZG9uLCBFbmdsYW5kKTwvc2Vjb25kYXJ5LXRpdGxlPjwvdGl0bGVzPjxwZXJpb2RpY2FsPjxmdWxsLXRpdGxlPkxhbmNldCAoTG9uZG9uLCBFbmdsYW5kKTwvZnVsbC10aXRsZT48L3BlcmlvZGljYWw+PGRhdGVzPjx5ZWFyPjIwMjQ8L3llYXI+PC9kYXRlcz48dm9sdW1lPjQwNDwvdm9sdW1lPjxudW1iZXI+MTA0NTg8L251bWJlcj48cGFnZXM+MTEwNy0xMTE4PC9wYWdlcz48ZWxlY3Ryb25pYy1yZXNvdXJjZS1udW0+MTAuMTAxNi9TMDE0MC02NzM2KDI0KTAxNTk1LTI8L2VsZWN0cm9uaWMtcmVzb3VyY2UtbnVtPjxub3Rlcz5NdWx0aWNlbnRlciByYW5kb21pemVkIHRyaWFsIENvbXBsZXRlIGxvY2FsIHByaW1hcnkgUERGIGF2YWlsYWJsZTsgcmVsZXZhbnQgbWV0aG9kcywgc2VsZWN0aW9uLCByZXN1bHRzIGFuZCBsaW1pdGF0aW9ucyByZXZpZXdlZCA5NCByYW5kb21pemVkLCA0NyBwZXIgYXJtOyBmaXZlLXllYXIgSVRUIE9TIDU2LjYlIHZzIDEyLjYlLiBOYXJyb3dseSBzZWxlY3RlZCwgQlJBRi1ub25tdXRhdGVkLCBFQ09HIDAmIzgyMTE7MSwgUjAgcHJpbWFyeSwgYXQgbW9zdCB0aHJlZSBsaW5lcy4gQmFzZWxpbmUgYW5kIHRyZWF0ZWQgbGVzaW9uIG1hcHMgaW5mb3JtZWQgdW5yZXNlY3RhYmlsaXR5Ljwvbm90ZXM+PHVybHM+PHJlbGF0ZWQtdXJscz48dXJsPmh0dHBzOi8vZG9pLm9yZy8xMC4xMDE2L1MwMTQwLTY3MzYoMjQpMDE1OTUtMj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p>
    <w:p>
      <w:pPr>
        <w:pStyle w:val="Normal"/>
        <w:widowControl/>
        <w:numPr>
          <w:ilvl w:val="0"/>
          <w:numId w:val="3"/>
        </w:numPr>
      </w:pPr>
      <w:r>
        <w:t xml:space="preserve">CT chest/abdomen/pelvis + tumor markers (CEA) every 3 months for years 1–2</w:t>
      </w:r>
    </w:p>
    <w:p>
      <w:pPr>
        <w:pStyle w:val="Normal"/>
        <w:widowControl/>
        <w:numPr>
          <w:ilvl w:val="0"/>
          <w:numId w:val="3"/>
        </w:numPr>
      </w:pPr>
      <w:r>
        <w:t xml:space="preserve">CT chest/abdomen/pelvis + tumor markers every 6 months for years 3–5</w:t>
      </w:r>
    </w:p>
    <w:p>
      <w:pPr>
        <w:pStyle w:val="Normal"/>
        <w:widowControl/>
        <w:numPr>
          <w:ilvl w:val="0"/>
          <w:numId w:val="3"/>
        </w:numPr>
      </w:pPr>
      <w:r>
        <w:t xml:space="preserve">PET-CT at 6, 12, 24 months, then annually through year 5</w:t>
      </w:r>
    </w:p>
    <w:p>
      <w:pPr>
        <w:pStyle w:val="Normal"/>
        <w:widowControl/>
        <w:numPr>
          <w:ilvl w:val="0"/>
          <w:numId w:val="3"/>
        </w:numPr>
      </w:pPr>
      <w:r>
        <w:t xml:space="preserve">Colonoscopy at 1 year post-LT, then per standard CRC surveillance guidelines</w:t>
      </w:r>
    </w:p>
    <w:p>
      <w:pPr>
        <w:pStyle w:val="Normal"/>
        <w:widowControl/>
      </w:pPr>
      <w:r>
        <w:t xml:space="preserve">Transplant Surveillance:</w:t>
      </w:r>
    </w:p>
    <w:p>
      <w:pPr>
        <w:pStyle w:val="Normal"/>
        <w:widowControl/>
        <w:numPr>
          <w:ilvl w:val="0"/>
          <w:numId w:val="3"/>
        </w:numPr>
      </w:pPr>
      <w:r>
        <w:t xml:space="preserve">Per institutional liver transplant follow-up protocol (liver function tests, immunosuppression drug levels, renal function, metabolic monitoring)</w:t>
      </w:r>
    </w:p>
    <w:p>
      <w:pPr>
        <w:pStyle w:val="Heading3"/>
        <w:keepNext/>
        <w:widowControl/>
      </w:pPr>
      <w:r>
        <w:t xml:space="preserve">10. Management of Recurrence</w:t>
      </w:r>
    </w:p>
    <w:p>
      <w:pPr>
        <w:pStyle w:val="Normal"/>
        <w:widowControl/>
        <w:numPr>
          <w:ilvl w:val="0"/>
          <w:numId w:val="3"/>
        </w:numPr>
      </w:pPr>
      <w:r>
        <w:t xml:space="preserve">Recurrence is common (~50–74%), predominantly pulmonary</w:t>
      </w:r>
      <w:r>
        <w:t xml:space="preserve"> </w:t>
      </w:r>
      <w:r>
        <w:t xml:space="preserve"> </w:t>
      </w:r>
      <w:r>
        <w:fldChar w:fldCharType="begin"/>
      </w:r>
      <w:r>
        <w:instrText xml:space="preserve"> ADDIN EN.CITE </w:instrText>
      </w:r>
      <w:r>
        <w:fldChar w:fldCharType="begin">
          <w:fldData>PEVuZE5vdGU+PENpdGU+PEF1dGhvcj5BZGFtPC9BdXRob3I+PFllYXI+MjAyNDwvWWVhcj48UmVjTnVtPjM8L1JlY051bT48RGlzcGxheVRleHQ+W1YxMi0zXTwvRGlzcGxheVRleHQ+PHJlY29yZD48cmVjLW51bWJlcj4zPC9yZWMtbnVtYmVyPjxmb3JlaWduLWtleXM+PGtleSBhcHA9IkVOIiBkYi1pZD0iY2UxZWYzYjEtNDY1MS01NzQzLWFjOTEtNjk5NWVjNTdhYmJmIiB0aW1lc3RhbXA9IjE3OTI5MjEwODYiPjM8L2tleT48L2ZvcmVpZ24ta2V5cz48cmVmLXR5cGUgbmFtZT0iSm91cm5hbCBBcnRpY2xlIj4xNzwvcmVmLXR5cGU+PGNvbnRyaWJ1dG9ycz48YXV0aG9ycz48YXV0aG9yPkFkYW0sIFJlbiYjMjMzOzwvYXV0aG9yPjxhdXRob3I+UGllZHZhY2hlLCBDJiMyMzM7bGluZTwvYXV0aG9yPjxhdXRob3I+Q2hpY2hlLCBMYXVyZW5jZTwvYXV0aG9yPjxhdXRob3I+QWRhbSwgSmVhbiBQaGlsaXBwZTwvYXV0aG9yPjxhdXRob3I+U2FsYW0mIzIzMzssIEVwaHJlbTwvYXV0aG9yPjxhdXRob3I+QnVjdXIsIFBldHJ1PC9hdXRob3I+PGF1dGhvcj5DaGVycXVpLCBEYW5pZWw8L2F1dGhvcj48YXV0aG9yPlNjYXR0b24sIE9saXZpZXI8L2F1dGhvcj48YXV0aG9yPkdyYW5nZXIsIFZpY3RvaXJlPC9hdXRob3I+PGF1dGhvcj5EdWNyZXV4LCBNaWNoZWw8L2F1dGhvcj48YXV0aG9yPkNpbGxvLCBVbWJlcnRvPC9hdXRob3I+PGF1dGhvcj5DYXVjaHksIEZyYW4mIzIzMTtvaXM8L2F1dGhvcj48YXV0aG9yPk1hYnJ1dCwgSmVhbi1ZdmVzPC9hdXRob3I+PGF1dGhvcj5WZXJzbHlwZSwgQ2hyaXM8L2F1dGhvcj48YXV0aG9yPkNvdWJlYXUsIExhdXJlbnQ8L2F1dGhvcj48YXV0aG9yPkhhcmR3aWdzZW4sIEplYW48L2F1dGhvcj48YXV0aG9yPkJvbGVzbGF3c2tpLCBFbW1hbnVlbDwvYXV0aG9yPjxhdXRob3I+TXVzY2FyaSwgRmFicmljZTwvYXV0aG9yPjxhdXRob3I+SmVkZG91LCBIZWl0aGVtPC9hdXRob3I+PGF1dGhvcj5QZXpldCwgRGVuaXM8L2F1dGhvcj48YXV0aG9yPkhleWQsIEJydW5vPC9hdXRob3I+PGF1dGhvcj5MdWNpZGksIFZhbGVyaW88L2F1dGhvcj48YXV0aG9yPkdlYm9lcywgS2FyZW48L2F1dGhvcj48YXV0aG9yPkxlcnV0LCBKYW48L2F1dGhvcj48YXV0aG9yPk1ham5vLCBQaWV0cm88L2F1dGhvcj48YXV0aG9yPkdyaW1hbGRpLCBMYW1pYWU8L2F1dGhvcj48YXV0aG9yPkxldmksIEZyYW5jaXM8L2F1dGhvcj48YXV0aG9yPkxld2luLCBNYSYjMjM5O3QmIzIzMzs8L2F1dGhvcj48YXV0aG9yPkdlbGxpLCBNYXhpbWlsaWFubzwvYXV0aG9yPjxhdXRob3I+Q29sbGFib3JhdGl2ZSBUcmFuc01ldCBncm91cCw8L2F1dGhvcj48L2F1dGhvcnM+PC9jb250cmlidXRvcnM+PHRpdGxlcz48dGl0bGU+TGl2ZXIgdHJhbnNwbGFudGF0aW9uIHBsdXMgY2hlbW90aGVyYXB5IHZlcnN1cyBjaGVtb3RoZXJhcHkgYWxvbmUgaW4gcGF0aWVudHMgd2l0aCBwZXJtYW5lbnRseSB1bnJlc2VjdGFibGUgY29sb3JlY3RhbCBsaXZlciBtZXRhc3Rhc2VzIChUcmFuc01ldCk6IHJlc3VsdHMgZnJvbSBhIG11bHRpY2VudHJlLCBvcGVuLWxhYmVsLCBwcm9zcGVjdGl2ZSwgcmFuZG9taXNlZCBjb250cm9sbGVkIHRyaWFsPC90aXRsZT48c2Vjb25kYXJ5LXRpdGxlPkxhbmNldCAoTG9uZG9uLCBFbmdsYW5kKTwvc2Vjb25kYXJ5LXRpdGxlPjwvdGl0bGVzPjxwZXJpb2RpY2FsPjxmdWxsLXRpdGxlPkxhbmNldCAoTG9uZG9uLCBFbmdsYW5kKTwvZnVsbC10aXRsZT48L3BlcmlvZGljYWw+PGRhdGVzPjx5ZWFyPjIwMjQ8L3llYXI+PC9kYXRlcz48dm9sdW1lPjQwNDwvdm9sdW1lPjxudW1iZXI+MTA0NTg8L251bWJlcj48cGFnZXM+MTEwNy0xMTE4PC9wYWdlcz48ZWxlY3Ryb25pYy1yZXNvdXJjZS1udW0+MTAuMTAxNi9TMDE0MC02NzM2KDI0KTAxNTk1LTI8L2VsZWN0cm9uaWMtcmVzb3VyY2UtbnVtPjxub3Rlcz5NdWx0aWNlbnRlciByYW5kb21pemVkIHRyaWFsIENvbXBsZXRlIGxvY2FsIHByaW1hcnkgUERGIGF2YWlsYWJsZTsgcmVsZXZhbnQgbWV0aG9kcywgc2VsZWN0aW9uLCByZXN1bHRzIGFuZCBsaW1pdGF0aW9ucyByZXZpZXdlZCA5NCByYW5kb21pemVkLCA0NyBwZXIgYXJtOyBmaXZlLXllYXIgSVRUIE9TIDU2LjYlIHZzIDEyLjYlLiBOYXJyb3dseSBzZWxlY3RlZCwgQlJBRi1ub25tdXRhdGVkLCBFQ09HIDAmIzgyMTE7MSwgUjAgcHJpbWFyeSwgYXQgbW9zdCB0aHJlZSBsaW5lcy4gQmFzZWxpbmUgYW5kIHRyZWF0ZWQgbGVzaW9uIG1hcHMgaW5mb3JtZWQgdW5yZXNlY3RhYmlsaXR5Ljwvbm90ZXM+PHVybHM+PHJlbGF0ZWQtdXJscz48dXJsPmh0dHBzOi8vZG9pLm9yZy8xMC4xMDE2L1MwMTQwLTY3MzYoMjQpMDE1OTUtMj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p>
    <w:p>
      <w:pPr>
        <w:pStyle w:val="Normal"/>
        <w:widowControl/>
        <w:numPr>
          <w:ilvl w:val="0"/>
          <w:numId w:val="3"/>
        </w:numPr>
      </w:pPr>
      <w:r>
        <w:t xml:space="preserve">Small, slow-growing pulmonary metastases may be observed until amenable to curative resection</w:t>
      </w:r>
      <w:r>
        <w:t xml:space="preserve"> </w:t>
      </w:r>
      <w:r>
        <w:t xml:space="preserve"> </w:t>
      </w:r>
      <w:r>
        <w:fldChar w:fldCharType="begin"/>
      </w:r>
      <w:r>
        <w:instrText xml:space="preserve"> ADDIN EN.CITE </w:instrText>
      </w:r>
      <w:r>
        <w:fldChar w:fldCharType="begin">
          <w:fldData>PEVuZE5vdGU+PENpdGU+PEF1dGhvcj5Cb25uZXk8L0F1dGhvcj48WWVhcj4yMDIxPC9ZZWFyPjxSZWNOdW0+MTM8L1JlY051bT48RGlzcGxheVRleHQ+W1YxMi0xM108L0Rpc3BsYXlUZXh0PjxyZWNvcmQ+PHJlYy1udW1iZXI+MTM8L3JlYy1udW1iZXI+PGZvcmVpZ24ta2V5cz48a2V5IGFwcD0iRU4iIGRiLWlkPSJjZTFlZjNiMS00NjUxLTU3NDMtYWM5MS02OTk1ZWM1N2FiYmYiIHRpbWVzdGFtcD0iMTc5MjkyMTA4NiI+MTM8L2tleT48L2ZvcmVpZ24ta2V5cz48cmVmLXR5cGUgbmFtZT0iSm91cm5hbCBBcnRpY2xlIj4xNzwvcmVmLXR5cGU+PGNvbnRyaWJ1dG9ycz48YXV0aG9ycz48YXV0aG9yPkJvbm5leSwgR2xlbm4gSzwvYXV0aG9yPjxhdXRob3I+Q2hldywgQ2xhaXJlIEFsZXhhbmRyYTwvYXV0aG9yPjxhdXRob3I+TG9kZ2UsIFBldGVyPC9hdXRob3I+PGF1dGhvcj5IdWJiYXJkLCBKb2xlZW48L2F1dGhvcj48YXV0aG9yPkhhbGF6dW4sIEthcmltIEo8L2F1dGhvcj48YXV0aG9yPlRydW5lY2thLCBQYXZlbDwvYXV0aG9yPjxhdXRob3I+TXVpZXNhbiwgUGFvbG88L2F1dGhvcj48YXV0aG9yPk1pcnphLCBEYXJpdXMgRjwvYXV0aG9yPjxhdXRob3I+SXNhYWMsIEpvaG48L2F1dGhvcj48YXV0aG9yPkxhaW5nLCBSaWNoYXJkIFc8L2F1dGhvcj48YXV0aG9yPkl5ZXIsIFNocmlkaGFyIEdhbnBhdGhpPC9hdXRob3I+PGF1dGhvcj5DaGVlLCBDaGVuZyBFYW48L2F1dGhvcj48YXV0aG9yPllvbmcsIFdlaSBQZW5nPC9hdXRob3I+PGF1dGhvcj5NdXRoaWFoLCBNYXJrIERoaW5lc2g8L2F1dGhvcj48YXV0aG9yPlBhbmFybywgRmFicml6aW88L2F1dGhvcj48YXV0aG9yPlNhbmFicmlhLCBKdWFuPC9hdXRob3I+PGF1dGhvcj5Hcm90aGV5LCBBeGVsPC9hdXRob3I+PGF1dGhvcj5Nb29kbGV5LCBLZXltYW50aHJpPC9hdXRob3I+PGF1dGhvcj5DaGF1LCBJYW48L2F1dGhvcj48YXV0aG9yPkNoYW4sIEFsYmVydCBDIFk8L2F1dGhvcj48YXV0aG9yPldhbmcsIENoaWggQ2hpPC9hdXRob3I+PGF1dGhvcj5NZW5vbiwgS3Jpc2huYTwvYXV0aG9yPjxhdXRob3I+U2FwaXNvY2hpbiwgR29uemFsbzwvYXV0aG9yPjxhdXRob3I+SGFnbmVzcywgTW9ydGVuPC9hdXRob3I+PGF1dGhvcj5EdWVsYW5kLCBTdmVpbjwvYXV0aG9yPjxhdXRob3I+TGluZSwgUCYjMjI5O2wtRGFnPC9hdXRob3I+PGF1dGhvcj5BZGFtLCBSZW4mIzIzMzs8L2F1dGhvcj48L2F1dGhvcnM+PC9jb250cmlidXRvcnM+PHRpdGxlcz48dGl0bGU+TGl2ZXIgdHJhbnNwbGFudGF0aW9uIGZvciBub24tcmVzZWN0YWJsZSBjb2xvcmVjdGFsIGxpdmVyIG1ldGFzdGFzZXM6IHRoZSBJbnRlcm5hdGlvbmFsIEhlcGF0by1QYW5jcmVhdG8tQmlsaWFyeSBBc3NvY2lhdGlvbiBjb25zZW5zdXMgZ3VpZGVsaW5lczwvdGl0bGU+PHNlY29uZGFyeS10aXRsZT5UaGUgbGFuY2V0LiBHYXN0cm9lbnRlcm9sb2d5ICZhbXA7IGhlcGF0b2xvZ3k8L3NlY29uZGFyeS10aXRsZT48L3RpdGxlcz48cGVyaW9kaWNhbD48ZnVsbC10aXRsZT5UaGUgbGFuY2V0LiBHYXN0cm9lbnRlcm9sb2d5ICZhbXA7IGhlcGF0b2xvZ3k8L2Z1bGwtdGl0bGU+PC9wZXJpb2RpY2FsPjxkYXRlcz48eWVhcj4yMDIxPC95ZWFyPjwvZGF0ZXM+PHZvbHVtZT42PC92b2x1bWU+PG51bWJlcj4xMTwvbnVtYmVyPjxwYWdlcz45MzMtOTQ2PC9wYWdlcz48ZWxlY3Ryb25pYy1yZXNvdXJjZS1udW0+MTAuMTAxNi9TMjQ2OC0xMjUzKDIxKTAwMjE5LTM8L2VsZWN0cm9uaWMtcmVzb3VyY2UtbnVtPjxub3Rlcz5FeHBlcnQgY29uc2Vuc3VzIENvbXBsZXRlIGxvY2FsIHByaW1hcnkgUERGIGF2YWlsYWJsZTsgcmVsZXZhbnQgbWV0aG9kcywgc2VsZWN0aW9uLCByZXN1bHRzIGFuZCBsaW1pdGF0aW9ucyByZXZpZXdlZCBTZWxlY3Rpb24sIGJpb2xvZ2ljYWwgcHJvZ25vc2lzIGFuZCB0ZWNobmljYWwgcmVzZWN0YWJpbGl0eSBoYXZlIGRpc3RpbmN0IHJvbGVzLiBBbiBleHBlcnQgcmVjb21tZW5kYXRpb24gaXMgbm90IGEgbmF0aW9uYWwgYWxsb2NhdGlvbiBydWxlLjwvbm90ZXM+PHVybHM+PHJlbGF0ZWQtdXJscz48dXJsPmh0dHBzOi8vZG9pLm9yZy8xMC4xMDE2L1MyNDY4LTEyNTMoMjEpMDAyMTktMzwvdXJsPjwvcmVsYXRlZC11cmxzPjxwZGYtdXJscy8+PC91cmxzPjwvcmVjb3JkPjwvQ2l0ZT48L0VuZE5vdGU+</w:fldData>
        </w:fldChar>
      </w:r>
      <w:r>
        <w:instrText xml:space="preserve"> ADDIN EN.CITE.DATA </w:instrText>
      </w:r>
      <w:r>
        <w:fldChar w:fldCharType="end"/>
      </w:r>
      <w:r>
        <w:fldChar w:fldCharType="separate"/>
      </w:r>
      <w:r>
        <w:t xml:space="preserve">[V12-13]</w:t>
      </w:r>
      <w:r>
        <w:fldChar w:fldCharType="end"/>
      </w:r>
    </w:p>
    <w:p>
      <w:pPr>
        <w:pStyle w:val="Normal"/>
        <w:widowControl/>
        <w:numPr>
          <w:ilvl w:val="0"/>
          <w:numId w:val="3"/>
        </w:numPr>
      </w:pPr>
      <w:r>
        <w:t xml:space="preserve">Isolated extrahepatic recurrence, most commonly pulmonary, may reasonably be managed with metastasectomy or ablation when technically feasible and when the recurrence is solitary or oligometastatic and slow-growing. This is consensus opinion based on observational series, not a strong recommendation: no controlled data establish a survival benefit for aggressive local therapy of post-transplant recurrence in this population. Decisions require MDT review with explicit consideration of immunosuppression burden.</w:t>
      </w:r>
      <w:r>
        <w:t xml:space="preserve"> </w:t>
      </w:r>
      <w:r>
        <w:t xml:space="preserve"> </w:t>
      </w:r>
      <w:r>
        <w:fldChar w:fldCharType="begin"/>
      </w:r>
      <w:r>
        <w:instrText xml:space="preserve"> ADDIN EN.CITE </w:instrText>
      </w:r>
      <w:r>
        <w:fldChar w:fldCharType="begin">
          <w:fldData>PEVuZE5vdGU+PENpdGU+PEF1dGhvcj5Cb25uZXk8L0F1dGhvcj48WWVhcj4yMDIxPC9ZZWFyPjxSZWNOdW0+MTM8L1JlY051bT48RGlzcGxheVRleHQ+W1YxMi0xM108L0Rpc3BsYXlUZXh0PjxyZWNvcmQ+PHJlYy1udW1iZXI+MTM8L3JlYy1udW1iZXI+PGZvcmVpZ24ta2V5cz48a2V5IGFwcD0iRU4iIGRiLWlkPSJjZTFlZjNiMS00NjUxLTU3NDMtYWM5MS02OTk1ZWM1N2FiYmYiIHRpbWVzdGFtcD0iMTc5MjkyMTA4NiI+MTM8L2tleT48L2ZvcmVpZ24ta2V5cz48cmVmLXR5cGUgbmFtZT0iSm91cm5hbCBBcnRpY2xlIj4xNzwvcmVmLXR5cGU+PGNvbnRyaWJ1dG9ycz48YXV0aG9ycz48YXV0aG9yPkJvbm5leSwgR2xlbm4gSzwvYXV0aG9yPjxhdXRob3I+Q2hldywgQ2xhaXJlIEFsZXhhbmRyYTwvYXV0aG9yPjxhdXRob3I+TG9kZ2UsIFBldGVyPC9hdXRob3I+PGF1dGhvcj5IdWJiYXJkLCBKb2xlZW48L2F1dGhvcj48YXV0aG9yPkhhbGF6dW4sIEthcmltIEo8L2F1dGhvcj48YXV0aG9yPlRydW5lY2thLCBQYXZlbDwvYXV0aG9yPjxhdXRob3I+TXVpZXNhbiwgUGFvbG88L2F1dGhvcj48YXV0aG9yPk1pcnphLCBEYXJpdXMgRjwvYXV0aG9yPjxhdXRob3I+SXNhYWMsIEpvaG48L2F1dGhvcj48YXV0aG9yPkxhaW5nLCBSaWNoYXJkIFc8L2F1dGhvcj48YXV0aG9yPkl5ZXIsIFNocmlkaGFyIEdhbnBhdGhpPC9hdXRob3I+PGF1dGhvcj5DaGVlLCBDaGVuZyBFYW48L2F1dGhvcj48YXV0aG9yPllvbmcsIFdlaSBQZW5nPC9hdXRob3I+PGF1dGhvcj5NdXRoaWFoLCBNYXJrIERoaW5lc2g8L2F1dGhvcj48YXV0aG9yPlBhbmFybywgRmFicml6aW88L2F1dGhvcj48YXV0aG9yPlNhbmFicmlhLCBKdWFuPC9hdXRob3I+PGF1dGhvcj5Hcm90aGV5LCBBeGVsPC9hdXRob3I+PGF1dGhvcj5Nb29kbGV5LCBLZXltYW50aHJpPC9hdXRob3I+PGF1dGhvcj5DaGF1LCBJYW48L2F1dGhvcj48YXV0aG9yPkNoYW4sIEFsYmVydCBDIFk8L2F1dGhvcj48YXV0aG9yPldhbmcsIENoaWggQ2hpPC9hdXRob3I+PGF1dGhvcj5NZW5vbiwgS3Jpc2huYTwvYXV0aG9yPjxhdXRob3I+U2FwaXNvY2hpbiwgR29uemFsbzwvYXV0aG9yPjxhdXRob3I+SGFnbmVzcywgTW9ydGVuPC9hdXRob3I+PGF1dGhvcj5EdWVsYW5kLCBTdmVpbjwvYXV0aG9yPjxhdXRob3I+TGluZSwgUCYjMjI5O2wtRGFnPC9hdXRob3I+PGF1dGhvcj5BZGFtLCBSZW4mIzIzMzs8L2F1dGhvcj48L2F1dGhvcnM+PC9jb250cmlidXRvcnM+PHRpdGxlcz48dGl0bGU+TGl2ZXIgdHJhbnNwbGFudGF0aW9uIGZvciBub24tcmVzZWN0YWJsZSBjb2xvcmVjdGFsIGxpdmVyIG1ldGFzdGFzZXM6IHRoZSBJbnRlcm5hdGlvbmFsIEhlcGF0by1QYW5jcmVhdG8tQmlsaWFyeSBBc3NvY2lhdGlvbiBjb25zZW5zdXMgZ3VpZGVsaW5lczwvdGl0bGU+PHNlY29uZGFyeS10aXRsZT5UaGUgbGFuY2V0LiBHYXN0cm9lbnRlcm9sb2d5ICZhbXA7IGhlcGF0b2xvZ3k8L3NlY29uZGFyeS10aXRsZT48L3RpdGxlcz48cGVyaW9kaWNhbD48ZnVsbC10aXRsZT5UaGUgbGFuY2V0LiBHYXN0cm9lbnRlcm9sb2d5ICZhbXA7IGhlcGF0b2xvZ3k8L2Z1bGwtdGl0bGU+PC9wZXJpb2RpY2FsPjxkYXRlcz48eWVhcj4yMDIxPC95ZWFyPjwvZGF0ZXM+PHZvbHVtZT42PC92b2x1bWU+PG51bWJlcj4xMTwvbnVtYmVyPjxwYWdlcz45MzMtOTQ2PC9wYWdlcz48ZWxlY3Ryb25pYy1yZXNvdXJjZS1udW0+MTAuMTAxNi9TMjQ2OC0xMjUzKDIxKTAwMjE5LTM8L2VsZWN0cm9uaWMtcmVzb3VyY2UtbnVtPjxub3Rlcz5FeHBlcnQgY29uc2Vuc3VzIENvbXBsZXRlIGxvY2FsIHByaW1hcnkgUERGIGF2YWlsYWJsZTsgcmVsZXZhbnQgbWV0aG9kcywgc2VsZWN0aW9uLCByZXN1bHRzIGFuZCBsaW1pdGF0aW9ucyByZXZpZXdlZCBTZWxlY3Rpb24sIGJpb2xvZ2ljYWwgcHJvZ25vc2lzIGFuZCB0ZWNobmljYWwgcmVzZWN0YWJpbGl0eSBoYXZlIGRpc3RpbmN0IHJvbGVzLiBBbiBleHBlcnQgcmVjb21tZW5kYXRpb24gaXMgbm90IGEgbmF0aW9uYWwgYWxsb2NhdGlvbiBydWxlLjwvbm90ZXM+PHVybHM+PHJlbGF0ZWQtdXJscz48dXJsPmh0dHBzOi8vZG9pLm9yZy8xMC4xMDE2L1MyNDY4LTEyNTMoMjEpMDAyMTktMzwvdXJsPjwvcmVsYXRlZC11cmxzPjxwZGYtdXJscy8+PC91cmxzPjwvcmVjb3JkPjwvQ2l0ZT48L0VuZE5vdGU+</w:fldData>
        </w:fldChar>
      </w:r>
      <w:r>
        <w:instrText xml:space="preserve"> ADDIN EN.CITE.DATA </w:instrText>
      </w:r>
      <w:r>
        <w:fldChar w:fldCharType="end"/>
      </w:r>
      <w:r>
        <w:fldChar w:fldCharType="separate"/>
      </w:r>
      <w:r>
        <w:t xml:space="preserve">[V12-13]</w:t>
      </w:r>
      <w:r>
        <w:fldChar w:fldCharType="end"/>
      </w:r>
    </w:p>
    <w:p>
      <w:pPr>
        <w:pStyle w:val="Normal"/>
        <w:widowControl/>
        <w:numPr>
          <w:ilvl w:val="0"/>
          <w:numId w:val="3"/>
        </w:numPr>
      </w:pPr>
      <w:r>
        <w:t xml:space="preserve">Systemic therapy for unresectable recurrence per standard mCRC guidelines</w:t>
      </w:r>
    </w:p>
    <w:p>
      <w:pPr>
        <w:pStyle w:val="Normal"/>
        <w:widowControl/>
        <w:numPr>
          <w:ilvl w:val="0"/>
          <w:numId w:val="3"/>
        </w:numPr>
      </w:pPr>
      <w:r>
        <w:t xml:space="preserve">Immunosuppression adjustment in consultation with transplant team</w:t>
      </w:r>
    </w:p>
    <w:p>
      <w:pPr>
        <w:pStyle w:val="Normal"/>
        <w:widowControl/>
      </w:pPr>
      <w:r>
        <w:t xml:space="preserve">Everolimus safety and evidence boundary: if selected under the current transplant-pharmacy protocol, adult liver-transplant use must not begin before postoperative day 30 under the US label. This is a drug-specific safety floor, not a mandatory conversion date, and does not establish cancer-recurrence benefit. Dose, trough target and CNI co-therapy require individualized graft, renal, vascular, wound, infection and interaction review.</w:t>
      </w:r>
      <w:r>
        <w:t xml:space="preserve"> </w:t>
      </w:r>
      <w:r>
        <w:t xml:space="preserve"> </w:t>
      </w:r>
      <w:r>
        <w:fldChar w:fldCharType="begin"/>
      </w:r>
      <w:r>
        <w:instrText xml:space="preserve"> ADDIN EN.CITE </w:instrText>
      </w:r>
      <w:r>
        <w:fldChar w:fldCharType="begin">
          <w:fldData>PEVuZE5vdGU+PENpdGU+PEF1dGhvcj5Ob3ZhcnRpcyBQaGFybWFjZXV0aWNhbHMgQ29ycG9yYXRpb248L0F1dGhvcj48WWVhcj4yMDI2PC9ZZWFyPjxSZWNOdW0+MTc8L1JlY051bT48RGlzcGxheVRleHQ+W1YxMi0xN108L0Rpc3BsYXlUZXh0PjxyZWNvcmQ+PHJlYy1udW1iZXI+MTc8L3JlYy1udW1iZXI+PGZvcmVpZ24ta2V5cz48a2V5IGFwcD0iRU4iIGRiLWlkPSJjZTFlZjNiMS00NjUxLTU3NDMtYWM5MS02OTk1ZWM1N2FiYmYiIHRpbWVzdGFtcD0iMTc5MjkyMTA4NiI+MTc8L2tleT48L2ZvcmVpZ24ta2V5cz48cmVmLXR5cGUgbmFtZT0iUmVwb3J0Ij4yNzwvcmVmLXR5cGU+PGNvbnRyaWJ1dG9ycz48YXV0aG9ycz48YXV0aG9yPk5vdmFydGlzIFBoYXJtYWNldXRpY2FscyBDb3Jwb3JhdGlvbjwvYXV0aG9yPjwvYXV0aG9ycz48L2NvbnRyaWJ1dG9ycz48dGl0bGVzPjx0aXRsZT5ab3J0cmVzcyAoZXZlcm9saW11cykgVVMgcHJlc2NyaWJpbmcgaW5mb3JtYXRpb24sIHVwZGF0ZWQgMTYgU2VwdGVtYmVyIDIwMjY8L3RpdGxlPjxzZWNvbmRhcnktdGl0bGU+RGFpbHlNZWQ8L3NlY29uZGFyeS10aXRsZT48L3RpdGxlcz48cGVyaW9kaWNhbD48ZnVsbC10aXRsZT5EYWlseU1lZDwvZnVsbC10aXRsZT48L3BlcmlvZGljYWw+PGRhdGVzPjx5ZWFyPjIwMjY8L3llYXI+PC9kYXRlcz48bm90ZXM+VVMgcHJlc2NyaWJpbmcgaW5mb3JtYXRpb24gVGFyZ2V0ZWQgbGFiZWwgc2VjdGlvbnMgMS4yLCAyLjMgYW5kIDUuNSBjaGVja2VkIGluIGN1cnJlbnQgb2ZmaWNpYWwgb25saW5lIGxhYmVsOyBub3QgYSB3aG9sZS1sYWJlbCBjbGluaWNhbCBhdWRpdCBEcnVnLXNwZWNpZmljIGFkdWx0LUxUIHRpbWluZyBzYWZldHkgZmxvb3I7IG5vIG9uY29sb2d5LWJlbmVmaXQgaW5mZXJlbmNlLjwvbm90ZXM+PHVybHM+PHJlbGF0ZWQtdXJscz48dXJsPmh0dHBzOi8vZGFpbHltZWQubmxtLm5paC5nb3YvZGFpbHltZWQvZHJ1Z0luZm8uY2ZtP3NldGlkPWUwODJhMDI0LTc4NTAtNDAwYi1hNWMyLTJhMTQwNjEyNTYyYTwvdXJsPjwvcmVsYXRlZC11cmxzPjxwZGYtdXJscy8+PC91cmxzPjwvcmVjb3JkPjwvQ2l0ZT48L0VuZE5vdGU+</w:fldData>
        </w:fldChar>
      </w:r>
      <w:r>
        <w:instrText xml:space="preserve"> ADDIN EN.CITE.DATA </w:instrText>
      </w:r>
      <w:r>
        <w:fldChar w:fldCharType="end"/>
      </w:r>
      <w:r>
        <w:fldChar w:fldCharType="separate"/>
      </w:r>
      <w:r>
        <w:t xml:space="preserve">[V12-17]</w:t>
      </w:r>
      <w:r>
        <w:fldChar w:fldCharType="end"/>
      </w:r>
      <w:r>
        <w:t xml:space="preserve"> </w:t>
      </w:r>
      <w:r>
        <w:t xml:space="preserve"> </w:t>
      </w:r>
      <w:r>
        <w:fldChar w:fldCharType="begin"/>
      </w:r>
      <w:r>
        <w:instrText xml:space="preserve"> ADDIN EN.CITE </w:instrText>
      </w:r>
      <w:r>
        <w:fldChar w:fldCharType="begin">
          <w:fldData>PEVuZE5vdGU+PENpdGU+PEF1dGhvcj5UZTwvQXV0aG9yPjxZZWFyPjIwMjU8L1llYXI+PFJlY051bT4xNjwvUmVjTnVtPjxEaXNwbGF5VGV4dD5bVjEyLTE2XTwvRGlzcGxheVRleHQ+PHJlY29yZD48cmVjLW51bWJlcj4xNjwvcmVjLW51bWJlcj48Zm9yZWlnbi1rZXlzPjxrZXkgYXBwPSJFTiIgZGItaWQ9ImNlMWVmM2IxLTQ2NTEtNTc0My1hYzkxLTY5OTVlYzU3YWJiZiIgdGltZXN0YW1wPSIxNzkyOTIxMDg2Ij4xNjwva2V5PjwvZm9yZWlnbi1rZXlzPjxyZWYtdHlwZSBuYW1lPSJKb3VybmFsIEFydGljbGUiPjE3PC9yZWYtdHlwZT48Y29udHJpYnV0b3JzPjxhdXRob3JzPjxhdXRob3I+VGUsIEhlbGVuIFMuPC9hdXRob3I+PGF1dGhvcj5BZ29waWFuLCBWYXRjaGUgRy48L2F1dGhvcj48YXV0aG9yPkRlbWV0cmlzLCBBbnRob255IEouPC9hdXRob3I+PGF1dGhvcj5Ld28sIFBhdWwgWS48L2F1dGhvcj48YXV0aG9yPk1jR3VpcmUsIEJyZW5kYW4gTS48L2F1dGhvcj48YXV0aG9yPlJ1c3NvLCBNYXJrIFcuPC9hdXRob3I+PGF1dGhvcj5TZWx6bmVyLCBOYXppYTwvYXV0aG9yPjxhdXRob3I+V2FzaGJ1cm4sIFcuIEtlbm5ldGg8L2F1dGhvcj48YXV0aG9yPldpbmRlciwgR2VyYWxkIFNjb3R0PC9hdXRob3I+PGF1dGhvcj5TY2hpYW5vLCBUaG9tYXMgRC48L2F1dGhvcj48L2F1dGhvcnM+PC9jb250cmlidXRvcnM+PHRpdGxlcz48dGl0bGU+QUFTTEQgQVNUIFByYWN0aWNlIEd1aWRlbGluZSBvbiBhZHVsdCBsaXZlciB0cmFuc3BsYW50YXRpb246IERpYWdub3NpcyBhbmQgbWFuYWdlbWVudCBvZiBncmFmdC1yZWxhdGVkIGNvbXBsaWNhdGlvbnM8L3RpdGxlPjxzZWNvbmRhcnktdGl0bGU+TGl2ZXIgVHJhbnNwbGFudGF0aW9uPC9zZWNvbmRhcnktdGl0bGU+PC90aXRsZXM+PHBlcmlvZGljYWw+PGZ1bGwtdGl0bGU+TGl2ZXIgVHJhbnNwbGFudGF0aW9uPC9mdWxsLXRpdGxlPjwvcGVyaW9kaWNhbD48ZGF0ZXM+PHllYXI+MjAyNTwveWVhcj48L2RhdGVzPjx2b2x1bWU+MzI8L3ZvbHVtZT48bnVtYmVyPjM8L251bWJlcj48cGFnZXM+NDQ0LTQ5MDwvcGFnZXM+PGVsZWN0cm9uaWMtcmVzb3VyY2UtbnVtPjEwLjEwOTcvbHZ0LjAwMDAwMDAwMDAwMDA3MTU8L2VsZWN0cm9uaWMtcmVzb3VyY2UtbnVtPjxub3Rlcz5FeGlzdGluZyBzdGFuZGFyZC1wcm90b2NvbCByZWZlcmVuY2UgVGFyZ2V0ZWQgZnVsbC1zZWN0aW9uIHJldmlldyBvZiA0Ny1wYWdlIGd1aWRlbGluZTogUERGIHBwIDEmIzgyMTE7MiAoc2NvcGUvbWV0aG9kcykgYW5kIHBwIDEyJiM4MjExOzIxIChwcmludGVkIDQ1NSYjODIxMTs0NjQ7IGltbXVub3N1cHByZXNzaW9uLCBtaW5pbWl6YXRpb24gYW5kIHJlamVjdGlvbiBzdGF0ZW1lbnRzL3RhYmxlcykuIE90aGVyIGdyYWZ0L3JlY3VycmVudC1kaXNlYXNlIGNoYXB0ZXJzIHdlcmUgbm90IGZ1bGx5IHJldmlld2VkLiBWOCBleHRyYWN0aW9uIGFuZCBsaW1pdGF0aW9uczogc291cmNlL21ldGFzdGFzZXNfc3RhbmRhcmRfc3VwcGxlbWVudC5qc29uPC9ub3Rlcz48dXJscz48cmVsYXRlZC11cmxzPjx1cmw+aHR0cHM6Ly9kb2kub3JnLzEwLjEwOTcvbHZ0LjAwMDAwMDAwMDAwMDA3MTU8L3VybD48L3JlbGF0ZWQtdXJscz48cGRmLXVybHMvPjwvdXJscz48L3JlY29yZD48L0NpdGU+PC9FbmROb3RlPg==</w:fldData>
        </w:fldChar>
      </w:r>
      <w:r>
        <w:instrText xml:space="preserve"> ADDIN EN.CITE.DATA </w:instrText>
      </w:r>
      <w:r>
        <w:fldChar w:fldCharType="end"/>
      </w:r>
      <w:r>
        <w:fldChar w:fldCharType="separate"/>
      </w:r>
      <w:r>
        <w:t xml:space="preserve">[V12-16]</w:t>
      </w:r>
      <w:r>
        <w:fldChar w:fldCharType="end"/>
      </w:r>
    </w:p>
    <w:p>
      <w:pPr>
        <w:pStyle w:val="Heading2"/>
        <w:keepNext/>
        <w:widowControl/>
      </w:pPr>
      <w:r>
        <w:t xml:space="preserve">Outcome evidence within the standard pathway</w:t>
      </w:r>
    </w:p>
    <w:p>
      <w:pPr>
        <w:pStyle w:val="Normal"/>
        <w:widowControl/>
      </w:pPr>
      <w:r>
        <w:t xml:space="preserve">The following findings qualify outcome counseling and operational decisions. Evidence from expanded or experimental cohorts does not enlarge this standard pathway. For proposed boundary changes, use the separately linked OPEN meeting record.</w:t>
      </w:r>
    </w:p>
    <w:tbl>
      <w:tblPr>
        <w:tblW w:w="9000" w:type="dxa"/>
        <w:tblLayout w:type="fixed"/>
        <w:tblBorders>
          <w:top w:val="single" w:sz="4" w:color="C8C8C8"/>
          <w:left w:val="single" w:sz="4" w:color="C8C8C8"/>
          <w:bottom w:val="single" w:sz="4" w:color="C8C8C8"/>
          <w:right w:val="single" w:sz="4" w:color="C8C8C8"/>
          <w:insideH w:val="single" w:sz="4" w:color="C8C8C8"/>
          <w:insideV w:val="single" w:sz="4" w:color="C8C8C8"/>
        </w:tblBorders>
      </w:tblPr>
      <w:tblGrid>
        <w:gridCol w:w="3400"/>
        <w:gridCol w:w="5600"/>
      </w:tblGrid>
      <w:tr>
        <w:trPr>
          <w:cantSplit/>
          <w:tblHeader/>
        </w:trPr>
        <w:tc>
          <w:tcPr>
            <w:tcW w:w="3400" w:type="dxa"/>
            <w:tcMar>
              <w:top w:w="90" w:type="dxa"/>
              <w:left w:w="90" w:type="dxa"/>
              <w:bottom w:w="90" w:type="dxa"/>
              <w:right w:w="90" w:type="dxa"/>
            </w:tcMar>
            <w:shd w:fill="C1E4F5"/>
          </w:tcPr>
          <w:p>
            <w:pPr>
              <w:pStyle w:val="Normal"/>
              <w:widowControl/>
              <w:spacing w:before="60" w:after="20"/>
            </w:pPr>
            <w:r>
              <w:rPr>
                <w:b/>
              </w:rPr>
              <w:t xml:space="preserve">Study • population • source</w:t>
            </w:r>
          </w:p>
        </w:tc>
        <w:tc>
          <w:tcPr>
            <w:tcW w:w="5600" w:type="dxa"/>
            <w:tcMar>
              <w:top w:w="90" w:type="dxa"/>
              <w:left w:w="90" w:type="dxa"/>
              <w:bottom w:w="90" w:type="dxa"/>
              <w:right w:w="90" w:type="dxa"/>
            </w:tcMar>
            <w:shd w:fill="C1E4F5"/>
          </w:tcPr>
          <w:p>
            <w:pPr>
              <w:pStyle w:val="Normal"/>
              <w:widowControl/>
              <w:spacing w:before="60" w:after="20"/>
            </w:pPr>
            <w:r>
              <w:rPr>
                <w:b/>
              </w:rPr>
              <w:t xml:space="preserve">Results • interpretation boundary</w:t>
            </w:r>
          </w:p>
        </w:tc>
      </w:tr>
      <w:tr>
        <w:trPr/>
        <w:tc>
          <w:tcPr>
            <w:tcW w:w="3400" w:type="dxa"/>
            <w:tcMar>
              <w:top w:w="90" w:type="dxa"/>
              <w:left w:w="90" w:type="dxa"/>
              <w:bottom w:w="90" w:type="dxa"/>
              <w:right w:w="90" w:type="dxa"/>
            </w:tcMar>
          </w:tcPr>
          <w:p>
            <w:pPr>
              <w:pStyle w:val="Normal"/>
              <w:widowControl/>
              <w:spacing w:before="60" w:after="20"/>
            </w:pPr>
            <w:r>
              <w:rPr>
                <w:b/>
              </w:rPr>
              <w:t xml:space="preserve">AASLD/AST candidate evaluation</w:t>
            </w:r>
            <w:r>
              <w:t xml:space="preserve"> </w:t>
            </w:r>
            <w:r>
              <w:t xml:space="preserve"> </w:t>
            </w:r>
            <w:r>
              <w:fldChar w:fldCharType="begin"/>
            </w:r>
            <w:r>
              <w:instrText xml:space="preserve"> ADDIN EN.CITE </w:instrText>
            </w:r>
            <w:r>
              <w:fldChar w:fldCharType="begin">
                <w:fldData>PEVuZE5vdGU+PENpdGU+PEF1dGhvcj5Eb3ZlPC9BdXRob3I+PFllYXI+MjAyNjwvWWVhcj48UmVjTnVtPjY8L1JlY051bT48RGlzcGxheVRleHQ+W1YxMi02XTwvRGlzcGxheVRleHQ+PHJlY29yZD48cmVjLW51bWJlcj42PC9yZWMtbnVtYmVyPjxmb3JlaWduLWtleXM+PGtleSBhcHA9IkVOIiBkYi1pZD0iY2UxZWYzYjEtNDY1MS01NzQzLWFjOTEtNjk5NWVjNTdhYmJmIiB0aW1lc3RhbXA9IjE3OTI5MjEwODYiPjY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[V12-6]</w:t>
            </w:r>
            <w:r>
              <w:fldChar w:fldCharType="end"/>
            </w:r>
          </w:p>
          <w:p>
            <w:pPr>
              <w:pStyle w:val="Normal"/>
              <w:widowControl/>
              <w:spacing w:before="60" w:after="20"/>
            </w:pPr>
            <w:r>
              <w:t xml:space="preserve">AASLD/AST practice guideline, not an original patient cohort. Multidisciplinary evidence review with Oxford evidence levels; searches included a January 23, 2025 refresher. Recommendations combine evidence quality, benefit–risk assessment and patient preferences.</w:t>
            </w:r>
          </w:p>
          <w:p>
            <w:pPr>
              <w:pStyle w:val="Normal"/>
              <w:widowControl/>
              <w:spacing w:before="60" w:after="20"/>
            </w:pPr>
            <w:r>
              <w:t xml:space="preserve">Selection: pCCA statement 9: unresectable disease with radial diameter &lt;3 cm (Strong, Level 3). Statement 10: neoadjuvant radiation plus chemotherapy and operative staging (Strong, Level 3). iCCA/mixed HCC–CCA statement 11: biopsy-proven unresectable tumor, maximum diameter &lt;3 cm, no extrahepatic disease (Weak, Level 4); the explanatory paragraph adds solitary disease and underlying cirrhosis.</w:t>
            </w:r>
          </w:p>
          <w:p>
            <w:pPr>
              <w:pStyle w:val="Normal"/>
              <w:widowControl/>
              <w:spacing w:before="60" w:after="20"/>
            </w:pPr>
            <w:hyperlink r:id="rId8">
              <w:r>
                <w:rPr>
                  <w:color w:val="77230C"/>
                  <w:sz w:val="20"/>
                  <w:u w:val="single"/>
                </w:rPr>
                <w:t>Primary source</w:t>
              </w:r>
            </w:hyperlink>
            <w:r>
              <w:t xml:space="preserve"> | </w:t>
            </w:r>
            <w:hyperlink r:id="rId9">
              <w:r>
                <w:rPr>
                  <w:color w:val="77230C"/>
                  <w:sz w:val="20"/>
                  <w:u w:val="single"/>
                </w:rPr>
                <w:t>Full-text PDF</w:t>
              </w:r>
            </w:hyperlink>
          </w:p>
          <w:p>
            <w:pPr>
              <w:pStyle w:val="Normal"/>
              <w:widowControl/>
              <w:spacing w:before="60" w:after="20"/>
            </w:pPr>
            <w:r>
              <w:t xml:space="preserve">Locator: 60-page local author manuscript: pp1–3 publication identity, scope and methods; pp6–8 HCC/CCA statements; pp8–9 CCA rationale and multidisciplinary evaluation; pp25–27 LDLT statements 50–53 and safety/ethical considerations; pp27–28 selected nonhepatic malignancy guidance.</w:t>
            </w:r>
          </w:p>
          <w:p>
            <w:pPr>
              <w:pStyle w:val="Normal"/>
              <w:widowControl/>
              <w:spacing w:before="60" w:after="20"/>
            </w:pPr>
            <w:r>
              <w:t xml:space="preserve">Review depth: Complete 60-page author-manuscript PDF is present. Fresh targeted full-page reading of pp1–3, 6–9 and 25–28; the remaining guideline sections and complete reference list were not reread in this bounded supplemental review. This is a relevant-section review, not a claim of fresh cover-to-cover review.</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No new treatment-effect denominator or original survival endpoint. The guidance supports narrowly selected CCA candidacy rather than a validated advanced-iCCA expansion. It recommends multidisciplinary assessment of expected benefit, medical/psychosocial feasibility and patient wishes; for LDLT, donor safety and expected recipient outcome must be assessed together.</w:t>
            </w:r>
          </w:p>
          <w:p>
            <w:pPr>
              <w:pStyle w:val="Normal"/>
              <w:widowControl/>
              <w:spacing w:before="60" w:after="20"/>
            </w:pPr>
            <w:r>
              <w:rPr>
                <w:b/>
              </w:rPr>
              <w:t xml:space="preserve">Do not infer: </w:t>
            </w:r>
            <w:r>
              <w:t xml:space="preserve">Clinical guidance is distinct from binding OPTN policy and current NLRB recommendations. The manuscript links an older February 2025 NLRB posting. Its &lt;3 cm iCCA wording should not be silently changed to ≤3 cm to match another source; exact-boundary discrepancies require explicit source comparison. The broad pCCA-background list concerning prior chemotherapy/radiation must not be generalized to exclude all protocol-directed NAT, which statement 10 expressly recommends. Time origin: The iCCA rationale describes six months of imaging stability after locoregional or systemic therapy and cross-sectional imaging every three months while listed. This is the guideline's formulation, not a resolution of differently worded current allocation clock language. No new study survival clock exists for this guideline card.</w:t>
            </w:r>
          </w:p>
        </w:tc>
      </w:tr>
      <w:tr>
        <w:trPr/>
        <w:tc>
          <w:tcPr>
            <w:tcW w:w="3400" w:type="dxa"/>
            <w:tcMar>
              <w:top w:w="90" w:type="dxa"/>
              <w:left w:w="90" w:type="dxa"/>
              <w:bottom w:w="90" w:type="dxa"/>
              <w:right w:w="90" w:type="dxa"/>
            </w:tcMar>
          </w:tcPr>
          <w:p>
            <w:pPr>
              <w:pStyle w:val="Normal"/>
              <w:widowControl/>
              <w:spacing w:before="60" w:after="20"/>
            </w:pPr>
            <w:r>
              <w:rPr>
                <w:b/>
              </w:rPr>
              <w:t xml:space="preserve">Wehrle 2023 · ctDNA</w:t>
            </w:r>
            <w:r>
              <w:t xml:space="preserve"> </w:t>
            </w:r>
            <w:r>
              <w:t xml:space="preserve"> </w:t>
            </w:r>
            <w:r>
              <w:fldChar w:fldCharType="begin"/>
            </w:r>
            <w:r>
              <w:instrText xml:space="preserve"> ADDIN EN.CITE </w:instrText>
            </w:r>
            <w:r>
              <w:fldChar w:fldCharType="begin">
                <w:fldData>PEVuZE5vdGU+PENpdGU+PEF1dGhvcj5XZWhybGU8L0F1dGhvcj48WWVhcj4yMDIzPC9ZZWFyPjxSZWNOdW0+MTk8L1JlY051bT48RGlzcGxheVRleHQ+W1YxMi0xOV08L0Rpc3BsYXlUZXh0PjxyZWNvcmQ+PHJlYy1udW1iZXI+MTk8L3JlYy1udW1iZXI+PGZvcmVpZ24ta2V5cz48a2V5IGFwcD0iRU4iIGRiLWlkPSJjZTFlZjNiMS00NjUxLTU3NDMtYWM5MS02OTk1ZWM1N2FiYmYiIHRpbWVzdGFtcD0iMTc5MjkyMTA4NiI+MTk8L2tleT48L2ZvcmVpZ24ta2V5cz48cmVmLXR5cGUgbmFtZT0iSm91cm5hbCBBcnRpY2xlIj4xNzwvcmVmLXR5cGU+PGNvbnRyaWJ1dG9ycz48YXV0aG9ycz48YXV0aG9yPldlaHJsZSwgQ2hhc2UgSjwvYXV0aG9yPjxhdXRob3I+UmFqLCBSb21hPC9hdXRob3I+PGF1dGhvcj5BeWt1biwgTmloYWw8L2F1dGhvcj48YXV0aG9yPk9yYWJpLCBEYW5ueTwvYXV0aG9yPjxhdXRob3I+U3RhY2tob3VzZSwgS2F0aHJ5bjwvYXV0aG9yPjxhdXRob3I+Q2hhbmcsIEplbm55PC9hdXRob3I+PGF1dGhvcj5Fc3RmYW4sIEJhc3NhbTwvYXV0aG9yPjxhdXRob3I+S2FtYXRoLCBTdW5lZWw8L2F1dGhvcj48YXV0aG9yPktyaXNobmFtdXJ0aGksIFNtaXRoYTwvYXV0aG9yPjxhdXRob3I+V2Fsc2gsIFIgTWF0dGhldzwvYXV0aG9yPjxhdXRob3I+S3dvbiwgRGF2aWQgQ2hvb24gSHl1Y2s8L2F1dGhvcj48YXV0aG9yPkF1Y2VqbywgRmVkZXJpY288L2F1dGhvcj48L2F1dGhvcnM+PC9jb250cmlidXRvcnM+PHRpdGxlcz48dGl0bGU+Q2lyY3VsYXRpbmcgVHVtb3IgRE5BIGluIENvbG9yZWN0YWwgQ2FuY2VyIExpdmVyIE1ldGFzdGFzaXM6IEFuYWx5c2lzIG9mIFBhdGllbnRzIFJlY2VpdmluZyBMaXZlciBSZXNlY3Rpb24gYW5kIFRyYW5zcGxhbnQ8L3RpdGxlPjxzZWNvbmRhcnktdGl0bGU+SkNPIGNsaW5pY2FsIGNhbmNlciBpbmZvcm1hdGljczwvc2Vjb25kYXJ5LXRpdGxlPjwvdGl0bGVzPjxwZXJpb2RpY2FsPjxmdWxsLXRpdGxlPkpDTyBjbGluaWNhbCBjYW5jZXIgaW5mb3JtYXRpY3M8L2Z1bGwtdGl0bGU+PC9wZXJpb2RpY2FsPjxkYXRlcz48eWVhcj4yMDIzPC95ZWFyPjwvZGF0ZXM+PHZvbHVtZT43PC92b2x1bWU+PHBhZ2VzPmUyMzAwMTExPC9wYWdlcz48ZWxlY3Ryb25pYy1yZXNvdXJjZS1udW0+MTAuMTIwMC9DQ0kuMjMuMDAxMTE8L2VsZWN0cm9uaWMtcmVzb3VyY2UtbnVtPjxub3Rlcz5PYnNlcnZhdGlvbmFsIGJpb21hcmtlciBjb2hvcnQgQ29tcGxldGUgdGVuLXBhZ2UgcGFwZXIgcmVhZCwgaW5jbHVkaW5nIG1ldGhvZHMsIFRhYmxlcyAxJiM4MjExOzIsIGZpZ3VyZXMsIGRpc2N1c3Npb24gYW5kIEFwcGVuZGl4IDEuIFY4IGV4dHJhY3Rpb24gYW5kIGxpbWl0YXRpb25zOiBzb3VyY2UvbWV0YXN0YXNlc19mdWxsdGV4dF9yZXZpZXcuanNvbjwvbm90ZXM+PHVybHM+PHJlbGF0ZWQtdXJscz48dXJsPmh0dHBzOi8vZG9pLm9yZy8xMC4xMjAwL0NDSS4yMy4wMDExMTwvdXJsPjwvcmVsYXRlZC11cmxzPjxwZGYtdXJscy8+PC91cmxzPjwvcmVjb3JkPjwvQ2l0ZT48L0VuZE5vdGU+</w:fldData>
              </w:fldChar>
            </w:r>
            <w:r>
              <w:instrText xml:space="preserve"> ADDIN EN.CITE.DATA </w:instrText>
            </w:r>
            <w:r>
              <w:fldChar w:fldCharType="end"/>
            </w:r>
            <w:r>
              <w:fldChar w:fldCharType="separate"/>
            </w:r>
            <w:r>
              <w:t xml:space="preserve">[V12-19]</w:t>
            </w:r>
            <w:r>
              <w:fldChar w:fldCharType="end"/>
            </w:r>
          </w:p>
          <w:p>
            <w:pPr>
              <w:pStyle w:val="Normal"/>
              <w:widowControl/>
              <w:spacing w:before="60" w:after="20"/>
            </w:pPr>
            <w:r>
              <w:t xml:space="preserve">Exploratory January–August 2022 CRLM series: 52 patients, described as 34 preoperative and 18 postoperative tests; nine paired pre/postoperative samples. Twenty-nine operations comprised 24 resections and five LT. Guardant360 tumour-agnostic 83-gene assay.</w:t>
            </w:r>
          </w:p>
          <w:p>
            <w:pPr>
              <w:pStyle w:val="Normal"/>
              <w:widowControl/>
              <w:spacing w:before="60" w:after="20"/>
            </w:pPr>
            <w:hyperlink r:id="rId10">
              <w:r>
                <w:rPr>
                  <w:color w:val="77230C"/>
                  <w:sz w:val="20"/>
                  <w:u w:val="single"/>
                </w:rPr>
                <w:t>Primary source</w:t>
              </w:r>
            </w:hyperlink>
            <w:r>
              <w:t xml:space="preserve"> | </w:t>
            </w:r>
            <w:hyperlink r:id="rId11">
              <w:r>
                <w:rPr>
                  <w:color w:val="77230C"/>
                  <w:sz w:val="20"/>
                  <w:u w:val="single"/>
                </w:rPr>
                <w:t>Full-text PDF</w:t>
              </w:r>
            </w:hyperlink>
          </w:p>
          <w:p>
            <w:pPr>
              <w:pStyle w:val="Normal"/>
              <w:widowControl/>
              <w:spacing w:before="60" w:after="20"/>
            </w:pPr>
            <w:r>
              <w:t xml:space="preserve">Locator: PDF p 3: Results/Table 1; pp 4–5: paired cohort/Table 2; p 6: Figure 4; p 7: donor-derived/nononcologic DNA; p 8: limitations; p 10: appendix.</w:t>
            </w:r>
          </w:p>
          <w:p>
            <w:pPr>
              <w:pStyle w:val="Normal"/>
              <w:widowControl/>
              <w:spacing w:before="60" w:after="20"/>
            </w:pPr>
            <w:r>
              <w:t xml:space="preserve">Review depth: Complete ten-page paper read, including methods, Tables 1–2, figures, discussion and Appendix 1.</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Only four LT recipients had paired samples. Postoperative draws ranged from nine to 191 days and preoperative draws from one to 146 days. Mean postoperative follow-up 271 days overall; paired-LT follow-up mean 574 days (160–1160). These are not uniform landmark analyses. All nine paired patients had preoperative ctDNA; three remained positive postoperatively. Three of four paired LT recipients cleared ctDNA; none of the four recurred during reported follow-up. The Results describe 14 positive plus six negative postoperative tests, totaling 20, despite stating a postoperative cohort of 18; the associated eight of 14 versus zero of six recurrence comparison must not be presented as a reliable LT risk estimate. One post-LT NOTCH1-positive patient was NED at 4.5 years; newly detected variants may be donor-derived or nononcologic.</w:t>
            </w:r>
          </w:p>
          <w:p>
            <w:pPr>
              <w:pStyle w:val="Normal"/>
              <w:widowControl/>
              <w:spacing w:before="60" w:after="20"/>
            </w:pPr>
            <w:r>
              <w:rPr>
                <w:b/>
              </w:rPr>
              <w:t xml:space="preserve">Do not infer: </w:t>
            </w:r>
            <w:r>
              <w:t xml:space="preserve">Mixed resection/LT population, very small LT subset, discretionary testing, inconsistent postoperative denominator and variable sample timing. Paired-test P values differ between abstract, body and Table 2; avoid a definitive numerical significance claim. No validated ctDNA threshold for listing, delisting, surveillance escalation or transplant benefit. Tumour mutational burden was not significantly associated with response (P=.1035); no TMB eligibility cutoff. No assay safety problem was established; the important risks are false reassurance and inappropriate exclusion or treatment based on unvalidated results. Supplement access: Appendix 1 is included. No separately supplied supplement.</w:t>
            </w:r>
          </w:p>
        </w:tc>
      </w:tr>
      <w:tr>
        <w:trPr/>
        <w:tc>
          <w:tcPr>
            <w:tcW w:w="3400" w:type="dxa"/>
            <w:tcMar>
              <w:top w:w="90" w:type="dxa"/>
              <w:left w:w="90" w:type="dxa"/>
              <w:bottom w:w="90" w:type="dxa"/>
              <w:right w:w="90" w:type="dxa"/>
            </w:tcMar>
          </w:tcPr>
          <w:p>
            <w:pPr>
              <w:pStyle w:val="Normal"/>
              <w:widowControl/>
              <w:spacing w:before="60" w:after="20"/>
            </w:pPr>
            <w:r>
              <w:rPr>
                <w:b/>
              </w:rPr>
              <w:t xml:space="preserve">Abecassis 2012</w:t>
            </w:r>
            <w:r>
              <w:t xml:space="preserve"> </w:t>
            </w:r>
            <w:r>
              <w:t xml:space="preserve"> </w:t>
            </w:r>
            <w:r>
              <w:fldChar w:fldCharType="begin"/>
            </w:r>
            <w:r>
              <w:instrText xml:space="preserve"> ADDIN EN.CITE </w:instrText>
            </w:r>
            <w:r>
              <w:fldChar w:fldCharType="begin">
                <w:fldData>PEVuZE5vdGU+PENpdGU+PEF1dGhvcj5BYmVjYXNzaXM8L0F1dGhvcj48WWVhcj4yMDEyPC9ZZWFyPjxSZWNOdW0+MjA8L1JlY051bT48RGlzcGxheVRleHQ+W1YxMi0yMF08L0Rpc3BsYXlUZXh0PjxyZWNvcmQ+PHJlYy1udW1iZXI+MjA8L3JlYy1udW1iZXI+PGZvcmVpZ24ta2V5cz48a2V5IGFwcD0iRU4iIGRiLWlkPSJjZTFlZjNiMS00NjUxLTU3NDMtYWM5MS02OTk1ZWM1N2FiYmYiIHRpbWVzdGFtcD0iMTc5MjkyMTA4NiI+MjA8L2tleT48L2ZvcmVpZ24ta2V5cz48cmVmLXR5cGUgbmFtZT0iSm91cm5hbCBBcnRpY2xlIj4xNzwvcmVmLXR5cGU+PGNvbnRyaWJ1dG9ycz48YXV0aG9ycz48YXV0aG9yPkFiZWNhc3NpcywgTS5NLjwvYXV0aG9yPjxhdXRob3I+RmlzaGVyLCBSLkEuPC9hdXRob3I+PGF1dGhvcj5PbHRob2ZmLCBLLk0uPC9hdXRob3I+PGF1dGhvcj5GcmVpc2UsIEMuRS48L2F1dGhvcj48YXV0aG9yPlJvZHJpZ28sIEQuUi48L2F1dGhvcj48YXV0aG9yPlNhbXN0ZWluLCBCLjwvYXV0aG9yPjxhdXRob3I+S2FtLCBJLjwvYXV0aG9yPjxhdXRob3I+TWVyaW9uLCBSLk0uPC9hdXRob3I+PC9hdXRob3JzPjwvY29udHJpYnV0b3JzPjx0aXRsZXM+PHRpdGxlPkNvbXBsaWNhdGlvbnMgb2YgTGl2aW5nIERvbm9yIEhlcGF0aWMgTG9iZWN0b215JiM4MjEyO0EgQ29tcHJlaGVuc2l2ZSBSZXBvcnQ8L3RpdGxlPjxzZWNvbmRhcnktdGl0bGU+QW1lcmljYW4gSm91cm5hbCBvZiBUcmFuc3BsYW50YXRpb248L3NlY29uZGFyeS10aXRsZT48L3RpdGxlcz48cGVyaW9kaWNhbD48ZnVsbC10aXRsZT5BbWVyaWNhbiBKb3VybmFsIG9mIFRyYW5zcGxhbnRhdGlvbjwvZnVsbC10aXRsZT48L3BlcmlvZGljYWw+PGRhdGVzPjx5ZWFyPjIwMTI8L3llYXI+PC9kYXRlcz48dm9sdW1lPjEyPC92b2x1bWU+PG51bWJlcj41PC9udW1iZXI+PHBhZ2VzPjEyMDgtMTIxNzwvcGFnZXM+PGVsZWN0cm9uaWMtcmVzb3VyY2UtbnVtPjEwLjExMTEvai4xNjAwLTYxNDMuMjAxMS4wMzk3Mi54PC9lbGVjdHJvbmljLXJlc291cmNlLW51bT48bm90ZXM+Q2xpbmljYWwgcmVzZWFyY2ggLyBndWlkYW5jZSBGdWxsIGFydGljbGUgY2xpbmljYWwgdGV4dCwgbWV0aG9kcywgcmVzdWx0cywgbGltaXRhdGlvbnMgYW5kIHRhYmxlcyByZXZpZXdlZDsgZXh0ZXJuYWwgc3VwcGxlbWVudHMgb25seSBpZiBpbmNsdWRlZCBpbiBzdXBwbGllZCBQREYuIFY4IGV4dHJhY3Rpb24gYW5kIGxpbWl0YXRpb25zOiBzb3VyY2UvcmFyZV9hbGxvY2F0aW9uX2Z1bGx0ZXh0X3Jldmlldy5qc29uPC9ub3Rlcz48dXJscz48cmVsYXRlZC11cmxzPjx1cmw+aHR0cHM6Ly9kb2kub3JnLzEwLjExMTEvai4xNjAwLTYxNDMuMjAxMS4wMzk3Mi54PC91cmw+PC9yZWxhdGVkLXVybHM+PHBkZi11cmxzLz48L3VybHM+PC9yZWNvcmQ+PC9DaXRlPjwvRW5kTm90ZT4=</w:fldData>
              </w:fldChar>
            </w:r>
            <w:r>
              <w:instrText xml:space="preserve"> ADDIN EN.CITE.DATA </w:instrText>
            </w:r>
            <w:r>
              <w:fldChar w:fldCharType="end"/>
            </w:r>
            <w:r>
              <w:fldChar w:fldCharType="separate"/>
            </w:r>
            <w:r>
              <w:t xml:space="preserve">[V12-20]</w:t>
            </w:r>
            <w:r>
              <w:fldChar w:fldCharType="end"/>
            </w:r>
          </w:p>
          <w:p>
            <w:pPr>
              <w:pStyle w:val="Normal"/>
              <w:widowControl/>
              <w:spacing w:before="60" w:after="20"/>
            </w:pPr>
            <w:r>
              <w:t xml:space="preserve">A2ALL cohort: 760 donor operations begun; 740 completed, mostly right lobes.</w:t>
            </w:r>
          </w:p>
          <w:p>
            <w:pPr>
              <w:pStyle w:val="Normal"/>
              <w:widowControl/>
              <w:spacing w:before="60" w:after="20"/>
            </w:pPr>
            <w:r>
              <w:t xml:space="preserve">Selection: Multicenter selected donors, older era; standardized complication ascertainment.</w:t>
            </w:r>
          </w:p>
          <w:p>
            <w:pPr>
              <w:pStyle w:val="Normal"/>
              <w:widowControl/>
              <w:spacing w:before="60" w:after="20"/>
            </w:pPr>
            <w:hyperlink r:id="rId12">
              <w:r>
                <w:rPr>
                  <w:color w:val="77230C"/>
                  <w:sz w:val="20"/>
                  <w:u w:val="single"/>
                </w:rPr>
                <w:t>Primary source</w:t>
              </w:r>
            </w:hyperlink>
            <w:r>
              <w:t xml:space="preserve"> | </w:t>
            </w:r>
            <w:hyperlink r:id="rId13">
              <w:r>
                <w:rPr>
                  <w:color w:val="77230C"/>
                  <w:sz w:val="20"/>
                  <w:u w:val="single"/>
                </w:rPr>
                <w:t>Full-text PDF</w:t>
              </w:r>
            </w:hyperlink>
          </w:p>
          <w:p>
            <w:pPr>
              <w:pStyle w:val="Normal"/>
              <w:widowControl/>
              <w:spacing w:before="60" w:after="20"/>
            </w:pPr>
            <w:r>
              <w:t xml:space="preserve">Locator: PDF pp2–8; Methods, donor flow, complications and late-events Discussion.</w:t>
            </w:r>
          </w:p>
          <w:p>
            <w:pPr>
              <w:pStyle w:val="Normal"/>
              <w:widowControl/>
              <w:spacing w:before="60" w:after="20"/>
            </w:pPr>
            <w:r>
              <w:t xml:space="preserve">Review depth: Full article clinical text, methods, results, limitations and tables reviewed; external supplements only if included in supplied PDF.</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A2ALL: 760 operations initiated, 20 aborted and 740 donations completed. Among completed donations, 296/740 (40%) had at least one complication (557 events); 140 had multiple events. Historical four-tier Clavien grade 3 residual disability occurred in 5 and grade 4 death in 3; one death was perioperative and two were late psychological deaths. An aborted donor also suffered bile leak/infection/abscess and was outside the 740-completion analysis.</w:t>
            </w:r>
          </w:p>
          <w:p>
            <w:pPr>
              <w:pStyle w:val="Normal"/>
              <w:widowControl/>
              <w:spacing w:before="60" w:after="20"/>
            </w:pPr>
            <w:r>
              <w:rPr>
                <w:b/>
              </w:rPr>
              <w:t xml:space="preserve">Do not infer: </w:t>
            </w:r>
            <w:r>
              <w:t xml:space="preserve">Historical classification is NOT modern Clavien–Dindo ≥III; 8/740 cannot be labeled a contemporary major-complication rate. Older expert-center cohort and mixed follow-up; late hernia/psychological events occurred years later. Use contemporary local donor outcomes as well as published estimates; never promise zero risk.</w:t>
            </w:r>
          </w:p>
        </w:tc>
      </w:tr>
      <w:tr>
        <w:trPr/>
        <w:tc>
          <w:tcPr>
            <w:tcW w:w="3400" w:type="dxa"/>
            <w:tcMar>
              <w:top w:w="90" w:type="dxa"/>
              <w:left w:w="90" w:type="dxa"/>
              <w:bottom w:w="90" w:type="dxa"/>
              <w:right w:w="90" w:type="dxa"/>
            </w:tcMar>
          </w:tcPr>
          <w:p>
            <w:pPr>
              <w:pStyle w:val="Normal"/>
              <w:widowControl/>
              <w:spacing w:before="60" w:after="20"/>
            </w:pPr>
            <w:r>
              <w:rPr>
                <w:b/>
              </w:rPr>
              <w:t xml:space="preserve">DiMartini 2017</w:t>
            </w:r>
            <w:r>
              <w:t xml:space="preserve"> </w:t>
            </w:r>
            <w:r>
              <w:t xml:space="preserve"> </w:t>
            </w:r>
            <w:r>
              <w:fldChar w:fldCharType="begin"/>
            </w:r>
            <w:r>
              <w:instrText xml:space="preserve"> ADDIN EN.CITE </w:instrText>
            </w:r>
            <w:r>
              <w:fldChar w:fldCharType="begin">
                <w:fldData>PEVuZE5vdGU+PENpdGU+PEF1dGhvcj5EaU1hcnRpbmk8L0F1dGhvcj48WWVhcj4yMDE3PC9ZZWFyPjxSZWNOdW0+MjE8L1JlY051bT48RGlzcGxheVRleHQ+W1YxMi0yMV08L0Rpc3BsYXlUZXh0PjxyZWNvcmQ+PHJlYy1udW1iZXI+MjE8L3JlYy1udW1iZXI+PGZvcmVpZ24ta2V5cz48a2V5IGFwcD0iRU4iIGRiLWlkPSJjZTFlZjNiMS00NjUxLTU3NDMtYWM5MS02OTk1ZWM1N2FiYmYiIHRpbWVzdGFtcD0iMTc5MjkyMTA4NiI+MjE8L2tleT48L2ZvcmVpZ24ta2V5cz48cmVmLXR5cGUgbmFtZT0iSm91cm5hbCBBcnRpY2xlIj4xNzwvcmVmLXR5cGU+PGNvbnRyaWJ1dG9ycz48YXV0aG9ycz48YXV0aG9yPkRpTWFydGluaSwgQS48L2F1dGhvcj48YXV0aG9yPkRldywgTS5BLjwvYXV0aG9yPjxhdXRob3I+TGl1LCBRLjwvYXV0aG9yPjxhdXRob3I+U2ltcHNvbiwgTS5BLjwvYXV0aG9yPjxhdXRob3I+TGFkbmVyLCBELlAuPC9hdXRob3I+PGF1dGhvcj5TbWl0aCwgQS5SLjwvYXV0aG9yPjxhdXRob3I+WmVlLCBKLjwvYXV0aG9yPjxhdXRob3I+QWJiZXksIFMuPC9hdXRob3I+PGF1dGhvcj5HaWxsZXNwaWUsIEIuVy48L2F1dGhvcj48YXV0aG9yPldlaW5yaWViLCBSLjwvYXV0aG9yPjxhdXRob3I+TWFuZGVsbCwgTS5TLjwvYXV0aG9yPjxhdXRob3I+RmlzaGVyLCBSLkEuPC9hdXRob3I+PGF1dGhvcj5FbW9uZCwgSi5DLjwvYXV0aG9yPjxhdXRob3I+RnJlaXNlLCBDLkUuPC9hdXRob3I+PGF1dGhvcj5TaGVya2VyLCBBLkguPC9hdXRob3I+PGF1dGhvcj5CdXR0LCBaLjwvYXV0aG9yPjwvYXV0aG9ycz48L2NvbnRyaWJ1dG9ycz48dGl0bGVzPjx0aXRsZT5Tb2NpYWwgYW5kIEZpbmFuY2lhbCBPdXRjb21lcyBvZiBMaXZpbmcgTGl2ZXIgRG9uYXRpb246IEEgUHJvc3BlY3RpdmUgSW52ZXN0aWdhdGlvbiBXaXRoaW4gdGhlIEFkdWx0LXRvLUFkdWx0IExpdmluZyBEb25vciBMaXZlciBUcmFuc3BsYW50YXRpb24gQ29ob3J0IFN0dWR5IDIgKEEyQUxMLTIpPC90aXRsZT48c2Vjb25kYXJ5LXRpdGxlPkFtZXJpY2FuIEpvdXJuYWwgb2YgVHJhbnNwbGFudGF0aW9uPC9zZWNvbmRhcnktdGl0bGU+PC90aXRsZXM+PHBlcmlvZGljYWw+PGZ1bGwtdGl0bGU+QW1lcmljYW4gSm91cm5hbCBvZiBUcmFuc3BsYW50YXRpb248L2Z1bGwtdGl0bGU+PC9wZXJpb2RpY2FsPjxkYXRlcz48eWVhcj4yMDE3PC95ZWFyPjwvZGF0ZXM+PHZvbHVtZT4xNzwvdm9sdW1lPjxudW1iZXI+NDwvbnVtYmVyPjxwYWdlcz4xMDgxLTEwOTY8L3BhZ2VzPjxlbGVjdHJvbmljLXJlc291cmNlLW51bT4xMC4xMTExL2FqdC4xNDA1NT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TExL2FqdC4xNDA1NTwvdXJsPjwvcmVsYXRlZC11cmxzPjxwZGYtdXJscy8+PC91cmxzPjwvcmVjb3JkPjwvQ2l0ZT48L0VuZE5vdGU+</w:fldData>
              </w:fldChar>
            </w:r>
            <w:r>
              <w:instrText xml:space="preserve"> ADDIN EN.CITE.DATA </w:instrText>
            </w:r>
            <w:r>
              <w:fldChar w:fldCharType="end"/>
            </w:r>
            <w:r>
              <w:fldChar w:fldCharType="separate"/>
            </w:r>
            <w:r>
              <w:t xml:space="preserve">[V12-21]</w:t>
            </w:r>
            <w:r>
              <w:fldChar w:fldCharType="end"/>
            </w:r>
          </w:p>
          <w:p>
            <w:pPr>
              <w:pStyle w:val="Normal"/>
              <w:widowControl/>
              <w:spacing w:before="60" w:after="20"/>
            </w:pPr>
            <w:r>
              <w:t xml:space="preserve">Prospective A2ALL-2 interviews: 271/297 eligible donors, before and through 24 months after donation.</w:t>
            </w:r>
          </w:p>
          <w:p>
            <w:pPr>
              <w:pStyle w:val="Normal"/>
              <w:widowControl/>
              <w:spacing w:before="60" w:after="20"/>
            </w:pPr>
            <w:r>
              <w:t xml:space="preserve">Selection: Costs and social recovery reported by participants, not randomized financial support.</w:t>
            </w:r>
          </w:p>
          <w:p>
            <w:pPr>
              <w:pStyle w:val="Normal"/>
              <w:widowControl/>
              <w:spacing w:before="60" w:after="20"/>
            </w:pPr>
            <w:hyperlink r:id="rId14">
              <w:r>
                <w:rPr>
                  <w:color w:val="77230C"/>
                  <w:sz w:val="20"/>
                  <w:u w:val="single"/>
                </w:rPr>
                <w:t>Primary source</w:t>
              </w:r>
            </w:hyperlink>
            <w:r>
              <w:t xml:space="preserve"> | </w:t>
            </w:r>
            <w:hyperlink r:id="rId15">
              <w:r>
                <w:rPr>
                  <w:color w:val="77230C"/>
                  <w:sz w:val="20"/>
                  <w:u w:val="single"/>
                </w:rPr>
                <w:t>Full-text PDF</w:t>
              </w:r>
            </w:hyperlink>
          </w:p>
          <w:p>
            <w:pPr>
              <w:pStyle w:val="Normal"/>
              <w:widowControl/>
              <w:spacing w:before="60" w:after="20"/>
            </w:pPr>
            <w:r>
              <w:t xml:space="preserve">Locator: PDF pp2–14; Figure 1, Tables 3–4 and 7, Results and limitations.</w:t>
            </w:r>
          </w:p>
          <w:p>
            <w:pPr>
              <w:pStyle w:val="Normal"/>
              <w:widowControl/>
              <w:spacing w:before="60" w:after="20"/>
            </w:pPr>
            <w:r>
              <w:t xml:space="preserve">Review depth: Full article clinical text, methods, results, limitations and tables reviewed; external supplements only if included in supplied PDF.</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Prospective A2ALL-2 surveys: 271 donors with ≥1 survey, 263 with postdonation data and 245 with both pre/post data; 139 interviews at two years. Cumulatively 75% reported nonmedical out-of-pocket expenses, 45% lost wages, 37% uncovered medical expenses and 44% burdensome costs at ≥1 assessment. Burden was 39.6% at three months (99/250) and 19.4% at two years (27/139). Among 196 employed before donation, 40% ever modified work/jobs.</w:t>
            </w:r>
          </w:p>
          <w:p>
            <w:pPr>
              <w:pStyle w:val="Normal"/>
              <w:widowControl/>
              <w:spacing w:before="60" w:after="20"/>
            </w:pPr>
            <w:r>
              <w:rPr>
                <w:b/>
              </w:rPr>
              <w:t xml:space="preserve">Do not infer: </w:t>
            </w:r>
            <w:r>
              <w:t xml:space="preserve">Self-report, variable denominators, administrative censoring/attrition, English-only selected donors and two-year horizon. These are not all 271 donors reporting each endpoint at a single time. Positive relationships do not offset financial harms. Historical 2017 insurance/assistance descriptions must not be presented as current law or current benefit eligibility.</w:t>
            </w:r>
          </w:p>
        </w:tc>
      </w:tr>
      <w:tr>
        <w:trPr/>
        <w:tc>
          <w:tcPr>
            <w:tcW w:w="3400" w:type="dxa"/>
            <w:tcMar>
              <w:top w:w="90" w:type="dxa"/>
              <w:left w:w="90" w:type="dxa"/>
              <w:bottom w:w="90" w:type="dxa"/>
              <w:right w:w="90" w:type="dxa"/>
            </w:tcMar>
          </w:tcPr>
          <w:p>
            <w:pPr>
              <w:pStyle w:val="Normal"/>
              <w:widowControl/>
              <w:spacing w:before="60" w:after="20"/>
            </w:pPr>
            <w:r>
              <w:rPr>
                <w:b/>
              </w:rPr>
              <w:t xml:space="preserve">Xiao 2024</w:t>
            </w:r>
            <w:r>
              <w:t xml:space="preserve"> </w:t>
            </w:r>
            <w:r>
              <w:t xml:space="preserve"> </w:t>
            </w:r>
            <w:r>
              <w:fldChar w:fldCharType="begin"/>
            </w:r>
            <w:r>
              <w:instrText xml:space="preserve"> ADDIN EN.CITE </w:instrText>
            </w:r>
            <w:r>
              <w:fldChar w:fldCharType="begin">
                <w:fldData>PEVuZE5vdGU+PENpdGU+PEF1dGhvcj5YaWFvPC9BdXRob3I+PFllYXI+MjAyNDwvWWVhcj48UmVjTnVtPjIyPC9SZWNOdW0+PERpc3BsYXlUZXh0PltWMTItMjJdPC9EaXNwbGF5VGV4dD48cmVjb3JkPjxyZWMtbnVtYmVyPjIyPC9yZWMtbnVtYmVyPjxmb3JlaWduLWtleXM+PGtleSBhcHA9IkVOIiBkYi1pZD0iY2UxZWYzYjEtNDY1MS01NzQzLWFjOTEtNjk5NWVjNTdhYmJmIiB0aW1lc3RhbXA9IjE3OTI5MjEwODYiPjIyPC9rZXk+PC9mb3JlaWduLWtleXM+PHJlZi10eXBlIG5hbWU9IkpvdXJuYWwgQXJ0aWNsZSI+MTc8L3JlZi10eXBlPjxjb250cmlidXRvcnM+PGF1dGhvcnM+PGF1dGhvcj5YaWFvLCBKaWVsaW5nPC9hdXRob3I+PGF1dGhvcj5aZW5nLCBSZWJlY2NhIFdlbmxpbmc8L2F1dGhvcj48YXV0aG9yPkxpbSwgV2VuIEh1aTwvYXV0aG9yPjxhdXRob3I+VGFuLCBEYXJyZW4gSnVuIEhhbzwvYXV0aG9yPjxhdXRob3I+WW9uZywgSmllIE5pbmc8L2F1dGhvcj48YXV0aG9yPkZ1LCBDbGFyaXNzYSBFbHlzaWE8L2F1dGhvcj48YXV0aG9yPlRheSwgUGhvZWJlPC9hdXRob3I+PGF1dGhvcj5TeW4sIE5pY2hvbGFzPC9hdXRob3I+PGF1dGhvcj5PbmcsIENocmlzdGVuIEVuIFlhPC9hdXRob3I+PGF1dGhvcj5PbmcsIEVsZGVuIFllbiBIbmc8L2F1dGhvcj48YXV0aG9yPkNodW5nLCBDaGFybG90dGUgSHVpPC9hdXRob3I+PGF1dGhvcj5MZWUsIFNoaSBZYW48L2F1dGhvcj48YXV0aG9yPktvaCwgSmlhIEhvbmc8L2F1dGhvcj48YXV0aG9yPlRlbmcsIE1hcmdhcmV0PC9hdXRob3I+PGF1dGhvcj5QcmFrYXNoLCBTYW1lZXI8L2F1dGhvcj48YXV0aG9yPlRhbiwgRXVuaWNlIFhYPC9hdXRob3I+PGF1dGhvcj5XaWphcm5wcmVlY2hhLCBLYXJuPC9hdXRob3I+PGF1dGhvcj5LdWxrYXJuaSwgQW5hbmQgVi48L2F1dGhvcj48YXV0aG9yPkxpdSwgS2VuPC9hdXRob3I+PGF1dGhvcj5EYW5wYW5pY2hrdWwsIFBvanNha29ybjwvYXV0aG9yPjxhdXRob3I+SHVhbmcsIERhbmllbCBRLjwvYXV0aG9yPjxhdXRob3I+U2lkZGlxdWksIE1vaGFtbWFkIFNoYWRhYjwvYXV0aG9yPjxhdXRob3I+TmcsIENoZW5nIEhhbjwvYXV0aG9yPjxhdXRob3I+S293LCBBbGZyZWQgV2VpIENoaWVoPC9hdXRob3I+PGF1dGhvcj5NdXRoaWFoLCBNYXJrIEQuPC9hdXRob3I+PC9hdXRob3JzPjwvY29udHJpYnV0b3JzPjx0aXRsZXM+PHRpdGxlPlRoZSBpbmNpZGVuY2Ugb2YgYWR2ZXJzZSBvdXRjb21lIGluIGRvbm9ycyBhZnRlciBsaXZpbmcgZG9ub3IgbGl2ZXIgdHJhbnNwbGFudGF0aW9uOiBBIG1ldGEtYW5hbHlzaXMgb2YgNjAsODI5IGRvbm9yczwvdGl0bGU+PHNlY29uZGFyeS10aXRsZT5MaXZlciBUcmFuc3BsYW50YXRpb248L3NlY29uZGFyeS10aXRsZT48L3RpdGxlcz48cGVyaW9kaWNhbD48ZnVsbC10aXRsZT5MaXZlciBUcmFuc3BsYW50YXRpb248L2Z1bGwtdGl0bGU+PC9wZXJpb2RpY2FsPjxkYXRlcz48eWVhcj4yMDI0PC95ZWFyPjwvZGF0ZXM+PHZvbHVtZT4zMDwvdm9sdW1lPjxudW1iZXI+NTwvbnVtYmVyPjxwYWdlcz40OTMtNTA0PC9wYWdlcz48ZWxlY3Ryb25pYy1yZXNvdXJjZS1udW0+MTAuMTA5Ny9MVlQuMDAwMDAwMDAwMDAwMDMwMz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Dk3L0xWVC4wMDAwMDAwMDAwMDAwMzAzPC91cmw+PC9yZWxhdGVkLXVybHM+PHBkZi11cmxzLz48L3VybHM+PC9yZWNvcmQ+PC9DaXRlPjwvRW5kTm90ZT4=</w:fldData>
              </w:fldChar>
            </w:r>
            <w:r>
              <w:instrText xml:space="preserve"> ADDIN EN.CITE.DATA </w:instrText>
            </w:r>
            <w:r>
              <w:fldChar w:fldCharType="end"/>
            </w:r>
            <w:r>
              <w:fldChar w:fldCharType="separate"/>
            </w:r>
            <w:r>
              <w:t xml:space="preserve">[V12-22]</w:t>
            </w:r>
            <w:r>
              <w:fldChar w:fldCharType="end"/>
            </w:r>
          </w:p>
          <w:p>
            <w:pPr>
              <w:pStyle w:val="Normal"/>
              <w:widowControl/>
              <w:spacing w:before="60" w:after="20"/>
            </w:pPr>
            <w:r>
              <w:t xml:space="preserve">Published meta-analysis of 60,829 donors; primary abstract reports 87 articles.</w:t>
            </w:r>
          </w:p>
          <w:p>
            <w:pPr>
              <w:pStyle w:val="Normal"/>
              <w:widowControl/>
              <w:spacing w:before="60" w:after="20"/>
            </w:pPr>
            <w:r>
              <w:t xml:space="preserve">Selection: Heterogeneous centers, eras and complication definitions; full overlap audit pending.</w:t>
            </w:r>
          </w:p>
          <w:p>
            <w:pPr>
              <w:pStyle w:val="Normal"/>
              <w:widowControl/>
              <w:spacing w:before="60" w:after="20"/>
            </w:pPr>
            <w:hyperlink r:id="rId16">
              <w:r>
                <w:rPr>
                  <w:color w:val="77230C"/>
                  <w:sz w:val="20"/>
                  <w:u w:val="single"/>
                </w:rPr>
                <w:t>Primary source</w:t>
              </w:r>
            </w:hyperlink>
            <w:r>
              <w:t xml:space="preserve"> | </w:t>
            </w:r>
            <w:hyperlink r:id="rId17">
              <w:r>
                <w:rPr>
                  <w:color w:val="77230C"/>
                  <w:sz w:val="20"/>
                  <w:u w:val="single"/>
                </w:rPr>
                <w:t>Full-text PDF</w:t>
              </w:r>
            </w:hyperlink>
          </w:p>
          <w:p>
            <w:pPr>
              <w:pStyle w:val="Normal"/>
              <w:widowControl/>
              <w:spacing w:before="60" w:after="20"/>
            </w:pPr>
            <w:r>
              <w:t xml:space="preserve">Locator: PDF pp3–10; Methods, Tables 1–3, Results and limitations.</w:t>
            </w:r>
          </w:p>
          <w:p>
            <w:pPr>
              <w:pStyle w:val="Normal"/>
              <w:widowControl/>
              <w:spacing w:before="60" w:after="20"/>
            </w:pPr>
            <w:r>
              <w:t xml:space="preserve">Review depth: Full article clinical text, methods, results, limitations and tables reviewed; external supplements only if included in supplied PDF.</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Meta-analysis reports 187 articles/60,829 donors in full-text Results (abstract says 87). Endpoint denominators differ: any complication 24.7% (95% CI 21.6–28.1; 163 studies/34,317 donors), major Clavien–Dindo III–V 5.5% (4.5–6.7; 105/27,571), mortality 0.06% (0.0–0.1; 111/49,027). Psychological complications 7.6% (4.9–11.5; 35/17,171).</w:t>
            </w:r>
          </w:p>
          <w:p>
            <w:pPr>
              <w:pStyle w:val="Normal"/>
              <w:widowControl/>
              <w:spacing w:before="60" w:after="20"/>
            </w:pPr>
            <w:r>
              <w:rPr>
                <w:b/>
              </w:rPr>
              <w:t xml:space="preserve">Do not infer: </w:t>
            </w:r>
            <w:r>
              <w:t xml:space="preserve">Heterogeneous observational reports, variable follow-up, duplicate-cohort sensitivity analysis, underreporting and limited new-vs-preexisting psychiatric detail. No common 60,829-person denominator for every endpoint. Right/left graft comparisons are selected, not causal. Several textual inconsistencies (study count and operation duration) require Table-specific reporting.</w:t>
            </w:r>
          </w:p>
        </w:tc>
      </w:tr>
      <w:tr>
        <w:trPr/>
        <w:tc>
          <w:tcPr>
            <w:tcW w:w="3400" w:type="dxa"/>
            <w:tcMar>
              <w:top w:w="90" w:type="dxa"/>
              <w:left w:w="90" w:type="dxa"/>
              <w:bottom w:w="90" w:type="dxa"/>
              <w:right w:w="90" w:type="dxa"/>
            </w:tcMar>
          </w:tcPr>
          <w:p>
            <w:pPr>
              <w:pStyle w:val="Normal"/>
              <w:widowControl/>
              <w:spacing w:before="60" w:after="20"/>
            </w:pPr>
            <w:r>
              <w:rPr>
                <w:b/>
              </w:rPr>
              <w:t xml:space="preserve">Kataoka 2025 · DREAM</w:t>
            </w:r>
            <w:r>
              <w:t xml:space="preserve"> </w:t>
            </w:r>
            <w:r>
              <w:t xml:space="preserve"> </w:t>
            </w:r>
            <w:r>
              <w:fldChar w:fldCharType="begin"/>
            </w:r>
            <w:r>
              <w:instrText xml:space="preserve"> ADDIN EN.CITE </w:instrText>
            </w:r>
            <w:r>
              <w:fldChar w:fldCharType="begin">
                <w:fldData>PEVuZE5vdGU+PENpdGU+PEF1dGhvcj5LYXRhb2thPC9BdXRob3I+PFllYXI+MjAyNTwvWWVhcj48UmVjTnVtPjg8L1JlY051bT48RGlzcGxheVRleHQ+W1YxMi04XTwvRGlzcGxheVRleHQ+PHJlY29yZD48cmVjLW51bWJlcj44PC9yZWMtbnVtYmVyPjxmb3JlaWduLWtleXM+PGtleSBhcHA9IkVOIiBkYi1pZD0iY2UxZWYzYjEtNDY1MS01NzQzLWFjOTEtNjk5NWVjNTdhYmJmIiB0aW1lc3RhbXA9IjE3OTI5MjEwODYiPjg8L2tleT48L2ZvcmVpZ24ta2V5cz48cmVmLXR5cGUgbmFtZT0iSm91cm5hbCBBcnRpY2xlIj4xNzwvcmVmLXR5cGU+PGNvbnRyaWJ1dG9ycz48YXV0aG9ycz48YXV0aG9yPkthdGFva2EsIEtvem88L2F1dGhvcj48YXV0aG9yPk1hdWVyLCBNdXJpZWxsZTwvYXV0aG9yPjxhdXRob3I+U2hpb3phd2EsIE1hbmFidTwvYXV0aG9yPjxhdXRob3I+TWFycmVhdWQsIFNhbmRyaW5lPC9hdXRob3I+PC9hdXRob3JzPjwvY29udHJpYnV0b3JzPjx0aXRsZXM+PHRpdGxlPkRpYWdub3N0aWMgQWNjdXJhY3kgb2YgSW1hZ2luZyBpbiBBc3Nlc3NpbmcgTm9udmlhYmlsaXR5IG9mIERpc2FwcGVhcmluZyBDb2xvcmVjdGFsIExpdmVyIE1ldGFzdGFzaXM8L3RpdGxlPjxzZWNvbmRhcnktdGl0bGU+SkFNQSBTdXJnZXJ5PC9zZWNvbmRhcnktdGl0bGU+PC90aXRsZXM+PHBlcmlvZGljYWw+PGZ1bGwtdGl0bGU+SkFNQSBTdXJnZXJ5PC9mdWxsLXRpdGxlPjwvcGVyaW9kaWNhbD48ZGF0ZXM+PHllYXI+MjAyNTwveWVhcj48L2RhdGVzPjxlbGVjdHJvbmljLXJlc291cmNlLW51bT4xMC4xMDAxL2phbWFzdXJnLjIwMjUuMzYwMDwvZWxlY3Ryb25pYy1yZXNvdXJjZS1udW0+PG5vdGVzPlByb3NwZWN0aXZlIG11bHRpY2VudHJlIGRpYWdub3N0aWMgY29ob3J0IEFsbCBuaW5lIFBERiBwYWdlcyByZWFkLiBDb21wbGV0ZSBwcmltYXJ5IHN0dWR5IHBwIDEyMTImIzgyMTE7MTIyMCwgaW5jbHVkaW5nIHJlZmVyZW5jZXM7IGZpbmFsIHBhZ2UgYWxzbyBiZWdpbnMgYSBzZXBhcmF0ZSBpbnZpdGVkIGNvbW1lbnRhcnkgd2hvc2UgY29udGludWF0aW9uIGlzIG5vdCBpbmNsdWRlZCBhbmQgd2FzIG5vdCB0cmVhdGVkIGFzIGNvbXBsZXRlLiBWOCBleHRyYWN0aW9uIGFuZCBsaW1pdGF0aW9uczogc291cmNlL21ldGFzdGFzZXNfZnVsbHRleHRfcmV2aWV3Lmpzb248L25vdGVzPjx1cmxzPjxyZWxhdGVkLXVybHM+PHVybD5odHRwczovL2RvaS5vcmcvMTAuMTAwMS9qYW1hc3VyZy4yMDI1LjM2MDA8L3VybD48L3JlbGF0ZWQtdXJscz48cGRmLXVybHMvPjwvdXJscz48L3JlY29yZD48L0NpdGU+PC9FbmROb3RlPg==</w:fldData>
              </w:fldChar>
            </w:r>
            <w:r>
              <w:instrText xml:space="preserve"> ADDIN EN.CITE.DATA </w:instrText>
            </w:r>
            <w:r>
              <w:fldChar w:fldCharType="end"/>
            </w:r>
            <w:r>
              <w:fldChar w:fldCharType="separate"/>
            </w:r>
            <w:r>
              <w:t xml:space="preserve">[V12-8]</w:t>
            </w:r>
            <w:r>
              <w:fldChar w:fldCharType="end"/>
            </w:r>
          </w:p>
          <w:p>
            <w:pPr>
              <w:pStyle w:val="Normal"/>
              <w:widowControl/>
              <w:spacing w:before="60" w:after="20"/>
            </w:pPr>
            <w:r>
              <w:t xml:space="preserve">Prospective international diagnostic study at 21 centres. 233 registered with initially borderline/unresectable CLM; 112 considered suitable for conversion surgery after chemotherapy and enrolled, 109 operated. WHO 0–1, with resectable extrahepatic disease allowed. R0 feasibility with functional vascular/biliary anatomy and ≥30% future liver remnant was this study's definition, not a universal LT criterion. CT disappearance = DLM; disappearance on CT and multiparametric MRI = cDLM.</w:t>
            </w:r>
          </w:p>
          <w:p>
            <w:pPr>
              <w:pStyle w:val="Normal"/>
              <w:widowControl/>
              <w:spacing w:before="60" w:after="20"/>
            </w:pPr>
            <w:hyperlink r:id="rId18">
              <w:r>
                <w:rPr>
                  <w:color w:val="77230C"/>
                  <w:sz w:val="20"/>
                  <w:u w:val="single"/>
                </w:rPr>
                <w:t>Primary source</w:t>
              </w:r>
            </w:hyperlink>
            <w:r>
              <w:t xml:space="preserve"> | </w:t>
            </w:r>
            <w:hyperlink r:id="rId19">
              <w:r>
                <w:rPr>
                  <w:color w:val="77230C"/>
                  <w:sz w:val="20"/>
                  <w:u w:val="single"/>
                </w:rPr>
                <w:t>Full-text PDF</w:t>
              </w:r>
            </w:hyperlink>
          </w:p>
          <w:p>
            <w:pPr>
              <w:pStyle w:val="Normal"/>
              <w:widowControl/>
              <w:spacing w:before="60" w:after="20"/>
            </w:pPr>
            <w:r>
              <w:t xml:space="preserve">Locator: Methods pp 1213–1214; patient table p 1215; flowchart and outcomes p 1216; NPV Figure 2 p 1217; survival Figure 4 and limitations p 1218.</w:t>
            </w:r>
          </w:p>
          <w:p>
            <w:pPr>
              <w:pStyle w:val="Normal"/>
              <w:widowControl/>
              <w:spacing w:before="60" w:after="20"/>
            </w:pPr>
            <w:r>
              <w:t xml:space="preserve">Review depth: All nine PDF pages read. Complete primary study pp 1212–1220, including references; final page also begins a separate invited commentary whose continuation is not included and was not treated as complete.</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203 cDLMs in 54 patients; 152 evaluable cDLMs in 44 patients (88 resected, 64 left). Fifty-one cDLMs excluded, including death before two years, missing/out-of-window MRI, ablation or pathology data. Median follow-up 26.1 months after surgery. Survival time zero is initial hepatic surgery. Primary endpoint combines pathology at surgery and lack of site recurrence at two years; these are not identical gold standards. Nonviability NPV for CT+MRI disappearance 95/152 =62.5% (90% CI 50.8–74.2), below prespecified 85%; CT-only DLM NPV 52.9%. Resected cDLMs: 50/88 nonviable, leaving 38/88 with residual viable disease. Left cDLMs: 45/64 without site recurrence at two years, 19/64 with recurrence. With CEUS and cDLM: 42/57 lesions invisible on CEUS were nonviable/no two-year site recurrence (73.7%; 90% CI 55.0–92.3), still imperfect. No equivalence to Oba's expert-centre results. Among 45 patients without extrahepatic disease and R0/R1 resection, all cDLMs removed (19) versus some left (26): DFS HR 0.92 (95% CI 0.48–1.77), OS HR 0.80 (0.21–3.08). Underpowered nonrandom comparison, not proof that resection is useless. Among 109 surgeries, grade ≥IIIa early complications 12/109 (11.0%), late complications 4/109 (3.7%); no postoperative mortality. Postoperative chemotherapy in 46/109.</w:t>
            </w:r>
          </w:p>
          <w:p>
            <w:pPr>
              <w:pStyle w:val="Normal"/>
              <w:widowControl/>
              <w:spacing w:before="60" w:after="20"/>
            </w:pPr>
            <w:r>
              <w:rPr>
                <w:b/>
              </w:rPr>
              <w:t xml:space="preserve">Do not infer: </w:t>
            </w:r>
            <w:r>
              <w:t xml:space="preserve">No central imaging review completed; mixed MRI contrast agents and intraoperative ultrasound practice. Selection and verification bias from conversion-only population and exclusions; per-lesion within-patient correlation was addressed statistically but clinical selection remained. Not powered for survival benefit, no adjustment of survival comparisons; trial discussion of possible LT is hypothesis, not direct evidence. Supplement 1 imaging/pathology guidelines, additional tables/figures and Supplement 2 data-sharing statement are not in this download. Supplement access: Main study complete; Supplement 1 and Supplement 2 absent. Separate invited commentary only begins on the last page.</w:t>
            </w:r>
          </w:p>
        </w:tc>
      </w:tr>
      <w:tr>
        <w:trPr/>
        <w:tc>
          <w:tcPr>
            <w:tcW w:w="3400" w:type="dxa"/>
            <w:tcMar>
              <w:top w:w="90" w:type="dxa"/>
              <w:left w:w="90" w:type="dxa"/>
              <w:bottom w:w="90" w:type="dxa"/>
              <w:right w:w="90" w:type="dxa"/>
            </w:tcMar>
          </w:tcPr>
          <w:p>
            <w:pPr>
              <w:pStyle w:val="Normal"/>
              <w:widowControl/>
              <w:spacing w:before="60" w:after="20"/>
            </w:pPr>
            <w:r>
              <w:rPr>
                <w:b/>
              </w:rPr>
              <w:t xml:space="preserve">Grut 2022 · MTV</w:t>
            </w:r>
            <w:r>
              <w:t xml:space="preserve"> </w:t>
            </w:r>
            <w:r>
              <w:t xml:space="preserve"> </w:t>
            </w:r>
            <w:r>
              <w:fldChar w:fldCharType="begin"/>
            </w:r>
            <w:r>
              <w:instrText xml:space="preserve"> ADDIN EN.CITE </w:instrText>
            </w:r>
            <w:r>
              <w:fldChar w:fldCharType="begin">
                <w:fldData>PEVuZE5vdGU+PENpdGU+PEF1dGhvcj5HcnV0PC9BdXRob3I+PFllYXI+MjAyMjwvWWVhcj48UmVjTnVtPjEyPC9SZWNOdW0+PERpc3BsYXlUZXh0PltWMTItMTJdPC9EaXNwbGF5VGV4dD48cmVjb3JkPjxyZWMtbnVtYmVyPjEyPC9yZWMtbnVtYmVyPjxmb3JlaWduLWtleXM+PGtleSBhcHA9IkVOIiBkYi1pZD0iY2UxZWYzYjEtNDY1MS01NzQzLWFjOTEtNjk5NWVjNTdhYmJmIiB0aW1lc3RhbXA9IjE3OTI5MjEwODYiPjEyPC9rZXk+PC9mb3JlaWduLWtleXM+PHJlZi10eXBlIG5hbWU9IkpvdXJuYWwgQXJ0aWNsZSI+MTc8L3JlZi10eXBlPjxjb250cmlidXRvcnM+PGF1dGhvcnM+PGF1dGhvcj5HcnV0LCBIYXJhbGQ8L2F1dGhvcj48YXV0aG9yPkxpbmUsIFAmIzIyOTtsLURhZzwvYXV0aG9yPjxhdXRob3I+U3l2ZXJzdmVlbiwgVHJ5Z3ZlPC9hdXRob3I+PGF1dGhvcj5EdWVsYW5kLCBTdmVpbjwvYXV0aG9yPjwvYXV0aG9ycz48L2NvbnRyaWJ1dG9ycz48dGl0bGVzPjx0aXRsZT5NZXRhYm9saWMgdHVtb3Igdm9sdW1lIHByZWRpY3RzIGxvbmctdGVybSBzdXJ2aXZhbCBhZnRlciB0cmFuc3BsYW50YXRpb24gZm9yIHVucmVzZWN0YWJsZSBjb2xvcmVjdGFsIGxpdmVyIG1ldGFzdGFzZXM6IDE1IHllYXJzIG9mIGV4cGVyaWVuY2UgZnJvbSB0aGUgU0VDQSBzdHVkeTwvdGl0bGU+PHNlY29uZGFyeS10aXRsZT5Bbm5hbHMgb2YgbnVjbGVhciBtZWRpY2luZTwvc2Vjb25kYXJ5LXRpdGxlPjwvdGl0bGVzPjxwZXJpb2RpY2FsPjxmdWxsLXRpdGxlPkFubmFscyBvZiBudWNsZWFyIG1lZGljaW5lPC9mdWxsLXRpdGxlPjwvcGVyaW9kaWNhbD48ZGF0ZXM+PHllYXI+MjAyMjwveWVhcj48L2RhdGVzPjx2b2x1bWU+MzY8L3ZvbHVtZT48bnVtYmVyPjEyPC9udW1iZXI+PHBhZ2VzPjEwNzMtMTA4MTwvcGFnZXM+PGVsZWN0cm9uaWMtcmVzb3VyY2UtbnVtPjEwLjEwMDcvczEyMTQ5LTAyMi0wMTc5Ni04PC9lbGVjdHJvbmljLXJlc291cmNlLW51bT48bm90ZXM+UmV0cm9zcGVjdGl2ZSBwcm9nbm9zdGljIGNvaG9ydCBDb21wbGV0ZSBuaW5lLXBhZ2UgcHVibGlzaGVkIHBhcGVyIHJlYWQsIGluY2x1ZGluZyBNZXRob2RzLCBhbGwgdGFibGVzL2ZpZ3VyZXMsIERpc2N1c3Npb24gYW5kIHJlZmVyZW5jZXMuIFY4IGV4dHJhY3Rpb24gYW5kIGxpbWl0YXRpb25zOiBzb3VyY2UvbWV0YXN0YXNlc19mdWxsdGV4dF9yZXZpZXcuanNvbjwvbm90ZXM+PHVybHM+PHJlbGF0ZWQtdXJscz48dXJsPmh0dHBzOi8vZG9pLm9yZy8xMC4xMDA3L3MxMjE0OS0wMjItMDE3OTYtODwvdXJsPjwvcmVsYXRlZC11cmxzPjxwZGYtdXJscy8+PC91cmxzPjwvcmVjb3JkPjwvQ2l0ZT48L0VuZE5vdGU+</w:fldData>
              </w:fldChar>
            </w:r>
            <w:r>
              <w:instrText xml:space="preserve"> ADDIN EN.CITE.DATA </w:instrText>
            </w:r>
            <w:r>
              <w:fldChar w:fldCharType="end"/>
            </w:r>
            <w:r>
              <w:fldChar w:fldCharType="separate"/>
            </w:r>
            <w:r>
              <w:t xml:space="preserve">[V12-12]</w:t>
            </w:r>
            <w:r>
              <w:fldChar w:fldCharType="end"/>
            </w:r>
          </w:p>
          <w:p>
            <w:pPr>
              <w:pStyle w:val="Normal"/>
              <w:widowControl/>
              <w:spacing w:before="60" w:after="20"/>
            </w:pPr>
            <w:r>
              <w:t xml:space="preserve">Retrospective pooled prognostic analysis of 40 already-transplanted SECA recipients: 23 SECA-I and 17 SECA-II (November 2006–August 2018). ECOG 0–1, radically resected primary, liver-only unresectable metastases. Different trial criteria allowed progression in SECA-I, but not SECA-II.</w:t>
            </w:r>
          </w:p>
          <w:p>
            <w:pPr>
              <w:pStyle w:val="Normal"/>
              <w:widowControl/>
              <w:spacing w:before="60" w:after="20"/>
            </w:pPr>
            <w:hyperlink r:id="rId20">
              <w:r>
                <w:rPr>
                  <w:color w:val="77230C"/>
                  <w:sz w:val="20"/>
                  <w:u w:val="single"/>
                </w:rPr>
                <w:t>Primary source</w:t>
              </w:r>
            </w:hyperlink>
            <w:r>
              <w:t xml:space="preserve"> | </w:t>
            </w:r>
            <w:hyperlink r:id="rId21">
              <w:r>
                <w:rPr>
                  <w:color w:val="77230C"/>
                  <w:sz w:val="20"/>
                  <w:u w:val="single"/>
                </w:rPr>
                <w:t>Full-text PDF</w:t>
              </w:r>
            </w:hyperlink>
          </w:p>
          <w:p>
            <w:pPr>
              <w:pStyle w:val="Normal"/>
              <w:widowControl/>
              <w:spacing w:before="60" w:after="20"/>
            </w:pPr>
            <w:r>
              <w:t xml:space="preserve">Locator: Printed pp 1074–1075 Methods and ROC; Tables 1–2 pp 1075–1076; recurrence p 1077; limitations and scan timing p 1079.</w:t>
            </w:r>
          </w:p>
          <w:p>
            <w:pPr>
              <w:pStyle w:val="Normal"/>
              <w:widowControl/>
              <w:spacing w:before="60" w:after="20"/>
            </w:pPr>
            <w:r>
              <w:t xml:space="preserve">Review depth: Complete nine-page published paper read, including Methods, all tables/figures, Discussion and references.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OS/DFS from LT to 22 December 2021, postrecurrence survival from relapse. Twenty-six MTV &lt;70 cm³ and 14 &gt;70; the exact equality boundary was not specified. ROC-derived cutpoint 66.09 rounded to 70. TLG ROC cutpoint 238.80, not 260. Five-/ten-year OS 76%/50% for low MTV versus 21%/7% for high MTV (P&lt;0.001). Median DFS 16 versus 4 months; all 14 high-MTV and 19/26 low-MTV recipients recurred. Five-/ten-year postrecurrence survival 57%/37% versus 14%/7%. No randomized comparison or incremental benefit analysis. High-MTV group had progression in 79% versus 19%, CEA median 95 versus 3, larger lesions 83 versus 29 mm and substantially more second/third-line treatment: strong confounding by biology. PET was performed after a reported chemotherapy pause of four to six weeks. Among 20 scanned &lt;90 days before LT, MTV was strongly associated with OS; among 20 scanned &gt;90 days, P=0.093. Timing subgroup findings do not prove an optimal universal interval.</w:t>
            </w:r>
          </w:p>
          <w:p>
            <w:pPr>
              <w:pStyle w:val="Normal"/>
              <w:widowControl/>
              <w:spacing w:before="60" w:after="20"/>
            </w:pPr>
            <w:r>
              <w:rPr>
                <w:b/>
              </w:rPr>
              <w:t xml:space="preserve">Do not infer: </w:t>
            </w:r>
            <w:r>
              <w:t xml:space="preserve">Threshold derived and assessed in the same small overlapping SECA cohort; no multivariable isolation of MTV and no untreated comparator. TLG separated the identical patients, so it is not independent validation or an additive test. The paper reports no PET-attributable harms; withholding chemotherapy four to six weeks was study practice, not a universally safe requirement. A zero MTV indicates below-threshold FDG uptake, not histological clearance. Supplement access: No separate supplement cited.</w:t>
            </w:r>
          </w:p>
        </w:tc>
      </w:tr>
      <w:tr>
        <w:trPr/>
        <w:tc>
          <w:tcPr>
            <w:tcW w:w="3400" w:type="dxa"/>
            <w:tcMar>
              <w:top w:w="90" w:type="dxa"/>
              <w:left w:w="90" w:type="dxa"/>
              <w:bottom w:w="90" w:type="dxa"/>
              <w:right w:w="90" w:type="dxa"/>
            </w:tcMar>
          </w:tcPr>
          <w:p>
            <w:pPr>
              <w:pStyle w:val="Normal"/>
              <w:widowControl/>
              <w:spacing w:before="60" w:after="20"/>
            </w:pPr>
            <w:r>
              <w:rPr>
                <w:b/>
              </w:rPr>
              <w:t xml:space="preserve">Oba 2018 · disappearing lesions</w:t>
            </w:r>
            <w:r>
              <w:t xml:space="preserve"> </w:t>
            </w:r>
            <w:r>
              <w:t xml:space="preserve"> </w:t>
            </w:r>
            <w:r>
              <w:fldChar w:fldCharType="begin"/>
            </w:r>
            <w:r>
              <w:instrText xml:space="preserve"> ADDIN EN.CITE </w:instrText>
            </w:r>
            <w:r>
              <w:fldChar w:fldCharType="begin">
                <w:fldData>PEVuZE5vdGU+PENpdGU+PEF1dGhvcj5PYmE8L0F1dGhvcj48WWVhcj4yMDE4PC9ZZWFyPjxSZWNOdW0+OTwvUmVjTnVtPjxEaXNwbGF5VGV4dD5bVjEyLTldPC9EaXNwbGF5VGV4dD48cmVjb3JkPjxyZWMtbnVtYmVyPjk8L3JlYy1udW1iZXI+PGZvcmVpZ24ta2V5cz48a2V5IGFwcD0iRU4iIGRiLWlkPSJjZTFlZjNiMS00NjUxLTU3NDMtYWM5MS02OTk1ZWM1N2FiYmYiIHRpbWVzdGFtcD0iMTc5MjkyMTA4NiI+OTwva2V5PjwvZm9yZWlnbi1rZXlzPjxyZWYtdHlwZSBuYW1lPSJKb3VybmFsIEFydGljbGUiPjE3PC9yZWYtdHlwZT48Y29udHJpYnV0b3JzPjxhdXRob3JzPjxhdXRob3I+T2JhLCBBdHN1c2hpPC9hdXRob3I+PGF1dGhvcj5NaXNlLCBZb3NoaWhpcm88L2F1dGhvcj48YXV0aG9yPkl0bywgSGlyb21pY2hpPC9hdXRob3I+PGF1dGhvcj5IaXJhdHN1a2EsIE1ha2lrbzwvYXV0aG9yPjxhdXRob3I+SW5vdWUsIFlvc3VrZTwvYXV0aG9yPjxhdXRob3I+SXNoaXphd2EsIFRha2Vha2k8L2F1dGhvcj48YXV0aG9yPkFyaXRhLCBKdW5pY2hpPC9hdXRob3I+PGF1dGhvcj5NYXRzdWVkYSwgS2l5b3NoaTwvYXV0aG9yPjxhdXRob3I+VGFrYWhhc2hpLCBZdTwvYXV0aG9yPjxhdXRob3I+U2FpdXJhLCBBa2lvPC9hdXRob3I+PC9hdXRob3JzPjwvY29udHJpYnV0b3JzPjx0aXRsZXM+PHRpdGxlPkNsaW5pY2FsIGltcGxpY2F0aW9ucyBvZiBkaXNhcHBlYXJpbmcgY29sb3JlY3RhbCBsaXZlciBtZXRhc3Rhc2VzIGhhdmUgY2hhbmdlZCBpbiB0aGUgZXJhIG9mIGhlcGF0b2N5dGUtc3BlY2lmaWMgTVJJIGFuZCBjb250cmFzdC1lbmhhbmNlZCBpbnRyYW9wZXJhdGl2ZSB1bHRyYXNvbm9ncmFwaHk8L3RpdGxlPjxzZWNvbmRhcnktdGl0bGU+SFBCPC9zZWNvbmRhcnktdGl0bGU+PC90aXRsZXM+PHBlcmlvZGljYWw+PGZ1bGwtdGl0bGU+SFBCPC9mdWxsLXRpdGxlPjwvcGVyaW9kaWNhbD48ZGF0ZXM+PHllYXI+MjAxODwveWVhcj48L2RhdGVzPjx2b2x1bWU+MjA8L3ZvbHVtZT48bnVtYmVyPjg8L251bWJlcj48cGFnZXM+NzA4LTcxNDwvcGFnZXM+PGVsZWN0cm9uaWMtcmVzb3VyY2UtbnVtPjEwLjEwMTYvai5ocGIuMjAxOC4wMi4zNzc8L2VsZWN0cm9uaWMtcmVzb3VyY2UtbnVtPjxub3Rlcz5SZXRyb3NwZWN0aXZlIGltYWdpbmcvc3VyZ2ljYWwgY29ob3J0IENvbXBsZXRlIHNldmVuLXBhZ2UgbWFpbiBwYXBlciByZWFkLCBpbmNsdWRpbmcgbWV0aG9kcywgcmVzdWx0cywgdGFibGVzLCBmaWd1cmUgdGV4dC9jYXB0aW9ucywgZGlzY3Vzc2lvbiBhbmQgcmVmZXJlbmNlcy4gVjggZXh0cmFjdGlvbiBhbmQgbGltaXRhdGlvbnM6IHNvdXJjZS9tZXRhc3Rhc2VzX2Z1bGx0ZXh0X3Jldmlldy5qc29uPC9ub3Rlcz48dXJscz48cmVsYXRlZC11cmxzPjx1cmw+aHR0cHM6Ly9kb2kub3JnLzEwLjEwMTYvai5ocGIuMjAxOC4wMi4zNzc8L3VybD48L3JlbGF0ZWQtdXJscz48cGRmLXVybHMvPjwvdXJscz48L3JlY29yZD48L0NpdGU+PC9FbmROb3RlPg==</w:fldData>
              </w:fldChar>
            </w:r>
            <w:r>
              <w:instrText xml:space="preserve"> ADDIN EN.CITE.DATA </w:instrText>
            </w:r>
            <w:r>
              <w:fldChar w:fldCharType="end"/>
            </w:r>
            <w:r>
              <w:fldChar w:fldCharType="separate"/>
            </w:r>
            <w:r>
              <w:t xml:space="preserve">[V12-9]</w:t>
            </w:r>
            <w:r>
              <w:fldChar w:fldCharType="end"/>
            </w:r>
          </w:p>
          <w:p>
            <w:pPr>
              <w:pStyle w:val="Normal"/>
              <w:widowControl/>
              <w:spacing w:before="60" w:after="20"/>
            </w:pPr>
            <w:r>
              <w:t xml:space="preserve">Single-centre diagnostic/surgical cohort: 392 hepatectomy patients, 228 treated with preoperative chemotherapy, 184 with CT, EOB-MRI and contrast-enhanced intraoperative ultrasound (CE-IOUS). Fifty-nine patients had 275 CT-disappearing liver metastases; median original size 8 mm. Ninety-eight percent had partial response and 75% received postoperative chemotherapy. This was not an LT cohort.</w:t>
            </w:r>
          </w:p>
          <w:p>
            <w:pPr>
              <w:pStyle w:val="Normal"/>
              <w:widowControl/>
              <w:spacing w:before="60" w:after="20"/>
            </w:pPr>
            <w:hyperlink r:id="rId22">
              <w:r>
                <w:rPr>
                  <w:color w:val="77230C"/>
                  <w:sz w:val="20"/>
                  <w:u w:val="single"/>
                </w:rPr>
                <w:t>Primary source</w:t>
              </w:r>
            </w:hyperlink>
            <w:r>
              <w:t xml:space="preserve"> | </w:t>
            </w:r>
            <w:hyperlink r:id="rId23">
              <w:r>
                <w:rPr>
                  <w:color w:val="77230C"/>
                  <w:sz w:val="20"/>
                  <w:u w:val="single"/>
                </w:rPr>
                <w:t>Full-text PDF</w:t>
              </w:r>
            </w:hyperlink>
          </w:p>
          <w:p>
            <w:pPr>
              <w:pStyle w:val="Normal"/>
              <w:widowControl/>
              <w:spacing w:before="60" w:after="20"/>
            </w:pPr>
            <w:r>
              <w:t xml:space="preserve">Locator: Printed pp 708–714; methods pp 709–710; Figure 2 p 711; Table 2 p 712; limitations p 713.</w:t>
            </w:r>
          </w:p>
          <w:p>
            <w:pPr>
              <w:pStyle w:val="Normal"/>
              <w:widowControl/>
              <w:spacing w:before="60" w:after="20"/>
            </w:pPr>
            <w:r>
              <w:t xml:space="preserve">Review depth: Complete seven-page main paper read, including methods, results, tables, figure text/captions, discussion and references.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Lesion-level reference standard: pathology for resected lesions and subsequent site recurrence for unresected lesions. Unresected-site follow-up median 27 months (range 9–72), not a transplant survival endpoint. EOB-MRI detected 71 of 275 lesions, 65 viable. EOB-MRI plus CE-IOUS detected 165 lesions, 127 viable. Of 110 lesions undetected by both methods, 68 were resected with three viable; 42 were left in situ with six site recurrences. Table 2: combined sensitivity 127/136 (93%), negative predictive value 101/110 (92%).</w:t>
            </w:r>
          </w:p>
          <w:p>
            <w:pPr>
              <w:pStyle w:val="Normal"/>
              <w:widowControl/>
              <w:spacing w:before="60" w:after="20"/>
            </w:pPr>
            <w:r>
              <w:rPr>
                <w:b/>
              </w:rPr>
              <w:t xml:space="preserve">Do not infer: </w:t>
            </w:r>
            <w:r>
              <w:t xml:space="preserve">Unblinded imaging, operator-dependent ultrasound, different pathology and recurrence reference standards. Pathological sections 3–10 mm apart can miss residual cancer; postoperative chemotherapy can suppress recurrence. Japanese perflubutane protocol and expertise are not a mandate for an unavailable US contrast agent. Does not establish a survival benefit from blind resection of every old site or from LT; no comparative operative-harm estimate. Supplement access: No separate supplement included or identified in the main paper; earlier imaging-method papers were not re-reviewed.</w:t>
            </w:r>
          </w:p>
        </w:tc>
      </w:tr>
      <w:tr>
        <w:trPr/>
        <w:tc>
          <w:tcPr>
            <w:tcW w:w="3400" w:type="dxa"/>
            <w:tcMar>
              <w:top w:w="90" w:type="dxa"/>
              <w:left w:w="90" w:type="dxa"/>
              <w:bottom w:w="90" w:type="dxa"/>
              <w:right w:w="90" w:type="dxa"/>
            </w:tcMar>
          </w:tcPr>
          <w:p>
            <w:pPr>
              <w:pStyle w:val="Normal"/>
              <w:widowControl/>
              <w:spacing w:before="60" w:after="20"/>
            </w:pPr>
            <w:r>
              <w:rPr>
                <w:b/>
              </w:rPr>
              <w:t xml:space="preserve">Wehrle 2025 · PET</w:t>
            </w:r>
            <w:r>
              <w:t xml:space="preserve"> </w:t>
            </w:r>
            <w:r>
              <w:t xml:space="preserve"> </w:t>
            </w:r>
            <w:r>
              <w:fldChar w:fldCharType="begin"/>
            </w:r>
            <w:r>
              <w:instrText xml:space="preserve"> ADDIN EN.CITE </w:instrText>
            </w:r>
            <w:r>
              <w:fldChar w:fldCharType="begin">
                <w:fldData>PEVuZE5vdGU+PENpdGU+PEF1dGhvcj5XZWhybGU8L0F1dGhvcj48WWVhcj4yMDI1PC9ZZWFyPjxSZWNOdW0+MTE8L1JlY051bT48RGlzcGxheVRleHQ+W1YxMi0xMV08L0Rpc3BsYXlUZXh0PjxyZWNvcmQ+PHJlYy1udW1iZXI+MTE8L3JlYy1udW1iZXI+PGZvcmVpZ24ta2V5cz48a2V5IGFwcD0iRU4iIGRiLWlkPSJjZTFlZjNiMS00NjUxLTU3NDMtYWM5MS02OTk1ZWM1N2FiYmYiIHRpbWVzdGFtcD0iMTc5MjkyMTA4NiI+MTE8L2tleT48L2ZvcmVpZ24ta2V5cz48cmVmLXR5cGUgbmFtZT0iSm91cm5hbCBBcnRpY2xlIj4xNzwvcmVmLXR5cGU+PGNvbnRyaWJ1dG9ycz48YXV0aG9ycz48YXV0aG9yPldlaHJsZSwgQ2hhc2UgSjwvYXV0aG9yPjxhdXRob3I+Q2gmIzIyNTt2ZXotVmlsbGEsIE1hcmlhbmE8L2F1dGhvcj48YXV0aG9yPkJ5cm5lLCBNYXR0aGV3PC9hdXRob3I+PGF1dGhvcj5LdXNha2FiZSwgSmlybzwvYXV0aG9yPjxhdXRob3I+R3Jvc3MsIEFiYnk8L2F1dGhvcj48YXV0aG9yPk1haGFqYW4sIFBhcmVzaDwvYXV0aG9yPjxhdXRob3I+UnVmZm9sbywgTHVpczwvYXV0aG9yPjxhdXRob3I+V2hpdHNldHQgTGluZ2FubmEsIE1hdXJlZW48L2F1dGhvcj48YXV0aG9yPlNvYm90a2EsIEFubmllPC9hdXRob3I+PGF1dGhvcj5OYWZmb3VqZSwgU2FtZXI8L2F1dGhvcj48YXV0aG9yPktoYWxpbCwgTWF6aGFyPC9hdXRob3I+PGF1dGhvcj5QaXRhLCBBbGVqYW5kcm88L2F1dGhvcj48YXV0aG9yPkZ1amlraSwgTWFzYXRvPC9hdXRob3I+PGF1dGhvcj5Ub21peWFtYSwgS29qaTwvYXV0aG9yPjxhdXRob3I+U2NobGVnZWwsIEFuZHJlYTwvYXV0aG9yPjxhdXRob3I+S3dvbiwgRGF2aWQgQyBIPC9hdXRob3I+PGF1dGhvcj5MaW5lLCBQYWwtRGFnPC9hdXRob3I+PGF1dGhvcj5NaWxsZXIsIENoYXJsZXM8L2F1dGhvcj48YXV0aG9yPkhhc2hpbW90bywgS29qaTwvYXV0aG9yPjxhdXRob3I+SGVybmFuZGV6LUFsZWphbmRybywgUm9iZXJ0bzwvYXV0aG9yPjxhdXRob3I+QXVjZWpvLCBGZWRlcmljbzwvYXV0aG9yPjwvYXV0aG9ycz48L2NvbnRyaWJ1dG9ycz48dGl0bGVzPjx0aXRsZT5QcmV0cmFuc3BsYW50IG1ldGFib2xpYyB0dW1vciB2b2x1bWUgcHJlZGljdHMgcmVjdXJyZW5jZSBmb2xsb3dpbmcgbGl2ZXIgdHJhbnNwbGFudGF0aW9uIGZvciBjb2xvcmVjdGFsIG1ldGFzdGFzaXM6IEEgbXVsdGljZW50ZXIgc3R1ZHk8L3RpdGxlPjxzZWNvbmRhcnktdGl0bGU+TGl2ZXIgdHJhbnNwbGFudGF0aW9uIDogb2ZmaWNpYWwgcHVibGljYXRpb24gb2YgdGhlIEFtZXJpY2FuIEFzc29jaWF0aW9uIGZvciB0aGUgU3R1ZHkgb2YgTGl2ZXIgRGlzZWFzZXMgYW5kIHRoZSBJbnRlcm5hdGlvbmFsIExpdmVyIFRyYW5zcGxhbnRhdGlvbiBTb2NpZXR5PC9zZWNvbmRhcnktdGl0bGU+PC90aXRsZXM+PHBlcmlvZGljYWw+PGZ1bGwtdGl0bGU+TGl2ZXIgdHJhbnNwbGFudGF0aW9uIDogb2ZmaWNpYWwgcHVibGljYXRpb24gb2YgdGhlIEFtZXJpY2FuIEFzc29jaWF0aW9uIGZvciB0aGUgU3R1ZHkgb2YgTGl2ZXIgRGlzZWFzZXMgYW5kIHRoZSBJbnRlcm5hdGlvbmFsIExpdmVyIFRyYW5zcGxhbnRhdGlvbiBTb2NpZXR5PC9mdWxsLXRpdGxlPjwvcGVyaW9kaWNhbD48ZGF0ZXM+PHllYXI+MjAyNTwveWVhcj48L2RhdGVzPjx2b2x1bWU+MzE8L3ZvbHVtZT48bnVtYmVyPjM8L251bWJlcj48cGFnZXM+Mjk4LTMxMDwvcGFnZXM+PGVsZWN0cm9uaWMtcmVzb3VyY2UtbnVtPjEwLjEwOTcvTFZULjAwMDAwMDAwMDAwMDA1MzU8L2VsZWN0cm9uaWMtcmVzb3VyY2UtbnVtPjxub3Rlcz5SZXRyb3NwZWN0aXZlIHR3by1jZW50ZXIgY29ob3J0IENvbXBsZXRlIDEzLXBhZ2UgbWFpbiBwYXBlciByZWFkLCBpbmNsdWRpbmcgbWV0aG9kcywgVGFibGVzIDEmIzgyMTE7MiwgZmlndXJlcy9jYXB0aW9ucywgZGlzY3Vzc2lvbiBhbmQgcmVmZXJlbmNlcy4gVjggZXh0cmFjdGlvbiBhbmQgbGltaXRhdGlvbnM6IHNvdXJjZS9tZXRhc3Rhc2VzX2Z1bGx0ZXh0X3Jldmlldy5qc29uPC9ub3Rlcz48dXJscz48cmVsYXRlZC11cmxzPjx1cmw+aHR0cHM6Ly9kb2kub3JnLzEwLjEwOTcvTFZULjAwMDAwMDAwMDAwMDA1MzU8L3VybD48L3JlbGF0ZWQtdXJscz48cGRmLXVybHMvPjwvdXJscz48L3JlY29yZD48L0NpdGU+PC9FbmROb3RlPg==</w:fldData>
              </w:fldChar>
            </w:r>
            <w:r>
              <w:instrText xml:space="preserve"> ADDIN EN.CITE.DATA </w:instrText>
            </w:r>
            <w:r>
              <w:fldChar w:fldCharType="end"/>
            </w:r>
            <w:r>
              <w:fldChar w:fldCharType="separate"/>
            </w:r>
            <w:r>
              <w:t xml:space="preserve">[V12-11]</w:t>
            </w:r>
            <w:r>
              <w:fldChar w:fldCharType="end"/>
            </w:r>
          </w:p>
          <w:p>
            <w:pPr>
              <w:pStyle w:val="Normal"/>
              <w:widowControl/>
              <w:spacing w:before="60" w:after="20"/>
            </w:pPr>
            <w:r>
              <w:t xml:space="preserve">Retrospective two-US-centre study of 26 recipients (24 LDLT), 2017–2023; all Oslo score 0–2. Five had PET MTV ≥70 cm3 and 21 had lower MTV. No nontransplanted comparator.</w:t>
            </w:r>
          </w:p>
          <w:p>
            <w:pPr>
              <w:pStyle w:val="Normal"/>
              <w:widowControl/>
              <w:spacing w:before="60" w:after="20"/>
            </w:pPr>
            <w:hyperlink r:id="rId24">
              <w:r>
                <w:rPr>
                  <w:color w:val="77230C"/>
                  <w:sz w:val="20"/>
                  <w:u w:val="single"/>
                </w:rPr>
                <w:t>Primary source</w:t>
              </w:r>
            </w:hyperlink>
            <w:r>
              <w:t xml:space="preserve"> | </w:t>
            </w:r>
            <w:hyperlink r:id="rId25">
              <w:r>
                <w:rPr>
                  <w:color w:val="77230C"/>
                  <w:sz w:val="20"/>
                  <w:u w:val="single"/>
                </w:rPr>
                <w:t>Full-text PDF</w:t>
              </w:r>
            </w:hyperlink>
          </w:p>
          <w:p>
            <w:pPr>
              <w:pStyle w:val="Normal"/>
              <w:widowControl/>
              <w:spacing w:before="60" w:after="20"/>
            </w:pPr>
            <w:r>
              <w:t xml:space="preserve">Locator: PDF pp 4–6: methods, results and Table 1; pp 7–8: Table 2/explant viability; pp 10–11: chemotherapy timing and limitations.</w:t>
            </w:r>
          </w:p>
          <w:p>
            <w:pPr>
              <w:pStyle w:val="Normal"/>
              <w:widowControl/>
              <w:spacing w:before="60" w:after="20"/>
            </w:pPr>
            <w:r>
              <w:t xml:space="preserve">Review depth: Complete 13-page main paper read, including methods, Tables 1–2, figures/captions, discussion and references.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Median recipient follow-up 21 months (IQR 11–36); PET within four months of LT, median 1.9 months. Chemotherapy-to-PET interval median 20 days (IQR 0–30), unlike the Oslo four-to-six-week interruption. One-/two-year survival percentages use mature denominators 18/13. Recurrence occurred in four of five high-MTV recipients versus four of 21 low-MTV recipients; two cancer deaths. One-/two-year RFS 15/18 (83%) and 8/13 (62%); OS 18/18 (100%) and 11/13 (85%). Nineteen of 26 explants were viable. All 11 PET-avid cases were viable; eight of 15 nonavid cases were also viable (53.3%). Eight of 19 viable and none of seven nonviable explants recurred. High-MTV patients also had more poorly differentiated tumours (80% versus 14.3%) and higher CEA (35 versus 3.3), without multivariable adjustment.</w:t>
            </w:r>
          </w:p>
          <w:p>
            <w:pPr>
              <w:pStyle w:val="Normal"/>
              <w:widowControl/>
              <w:spacing w:before="60" w:after="20"/>
            </w:pPr>
            <w:r>
              <w:rPr>
                <w:b/>
              </w:rPr>
              <w:t xml:space="preserve">Do not infer: </w:t>
            </w:r>
            <w:r>
              <w:t xml:space="preserve">Reported HR 2.42 with CI 2.2–62.2 is internally inconsistent; do not repair or reuse it without author clarification. Several count/percentage/table inconsistencies: 19/26 incorrectly labelled 69.2%; LDLT subgroup totals conflict; MTV IQR and cohort-centre totals differ. Use explicit raw counts and flag uncertainty. Recent chemotherapy can suppress FDG avidity. PET negativity is not pathological nonviability. Data-derived Youden MTV 1.6 is exploratory, not an alternative eligibility threshold. Small recipient-only cohort with possible overlap with other US series; cannot establish incremental transplant benefit or efficacy of reducing MTV. Supplement access: Supplementary Figures S1/S2 at http://links.lww.com/LVT/A684 are not included or reviewed.</w:t>
            </w:r>
          </w:p>
        </w:tc>
      </w:tr>
      <w:tr>
        <w:trPr/>
        <w:tc>
          <w:tcPr>
            <w:tcW w:w="3400" w:type="dxa"/>
            <w:tcMar>
              <w:top w:w="90" w:type="dxa"/>
              <w:left w:w="90" w:type="dxa"/>
              <w:bottom w:w="90" w:type="dxa"/>
              <w:right w:w="90" w:type="dxa"/>
            </w:tcMar>
          </w:tcPr>
          <w:p>
            <w:pPr>
              <w:pStyle w:val="Normal"/>
              <w:widowControl/>
              <w:spacing w:before="60" w:after="20"/>
            </w:pPr>
            <w:r>
              <w:rPr>
                <w:b/>
              </w:rPr>
              <w:t xml:space="preserve">Dueland 2020 · SECA-II</w:t>
            </w:r>
            <w:r>
              <w:t xml:space="preserve"> </w:t>
            </w:r>
            <w:r>
              <w:t xml:space="preserve"> </w:t>
            </w:r>
            <w:r>
              <w:fldChar w:fldCharType="begin"/>
            </w:r>
            <w:r>
              <w:instrText xml:space="preserve"> ADDIN EN.CITE </w:instrText>
            </w:r>
            <w:r>
              <w:fldChar w:fldCharType="begin">
                <w:fldData>PEVuZE5vdGU+PENpdGU+PEF1dGhvcj5EdWVsYW5kPC9BdXRob3I+PFllYXI+MjAyMDwvWWVhcj48UmVjTnVtPjQ8L1JlY051bT48RGlzcGxheVRleHQ+W1YxMi00XTwvRGlzcGxheVRleHQ+PHJlY29yZD48cmVjLW51bWJlcj40PC9yZWMtbnVtYmVyPjxmb3JlaWduLWtleXM+PGtleSBhcHA9IkVOIiBkYi1pZD0iY2UxZWYzYjEtNDY1MS01NzQzLWFjOTEtNjk5NWVjNTdhYmJmIiB0aW1lc3RhbXA9IjE3OTI5MjEwODYiPjQ8L2tleT48L2ZvcmVpZ24ta2V5cz48cmVmLXR5cGUgbmFtZT0iSm91cm5hbCBBcnRpY2xlIj4xNzwvcmVmLXR5cGU+PGNvbnRyaWJ1dG9ycz48YXV0aG9ycz48YXV0aG9yPkR1ZWxhbmQsIFN2ZWluPC9hdXRob3I+PC9hdXRob3JzPjwvY29udHJpYnV0b3JzPjx0aXRsZXM+PHRpdGxlPlN1cnZpdmFsIEZvbGxvd2luZyBMaXZlciBUcmFuc3BsYW50YXRpb24gZm9yIFBhdGllbnRzIFdpdGggTm9ucmVzZWN0YWJsZSBMaXZlci1vbmx5IENvbG9yZWN0YWwgTWV0YXN0YXNlczwvdGl0bGU+PHNlY29uZGFyeS10aXRsZT5Bbm5hbHMgb2YgU3VyZ2VyeTwvc2Vjb25kYXJ5LXRpdGxlPjwvdGl0bGVzPjxwZXJpb2RpY2FsPjxmdWxsLXRpdGxlPkFubmFscyBvZiBTdXJnZXJ5PC9mdWxsLXRpdGxlPjwvcGVyaW9kaWNhbD48ZGF0ZXM+PHllYXI+MjAyMDwveWVhcj48L2RhdGVzPjx2b2x1bWU+MjcxPC92b2x1bWU+PG51bWJlcj4yPC9udW1iZXI+PHBhZ2VzPjIxMiYjODIxMTsyMTg8L3BhZ2VzPjxlbGVjdHJvbmljLXJlc291cmNlLW51bT4xMC4xMDk3L1NMQS4wMDAwMDAwMDAwMDAzNDA0PC9lbGVjdHJvbmljLXJlc291cmNlLW51bT48bm90ZXM+UHJvc3BlY3RpdmUgc2luZ2xlLWNlbnRyZSBjb2hvcnQgQ29tcGxldGUgc2V2ZW4tcGFnZSBwdWJsaXNoZWQgbWFpbiBhcnRpY2xlIHJlYWQsIGluY2x1ZGluZyBtZXRob2RzLCBUYWJsZXMgMSYjODIxMTs1LCBmaWd1cmVzIGFuZCByZWZlcmVuY2VzLiBWOCBleHRyYWN0aW9uIGFuZCBsaW1pdGF0aW9uczogc291cmNlL21ldGFzdGFzZXNfZnVsbHRleHRfcmV2aWV3Lmpzb248L25vdGVzPjx1cmxzPjxyZWxhdGVkLXVybHM+PHVybD5odHRwczovL2RvaS5vcmcvMTAuMTA5Ny9TTEEuMDAwMDAwMDAwMDAwMzQwNDwvdXJsPjwvcmVsYXRlZC11cmxzPjxwZGYtdXJscy8+PC91cmxzPjwvcmVjb3JkPjwvQ2l0ZT48L0VuZE5vdGU+</w:fldData>
              </w:fldChar>
            </w:r>
            <w:r>
              <w:instrText xml:space="preserve"> ADDIN EN.CITE.DATA </w:instrText>
            </w:r>
            <w:r>
              <w:fldChar w:fldCharType="end"/>
            </w:r>
            <w:r>
              <w:fldChar w:fldCharType="separate"/>
            </w:r>
            <w:r>
              <w:t xml:space="preserve">[V12-4]</w:t>
            </w:r>
            <w:r>
              <w:fldChar w:fldCharType="end"/>
            </w:r>
          </w:p>
          <w:p>
            <w:pPr>
              <w:pStyle w:val="Normal"/>
              <w:widowControl/>
              <w:spacing w:before="60" w:after="20"/>
            </w:pPr>
            <w:r>
              <w:t xml:space="preserve">Prospective single-centre, single-arm study, 15 transplanted April 2012–November 2016. R0 primary, ECOG 0–1, no current or prior extrahepatic metastasis/local relapse, liver-only unresectable disease. At least 10% chemotherapy shrinkage; before treatment no lesion &gt;10 cm; when &gt;30 lesions, all &lt;5 cm and at least 30% shrinkage. Less than 10% chemotherapy response could be supplemented by at least 20% response to DEB-IRI or Y90. Table 1 requires at least one year from CRC diagnosis to listing, not merely an elapsed year by transplantation.</w:t>
            </w:r>
          </w:p>
          <w:p>
            <w:pPr>
              <w:pStyle w:val="Normal"/>
              <w:widowControl/>
              <w:spacing w:before="60" w:after="20"/>
            </w:pPr>
            <w:hyperlink r:id="rId26">
              <w:r>
                <w:rPr>
                  <w:color w:val="77230C"/>
                  <w:sz w:val="20"/>
                  <w:u w:val="single"/>
                </w:rPr>
                <w:t>Primary source</w:t>
              </w:r>
            </w:hyperlink>
            <w:r>
              <w:t xml:space="preserve"> | </w:t>
            </w:r>
            <w:hyperlink r:id="rId27">
              <w:r>
                <w:rPr>
                  <w:color w:val="77230C"/>
                  <w:sz w:val="20"/>
                  <w:u w:val="single"/>
                </w:rPr>
                <w:t>Full-text PDF</w:t>
              </w:r>
            </w:hyperlink>
          </w:p>
          <w:p>
            <w:pPr>
              <w:pStyle w:val="Normal"/>
              <w:widowControl/>
              <w:spacing w:before="60" w:after="20"/>
            </w:pPr>
            <w:r>
              <w:t xml:space="preserve">Locator: Printed pp 212–218; eligibility Table 1 p 213; outcomes and complications p 214; relapse Table 4 and cohort comparison Table 5 p 216.</w:t>
            </w:r>
          </w:p>
          <w:p>
            <w:pPr>
              <w:pStyle w:val="Normal"/>
              <w:widowControl/>
              <w:spacing w:before="60" w:after="20"/>
            </w:pPr>
            <w:r>
              <w:t xml:space="preserve">Review depth: Complete seven-page published main article read, including methods, Tables 1–5, figures and references.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Fifteen transplanted; no wait-list dropout, median wait 29 days (7–148). OS and DFS start at LT. Median follow-up among living patients 36 months (5–60); five-year estimates have very few at risk. Median diagnosis-to-LT 24.0 months and primary resection-to-LT 22.6 months. One-, three- and five-year OS 100%, 83%, 83%; median DFS 13.7 months; one-, two-, three-year DFS 53%, 44%, 35%. Eight recurrences, six initially/only pulmonary. Five patients underwent six lung resections. Median interval detection-to-lung resection 21.4 months illustrates selection and slow growth, not a required waiting interval. Eleven of 15 were NED at last follow-up: seven never relapsed and four after salvage. Three-year NED 76.4% is not the same endpoint as DFS. Grade IIIa–IVa complications in seven of 15 (47%); no adjuvant chemotherapy. Two deaths from recurrence at 26 months.</w:t>
            </w:r>
          </w:p>
          <w:p>
            <w:pPr>
              <w:pStyle w:val="Normal"/>
              <w:widowControl/>
              <w:spacing w:before="60" w:after="20"/>
            </w:pPr>
            <w:r>
              <w:rPr>
                <w:b/>
              </w:rPr>
              <w:t xml:space="preserve">Do not infer: </w:t>
            </w:r>
            <w:r>
              <w:t xml:space="preserve">Highly selected recipients, no randomised comparator or all-evaluated denominator; favourable Oslo scores 0–1, CEA 1–30 and largest pre-LT lesions 3–47 mm. The comparison with expected chemotherapy survival is historical/selected and should not be used as a causal effect estimate. SECA-II long-term report expands and overlaps this cohort; do not count as an independent replication. Single old-era immunosuppression protocol is not a validated best regimen. Supplement access: No separate supplemental file is cited in the main paper.</w:t>
            </w:r>
          </w:p>
        </w:tc>
      </w:tr>
      <w:tr>
        <w:trPr/>
        <w:tc>
          <w:tcPr>
            <w:tcW w:w="3400" w:type="dxa"/>
            <w:tcMar>
              <w:top w:w="90" w:type="dxa"/>
              <w:left w:w="90" w:type="dxa"/>
              <w:bottom w:w="90" w:type="dxa"/>
              <w:right w:w="90" w:type="dxa"/>
            </w:tcMar>
          </w:tcPr>
          <w:p>
            <w:pPr>
              <w:pStyle w:val="Normal"/>
              <w:widowControl/>
              <w:spacing w:before="60" w:after="20"/>
            </w:pPr>
            <w:r>
              <w:rPr>
                <w:b/>
              </w:rPr>
              <w:t xml:space="preserve">Dueland 2026 · SECA-II ten-year</w:t>
            </w:r>
            <w:r>
              <w:t xml:space="preserve"> </w:t>
            </w:r>
            <w:r>
              <w:t xml:space="preserve"> </w:t>
            </w:r>
            <w:r>
              <w:fldChar w:fldCharType="begin"/>
            </w:r>
            <w:r>
              <w:instrText xml:space="preserve"> ADDIN EN.CITE </w:instrText>
            </w:r>
            <w:r>
              <w:fldChar w:fldCharType="begin">
                <w:fldData>PEVuZE5vdGU+PENpdGU+PEF1dGhvcj5EdWVsYW5kPC9BdXRob3I+PFllYXI+MjAyNjwvWWVhcj48UmVjTnVtPjE1PC9SZWNOdW0+PERpc3BsYXlUZXh0PltWMTItMTVdPC9EaXNwbGF5VGV4dD48cmVjb3JkPjxyZWMtbnVtYmVyPjE1PC9yZWMtbnVtYmVyPjxmb3JlaWduLWtleXM+PGtleSBhcHA9IkVOIiBkYi1pZD0iY2UxZWYzYjEtNDY1MS01NzQzLWFjOTEtNjk5NWVjNTdhYmJmIiB0aW1lc3RhbXA9IjE3OTI5MjEwODYiPjE1PC9rZXk+PC9mb3JlaWduLWtleXM+PHJlZi10eXBlIG5hbWU9IkpvdXJuYWwgQXJ0aWNsZSI+MTc8L3JlZi10eXBlPjxjb250cmlidXRvcnM+PGF1dGhvcnM+PGF1dGhvcj5EdWVsYW5kLCBTdmVpbjwvYXV0aG9yPjxhdXRob3I+U21lZG1hbiwgVG9yIE0uPC9hdXRob3I+PGF1dGhvcj5TeXZlcnN2ZWVuLCBUcnlndmU8L2F1dGhvcj48YXV0aG9yPktoYW4sIEFtbWFyPC9hdXRob3I+PGF1dGhvcj5HcnV0LCBIYXJhbGQ8L2F1dGhvcj48YXV0aG9yPkxpbmUsIFAmIzIyOTtsLURhZzwvYXV0aG9yPjwvYXV0aG9ycz48L2NvbnRyaWJ1dG9ycz48dGl0bGVzPjx0aXRsZT5MaXZlciBUcmFuc3BsYW50YXRpb24gZm9yIE5vbnJlc2VjdGFibGUgQ29sb3JlY3RhbCBMaXZlciBNZXRhc3Rhc2VzOiBUZW4teWVhciBGb2xsb3ctdXAgYW5kIEFzc2Vzc21lbnQgb2YgQ3VyYXRpdmUgUmF0ZSBpbiB0aGUgU0VDQS1JSSBTdHVkeTwvdGl0bGU+PHNlY29uZGFyeS10aXRsZT5Bbm5hbHMgb2YgU3VyZ2VyeTwvc2Vjb25kYXJ5LXRpdGxlPjwvdGl0bGVzPjxwZXJpb2RpY2FsPjxmdWxsLXRpdGxlPkFubmFscyBvZiBTdXJnZXJ5PC9mdWxsLXRpdGxlPjwvcGVyaW9kaWNhbD48ZGF0ZXM+PHllYXI+MjAyNjwveWVhcj48L2RhdGVzPjxlbGVjdHJvbmljLXJlc291cmNlLW51bT4xMC4xMDk3L3NsYS4wMDAwMDAwMDAwMDA3MjAwPC9lbGVjdHJvbmljLXJlc291cmNlLW51bT48bm90ZXM+RXh0ZW5kZWQgcHJvc3BlY3RpdmUtY29ob3J0IGZvbGxvdy11cDsgb3ZlcmxhcHMgb3JpZ2luYWwgU0VDQS1JSSBDb21wbGV0ZSBzZXZlbi1wYWdlIGFkdmFuY2Utb25saW5lIG1haW4gYXJ0aWNsZSByZWFkLCBpbmNsdWRpbmcgYWxsIGZpZ3VyZXMsIHRhYmxlIGFuZCByZWZlcmVuY2VzLiBWOCBleHRyYWN0aW9uIGFuZCBsaW1pdGF0aW9uczogc291cmNlL21ldGFzdGFzZXNfZnVsbHRleHRfcmV2aWV3Lmpzb248L25vdGVzPjx1cmxzPjxyZWxhdGVkLXVybHM+PHVybD5odHRwczovL2RvaS5vcmcvMTAuMTA5Ny9TTEEuMDAwMDAwMDAwMDAwNzIwMDwvdXJsPjwvcmVsYXRlZC11cmxzPjxwZGYtdXJscy8+PC91cmxzPjwvcmVjb3JkPjwvQ2l0ZT48L0VuZE5vdGU+</w:fldData>
              </w:fldChar>
            </w:r>
            <w:r>
              <w:instrText xml:space="preserve"> ADDIN EN.CITE.DATA </w:instrText>
            </w:r>
            <w:r>
              <w:fldChar w:fldCharType="end"/>
            </w:r>
            <w:r>
              <w:fldChar w:fldCharType="separate"/>
            </w:r>
            <w:r>
              <w:t xml:space="preserve">[V12-15]</w:t>
            </w:r>
            <w:r>
              <w:fldChar w:fldCharType="end"/>
            </w:r>
          </w:p>
          <w:p>
            <w:pPr>
              <w:pStyle w:val="Normal"/>
              <w:widowControl/>
              <w:spacing w:before="60" w:after="20"/>
            </w:pPr>
            <w:r>
              <w:t xml:space="preserve">Twenty-five consecutive SECA-II recipients April 2012–November 2023; one metachronous, 24 synchronous. This expands and overlaps the original 15-patient SECA-II cohort, not an independent trial. A patient dying about four weeks after LT is included in OS/RFS but excluded from the 24-patient baseline and other analyses. Of those 24, CEA 1–33, largest lesion 4–48 mm, Oslo 0–2, only two MTV &gt;70 cm³; one ascending primary and one pN2.</w:t>
            </w:r>
          </w:p>
          <w:p>
            <w:pPr>
              <w:pStyle w:val="Normal"/>
              <w:widowControl/>
              <w:spacing w:before="60" w:after="20"/>
            </w:pPr>
            <w:hyperlink r:id="rId28">
              <w:r>
                <w:rPr>
                  <w:color w:val="77230C"/>
                  <w:sz w:val="20"/>
                  <w:u w:val="single"/>
                </w:rPr>
                <w:t>Primary source</w:t>
              </w:r>
            </w:hyperlink>
            <w:r>
              <w:t xml:space="preserve"> | </w:t>
            </w:r>
            <w:hyperlink r:id="rId29">
              <w:r>
                <w:rPr>
                  <w:color w:val="77230C"/>
                  <w:sz w:val="20"/>
                  <w:u w:val="single"/>
                </w:rPr>
                <w:t>Full-text PDF</w:t>
              </w:r>
            </w:hyperlink>
          </w:p>
          <w:p>
            <w:pPr>
              <w:pStyle w:val="Normal"/>
              <w:widowControl/>
              <w:spacing w:before="60" w:after="20"/>
            </w:pPr>
            <w:r>
              <w:t xml:space="preserve">Locator: PDF pp 2–3 methods and Results/Table 1; pp 4–5 relapse, potential-cure discussion and harms; pp 5–6 limitations.</w:t>
            </w:r>
          </w:p>
          <w:p>
            <w:pPr>
              <w:pStyle w:val="Normal"/>
              <w:widowControl/>
              <w:spacing w:before="60" w:after="20"/>
            </w:pPr>
            <w:r>
              <w:t xml:space="preserve">Review depth: Complete seven-page advance-online main article read, including all figures, table and references.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Analysis to 1 January 2025. OS/RFS measured from LT. Median follow-up in living patients 97.2 months by reverse KM. Fourteen followed &gt;5 years, six ≥10 years. Twelve recurrences; postrecurrence survival starts at recurrence. Median OS 128.2 months (95% CI 74.8–181.6); five-/ten-year OS 77.8%/51.5%. Median RFS 24.3 months; 12/25 recurrences (six lung-only first relapse). Median survival after recurrence 62.9 months (25.7–101.1). Twelve without relapse for median 74 months (13–122); four ≥10 years. Four cancer deaths occurred &gt;5 years after LT. Long-term survival or salvaged NED is not proof of cure. Five grade IIIa complications, three grade IIIb and one grade V death from hepatic artery thrombosis. One patient was transplanted with progressive disease on a CT performed locally the preceding day because the result was unknown to the transplant centre. This is a process failure, not a validated expansion criterion.</w:t>
            </w:r>
          </w:p>
          <w:p>
            <w:pPr>
              <w:pStyle w:val="Normal"/>
              <w:widowControl/>
              <w:spacing w:before="60" w:after="20"/>
            </w:pPr>
            <w:r>
              <w:rPr>
                <w:b/>
              </w:rPr>
              <w:t xml:space="preserve">Do not infer: </w:t>
            </w:r>
            <w:r>
              <w:t xml:space="preserve">Single-centre selected nonrandomised recipient cohort, no contemporary control or screened denominator. Long-term tail small. Abstract says up to 15 potentially cured; body says up to 13 and relies partly on short recurrence-free intervals. Neither is a measured cure fraction. Discussion's assertion that RFS is invalid is stronger than the data: RFS remains relevant for recurrence burden, but is insufficient alone to measure benefit when salvage prolongs survival. Methods refer eligibility to reference 16, the SECA-I paper; cross-check original SECA-II Table 1 rather than assuming identical criteria. Table/source typographical inconsistencies do not alter the observed OS estimates. Supplement access: No separate supplementary file cited in this article.</w:t>
            </w:r>
          </w:p>
        </w:tc>
      </w:tr>
      <w:tr>
        <w:trPr/>
        <w:tc>
          <w:tcPr>
            <w:tcW w:w="3400" w:type="dxa"/>
            <w:tcMar>
              <w:top w:w="90" w:type="dxa"/>
              <w:left w:w="90" w:type="dxa"/>
              <w:bottom w:w="90" w:type="dxa"/>
              <w:right w:w="90" w:type="dxa"/>
            </w:tcMar>
          </w:tcPr>
          <w:p>
            <w:pPr>
              <w:pStyle w:val="Normal"/>
              <w:widowControl/>
              <w:spacing w:before="60" w:after="20"/>
            </w:pPr>
            <w:r>
              <w:rPr>
                <w:b/>
              </w:rPr>
              <w:t xml:space="preserve">Gorji 2024</w:t>
            </w:r>
            <w:r>
              <w:t xml:space="preserve"> </w:t>
            </w:r>
            <w:r>
              <w:t xml:space="preserve"> </w:t>
            </w:r>
            <w:r>
              <w:fldChar w:fldCharType="begin"/>
            </w:r>
            <w:r>
              <w:instrText xml:space="preserve"> ADDIN EN.CITE </w:instrText>
            </w:r>
            <w:r>
              <w:fldChar w:fldCharType="begin">
                <w:fldData>PEVuZE5vdGU+PENpdGU+PEF1dGhvcj5Hb3JqaTwvQXV0aG9yPjxZZWFyPjIwMjQ8L1llYXI+PFJlY051bT41PC9SZWNOdW0+PERpc3BsYXlUZXh0PltWMTItNV08L0Rpc3BsYXlUZXh0PjxyZWNvcmQ+PHJlYy1udW1iZXI+NTwvcmVjLW51bWJlcj48Zm9yZWlnbi1rZXlzPjxrZXkgYXBwPSJFTiIgZGItaWQ9ImNlMWVmM2IxLTQ2NTEtNTc0My1hYzkxLTY5OTVlYzU3YWJiZiIgdGltZXN0YW1wPSIxNzkyOTIxMDg2Ij41PC9rZXk+PC9mb3JlaWduLWtleXM+PHJlZi10eXBlIG5hbWU9IkpvdXJuYWwgQXJ0aWNsZSI+MTc8L3JlZi10eXBlPjxjb250cmlidXRvcnM+PGF1dGhvcnM+PGF1dGhvcj5Hb3JqaSwgTGV2YTwvYXV0aG9yPjxhdXRob3I+QnJvd24sIFphY2hhcnkgSi48L2F1dGhvcj48YXV0aG9yPkxpbWtlbWFubiwgQXNobGV5PC9hdXRob3I+PGF1dGhvcj5TY2hlbmssIEF1c3RpbiBELjwvYXV0aG9yPjxhdXRob3I+UGF3bGlrLCBUaW1vdGh5IE0uPC9hdXRob3I+PC9hdXRob3JzPjwvY29udHJpYnV0b3JzPjx0aXRsZXM+PHRpdGxlPkxpdmVyIFRyYW5zcGxhbnQgYXMgYSBUcmVhdG1lbnQgb2YgUHJpbWFyeSBhbmQgU2Vjb25kYXJ5IExpdmVyIE5lb3BsYXNtczwvdGl0bGU+PHNlY29uZGFyeS10aXRsZT5KQU1BIFN1cmdlcnk8L3NlY29uZGFyeS10aXRsZT48L3RpdGxlcz48cGVyaW9kaWNhbD48ZnVsbC10aXRsZT5KQU1BIFN1cmdlcnk8L2Z1bGwtdGl0bGU+PC9wZXJpb2RpY2FsPjxkYXRlcz48eWVhcj4yMDI0PC95ZWFyPjwvZGF0ZXM+PHZvbHVtZT4xNTk8L3ZvbHVtZT48bnVtYmVyPjI8L251bWJlcj48cGFnZXM+MjExPC9wYWdlcz48ZWxlY3Ryb25pYy1yZXNvdXJjZS1udW0+MTAuMTAwMS9qYW1hc3VyZy4yMDIzLjYwODM8L2VsZWN0cm9uaWMtcmVzb3VyY2UtbnVtPjxub3Rlcz5FeGlzdGluZyBzdGFuZGFyZC1wcm90b2NvbCByZWZlcmVuY2UgQ29tcGxldGUgZWlnaHQtcGFnZSBuYXJyYXRpdmUgcmV2aWV3IHJlYWQsIGluY2x1ZGluZyB0YWJsZXMsIGZpZ3VyZXMvY2FwdGlvbnMgYW5kIHJlZmVyZW5jZXMuIFY4IGV4dHJhY3Rpb24gYW5kIGxpbWl0YXRpb25zOiBzb3VyY2UvbWV0YXN0YXNlc19zdGFuZGFyZF9zdXBwbGVtZW50Lmpzb248L25vdGVzPjx1cmxzPjxyZWxhdGVkLXVybHM+PHVybD5odHRwczovL2phbWFuZXR3b3JrLmNvbS9qb3VybmFscy9qYW1hc3VyZ2VyeS9mdWxsYXJ0aWNsZS8xMC4xMDAxL2phbWFzdXJnLjIwMjMuNjA4Mz91dG1fc291cmNlPW9wZW5ldmlkZW5jZSZhbXA7dXRtX21lZGl1bT1yZWZlcnJhbDwvdXJsPjwvcmVsYXRlZC11cmxzPjxwZGYtdXJscy8+PC91cmxzPjwvcmVjb3JkPjwvQ2l0ZT48L0VuZE5vdGU+</w:fldData>
              </w:fldChar>
            </w:r>
            <w:r>
              <w:instrText xml:space="preserve"> ADDIN EN.CITE.DATA </w:instrText>
            </w:r>
            <w:r>
              <w:fldChar w:fldCharType="end"/>
            </w:r>
            <w:r>
              <w:fldChar w:fldCharType="separate"/>
            </w:r>
            <w:r>
              <w:t xml:space="preserve">[V12-5]</w:t>
            </w:r>
            <w:r>
              <w:fldChar w:fldCharType="end"/>
            </w:r>
          </w:p>
          <w:p>
            <w:pPr>
              <w:pStyle w:val="Normal"/>
              <w:widowControl/>
              <w:spacing w:before="60" w:after="20"/>
            </w:pPr>
            <w:r>
              <w:t xml:space="preserve">Narrative review; no new patient cohort or meta-analysis.</w:t>
            </w:r>
          </w:p>
          <w:p>
            <w:pPr>
              <w:pStyle w:val="Normal"/>
              <w:widowControl/>
              <w:spacing w:before="60" w:after="20"/>
            </w:pPr>
            <w:hyperlink r:id="rId30">
              <w:r>
                <w:rPr>
                  <w:color w:val="77230C"/>
                  <w:sz w:val="20"/>
                  <w:u w:val="single"/>
                </w:rPr>
                <w:t>Primary source</w:t>
              </w:r>
            </w:hyperlink>
            <w:r>
              <w:t xml:space="preserve"> | </w:t>
            </w:r>
            <w:hyperlink r:id="rId31">
              <w:r>
                <w:rPr>
                  <w:color w:val="77230C"/>
                  <w:sz w:val="20"/>
                  <w:u w:val="single"/>
                </w:rPr>
                <w:t>Full-text PDF</w:t>
              </w:r>
            </w:hyperlink>
          </w:p>
          <w:p>
            <w:pPr>
              <w:pStyle w:val="Normal"/>
              <w:widowControl/>
              <w:spacing w:before="60" w:after="20"/>
            </w:pPr>
            <w:r>
              <w:t xml:space="preserve">Locator: pp 213–216 Tables 2–3, Figure 2, CRLM/NET and allocation sections; references pp 217–218.</w:t>
            </w:r>
          </w:p>
          <w:p>
            <w:pPr>
              <w:pStyle w:val="Normal"/>
              <w:widowControl/>
              <w:spacing w:before="60" w:after="20"/>
            </w:pPr>
            <w:r>
              <w:t xml:space="preserve">Review depth: Complete eight-page narrative review read, including tables, figures/captions and references.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Useful historical synthesis, not a substitute for current allocation guidance or primary trial denominators.; Table 2 p 213 distinguishes Milan NET age &lt;60 (relative), &lt;50% burden and &gt;6-month stability from other guidance; Figure 2 p 215 imports older risk flags (Ki-67 &gt;10%, observation &lt;12 months), which are not proven universal gates.; CRLM p 214 uses IHPBA BRAF V600E and historical CEA/PET language; these are not interchangeable with current NLRB all-BRAF and CEA rules.</w:t>
            </w:r>
          </w:p>
          <w:p>
            <w:pPr>
              <w:pStyle w:val="Normal"/>
              <w:widowControl/>
              <w:spacing w:before="60" w:after="20"/>
            </w:pPr>
            <w:r>
              <w:rPr>
                <w:b/>
              </w:rPr>
              <w:t xml:space="preserve">Do not infer: </w:t>
            </w:r>
            <w:r>
              <w:t xml:space="preserve">The paper says no iCCA/CRLM MELD exceptions and uses older allocation sources: outdated for 2026.; NET ELTR sentence p 216 reverses pre-/post-2000 five-year OS (46% versus 59%); primary ELTR shows better post-2000 outcome.; SECA-II DFS labels p 215 use 1/3/5 years although the primary paper reports 1/2/3 years for 53/44/35%.; Do not count review citations as independent outcome data or adopt Figure 2 Ki-67/observation cutoffs over current evidence.</w:t>
            </w:r>
          </w:p>
        </w:tc>
      </w:tr>
      <w:tr>
        <w:trPr/>
        <w:tc>
          <w:tcPr>
            <w:tcW w:w="3400" w:type="dxa"/>
            <w:tcMar>
              <w:top w:w="90" w:type="dxa"/>
              <w:left w:w="90" w:type="dxa"/>
              <w:bottom w:w="90" w:type="dxa"/>
              <w:right w:w="90" w:type="dxa"/>
            </w:tcMar>
          </w:tcPr>
          <w:p>
            <w:pPr>
              <w:pStyle w:val="Normal"/>
              <w:widowControl/>
              <w:spacing w:before="60" w:after="20"/>
            </w:pPr>
            <w:r>
              <w:rPr>
                <w:b/>
              </w:rPr>
              <w:t xml:space="preserve">Ueberroth 2025</w:t>
            </w:r>
            <w:r>
              <w:t xml:space="preserve"> </w:t>
            </w:r>
            <w:r>
              <w:t xml:space="preserve"> </w:t>
            </w:r>
            <w:r>
              <w:fldChar w:fldCharType="begin"/>
            </w:r>
            <w:r>
              <w:instrText xml:space="preserve"> ADDIN EN.CITE </w:instrText>
            </w:r>
            <w:r>
              <w:fldChar w:fldCharType="begin">
                <w:fldData>PEVuZE5vdGU+PENpdGU+PEF1dGhvcj5VZWJlcnJvdGg8L0F1dGhvcj48WWVhcj4yMDI1PC9ZZWFyPjxSZWNOdW0+NzwvUmVjTnVtPjxEaXNwbGF5VGV4dD5bVjEyLTddPC9EaXNwbGF5VGV4dD48cmVjb3JkPjxyZWMtbnVtYmVyPjc8L3JlYy1udW1iZXI+PGZvcmVpZ24ta2V5cz48a2V5IGFwcD0iRU4iIGRiLWlkPSJjZTFlZjNiMS00NjUxLTU3NDMtYWM5MS02OTk1ZWM1N2FiYmYiIHRpbWVzdGFtcD0iMTc5MjkyMTA4NiI+Nzwva2V5PjwvZm9yZWlnbi1rZXlzPjxyZWYtdHlwZSBuYW1lPSJKb3VybmFsIEFydGljbGUiPjE3PC9yZWYtdHlwZT48Y29udHJpYnV0b3JzPjxhdXRob3JzPjxhdXRob3I+VWViZXJyb3RoLCBCZW5qYW1pbiBFPC9hdXRob3I+PGF1dGhvcj5LcmlzcywgTWljaGFlbDwvYXV0aG9yPjxhdXRob3I+QnVydG9uLCBKYW1lcyBSPC9hdXRob3I+PGF1dGhvcj5NZXNzZXJzbWl0aCwgV2VsbHMgQTwvYXV0aG9yPjwvYXV0aG9ycz48L2NvbnRyaWJ1dG9ycz48dGl0bGVzPjx0aXRsZT5MaXZlciB0cmFuc3BsYW50YXRpb24gZm9yIGNvbG9yZWN0YWwgY2FuY2VyIHdpdGggbGl2ZXIgbWV0YXN0YXNlczwvdGl0bGU+PHNlY29uZGFyeS10aXRsZT5UaGUgT25jb2xvZ2lzdDwvc2Vjb25kYXJ5LXRpdGxlPjwvdGl0bGVzPjxwZXJpb2RpY2FsPjxmdWxsLXRpdGxlPlRoZSBPbmNvbG9naXN0PC9mdWxsLXRpdGxlPjwvcGVyaW9kaWNhbD48ZGF0ZXM+PHllYXI+MjAyNTwveWVhcj48L2RhdGVzPjx2b2x1bWU+MzA8L3ZvbHVtZT48bnVtYmVyPjE8L251bWJlcj48ZWxlY3Ryb25pYy1yZXNvdXJjZS1udW0+MTAuMTA5My9vbmNvbG8vb3lhZTM2NzwvZWxlY3Ryb25pYy1yZXNvdXJjZS1udW0+PG5vdGVzPkV4aXN0aW5nIHN0YW5kYXJkLXByb3RvY29sIHJlZmVyZW5jZSBDb21wbGV0ZSAxMi1wYWdlIG5hcnJhdGl2ZSByZXZpZXcgcmVhZCwgaW5jbHVkaW5nIFRhYmxlcyAxJiM4MjExOzMgYW5kIHJlZmVyZW5jZXMuIFY4IGV4dHJhY3Rpb24gYW5kIGxpbWl0YXRpb25zOiBzb3VyY2UvbWV0YXN0YXNlc19zdGFuZGFyZF9zdXBwbGVtZW50Lmpzb248L25vdGVzPjx1cmxzPjxyZWxhdGVkLXVybHM+PHVybD5odHRwczovL3B1Ym1lZC5uY2JpLm5sbS5uaWguZ292LzM5ODM0MTI3PC91cmw+PC9yZWxhdGVkLXVybHM+PHBkZi11cmxzLz48L3VybHM+PC9yZWNvcmQ+PC9DaXRlPjwvRW5kTm90ZT4=</w:fldData>
              </w:fldChar>
            </w:r>
            <w:r>
              <w:instrText xml:space="preserve"> ADDIN EN.CITE.DATA </w:instrText>
            </w:r>
            <w:r>
              <w:fldChar w:fldCharType="end"/>
            </w:r>
            <w:r>
              <w:fldChar w:fldCharType="separate"/>
            </w:r>
            <w:r>
              <w:t xml:space="preserve">[V12-7]</w:t>
            </w:r>
            <w:r>
              <w:fldChar w:fldCharType="end"/>
            </w:r>
          </w:p>
          <w:p>
            <w:pPr>
              <w:pStyle w:val="Normal"/>
              <w:widowControl/>
              <w:spacing w:before="60" w:after="20"/>
            </w:pPr>
            <w:r>
              <w:t xml:space="preserve">Narrative CRLM review; eight distinct primary cohorts plus overlapping follow-ups/cross-trial comparisons.</w:t>
            </w:r>
          </w:p>
          <w:p>
            <w:pPr>
              <w:pStyle w:val="Normal"/>
              <w:widowControl/>
              <w:spacing w:before="60" w:after="20"/>
            </w:pPr>
            <w:hyperlink r:id="rId32">
              <w:r>
                <w:rPr>
                  <w:color w:val="77230C"/>
                  <w:sz w:val="20"/>
                  <w:u w:val="single"/>
                </w:rPr>
                <w:t>Primary source</w:t>
              </w:r>
            </w:hyperlink>
            <w:r>
              <w:t xml:space="preserve"> | </w:t>
            </w:r>
            <w:hyperlink r:id="rId33">
              <w:r>
                <w:rPr>
                  <w:color w:val="77230C"/>
                  <w:sz w:val="20"/>
                  <w:u w:val="single"/>
                </w:rPr>
                <w:t>Full-text PDF</w:t>
              </w:r>
            </w:hyperlink>
          </w:p>
          <w:p>
            <w:pPr>
              <w:pStyle w:val="Normal"/>
              <w:widowControl/>
              <w:spacing w:before="60" w:after="20"/>
            </w:pPr>
            <w:r>
              <w:t xml:space="preserve">Locator: TransMet body p 2 and Table 1 pp 3–4; selection Table 2 pp 7–8; allocation Table 3 p 9; limitations pp 8–9.</w:t>
            </w:r>
          </w:p>
          <w:p>
            <w:pPr>
              <w:pStyle w:val="Normal"/>
              <w:widowControl/>
              <w:spacing w:before="60" w:after="20"/>
            </w:pPr>
            <w:r>
              <w:t xml:space="preserve">Review depth: Complete 12-page narrative review read, including Tables 1–3 and references.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Body p 2 correctly states stable disease or partial response as TransMet eligibility and separates ITT versus per-protocol survival.; CEA 80 and lesion size 5.5 cm are prognostic associations; Table 2 acknowledges non-prospective timing cutoffs, no dedicated lymph-node sampling study and lack of established molecular subgroup effects.; Post-LT adjuvant treatment and ctDNA-guided therapy are research questions, not established standards.</w:t>
            </w:r>
          </w:p>
          <w:p>
            <w:pPr>
              <w:pStyle w:val="Normal"/>
              <w:widowControl/>
              <w:spacing w:before="60" w:after="20"/>
            </w:pPr>
            <w:r>
              <w:rPr>
                <w:b/>
              </w:rPr>
              <w:t xml:space="preserve">Do not infer: </w:t>
            </w:r>
            <w:r>
              <w:t xml:space="preserve">Table 1 simultaneously lists stable disease as inclusion and exclusion for TransMet; the primary paper resolves this in favour of stable or partial response.; Table 1 calls SD/PR a shorter-survival factor in long-term SECA, contrary to its body; Table 2 reverses the direction of the &lt;2-year timing risk. Do not copy table rules blindly.; TransMet survival cited to interim safety paper rather than final efficacy source; recipient postoperative percentages are juxtaposed with one-year registry survival, which is not a matched comparison.; Review's allocation implementation wording and LDLT superiority conclusions are not current controlling policy or causal donor-source evidence.; Table 2 TLG &lt;257 differs from other PET studies; no universal threshold. Includes conference-abstract references among broader literature.</w:t>
            </w:r>
          </w:p>
        </w:tc>
      </w:tr>
      <w:tr>
        <w:trPr/>
        <w:tc>
          <w:tcPr>
            <w:tcW w:w="3400" w:type="dxa"/>
            <w:tcMar>
              <w:top w:w="90" w:type="dxa"/>
              <w:left w:w="90" w:type="dxa"/>
              <w:bottom w:w="90" w:type="dxa"/>
              <w:right w:w="90" w:type="dxa"/>
            </w:tcMar>
          </w:tcPr>
          <w:p>
            <w:pPr>
              <w:pStyle w:val="Normal"/>
              <w:widowControl/>
              <w:spacing w:before="60" w:after="20"/>
            </w:pPr>
            <w:r>
              <w:rPr>
                <w:b/>
              </w:rPr>
              <w:t xml:space="preserve">Adam 2024</w:t>
            </w:r>
            <w:r>
              <w:t xml:space="preserve"> </w:t>
            </w:r>
            <w:r>
              <w:t xml:space="preserve"> </w:t>
            </w:r>
            <w:r>
              <w:fldChar w:fldCharType="begin"/>
            </w:r>
            <w:r>
              <w:instrText xml:space="preserve"> ADDIN EN.CITE </w:instrText>
            </w:r>
            <w:r>
              <w:fldChar w:fldCharType="begin">
                <w:fldData>PEVuZE5vdGU+PENpdGU+PEF1dGhvcj5BZGFtPC9BdXRob3I+PFllYXI+MjAyNDwvWWVhcj48UmVjTnVtPjE0PC9SZWNOdW0+PERpc3BsYXlUZXh0PltWMTItMTRdPC9EaXNwbGF5VGV4dD48cmVjb3JkPjxyZWMtbnVtYmVyPjE0PC9yZWMtbnVtYmVyPjxmb3JlaWduLWtleXM+PGtleSBhcHA9IkVOIiBkYi1pZD0iY2UxZWYzYjEtNDY1MS01NzQzLWFjOTEtNjk5NWVjNTdhYmJmIiB0aW1lc3RhbXA9IjE3OTI5MjEwODYiPjE0PC9rZXk+PC9mb3JlaWduLWtleXM+PHJlZi10eXBlIG5hbWU9IkpvdXJuYWwgQXJ0aWNsZSI+MTc8L3JlZi10eXBlPjxjb250cmlidXRvcnM+PGF1dGhvcnM+PGF1dGhvcj5BZGFtLCBSZW4mIzIzMzs8L2F1dGhvcj48YXV0aG9yPkJhZHJ1ZGluLCBEYXZpZDwvYXV0aG9yPjxhdXRob3I+Q2hpY2hlLCBMYXVyZW5jZTwvYXV0aG9yPjxhdXRob3I+QnVjdXIsIFBldHJ1PC9hdXRob3I+PGF1dGhvcj5TY2F0dG9uLCBPbGl2aWVyPC9hdXRob3I+PGF1dGhvcj5HcmFuZ2VyLCBWaWN0b2lyZTwvYXV0aG9yPjxhdXRob3I+RHVjcmV1eCwgTWljaGVsPC9hdXRob3I+PGF1dGhvcj5DaWxsbywgVW1iZXJ0bzwvYXV0aG9yPjxhdXRob3I+Q2F1Y2h5LCBGcmFuJiMyMzE7b2lzPC9hdXRob3I+PGF1dGhvcj5MZXN1cnRlbCwgTWlja2FlbDwvYXV0aG9yPjxhdXRob3I+TWFicnV0LCBKZWFuLVl2ZXM8L2F1dGhvcj48YXV0aG9yPlZlcnNseXBlLCBDaHJpczwvYXV0aG9yPjxhdXRob3I+Q291YmVhdSwgTGF1cmVudDwvYXV0aG9yPjxhdXRob3I+SGFyZHdpZ3NlbiwgSmVhbjwvYXV0aG9yPjxhdXRob3I+Qm9sZXNsYXdza2ksIEVtbWFudWVsPC9hdXRob3I+PGF1dGhvcj5NdXNjYXJpLCBGYWJyaWNlPC9hdXRob3I+PGF1dGhvcj5KZWRkb3UsIEhlaXRoZW08L2F1dGhvcj48YXV0aG9yPlBlemV0LCBEZW5pczwvYXV0aG9yPjxhdXRob3I+SGV5ZCwgQnJ1bm88L2F1dGhvcj48YXV0aG9yPkx1Y2lkaSwgVmFsZXJpbzwvYXV0aG9yPjxhdXRob3I+R2Vib2VzLCBLYXJlbjwvYXV0aG9yPjxhdXRob3I+TGVydXQsIEphbjwvYXV0aG9yPjxhdXRob3I+TWFqbm8sIFBpZXRybzwvYXV0aG9yPjxhdXRob3I+R3JpbWFsZGksIExhbWlhZTwvYXV0aG9yPjxhdXRob3I+Qm91a2hlZG91bmksIE5hZGppYTwvYXV0aG9yPjxhdXRob3I+UGllZHZhY2hlLCBDJiMyMzM7bGluZTwvYXV0aG9yPjxhdXRob3I+R2VsbGksIE1heGltaWxpYW5vPC9hdXRob3I+PGF1dGhvcj5MZXZpLCBGcmFuY2lzPC9hdXRob3I+PGF1dGhvcj5MZXdpbiwgTWEmIzIzOTt0JiMyMzM7PC9hdXRob3I+PC9hdXRob3JzPjwvY29udHJpYnV0b3JzPjx0aXRsZXM+PHRpdGxlPlNhZmV0eSBhbmQgZmVhc2liaWxpdHkgb2YgY2hlbW90aGVyYXB5IGZvbGxvd2VkIGJ5IGxpdmVyIHRyYW5zcGxhbnRhdGlvbiBmb3IgcGF0aWVudHMgd2l0aCBkZWZpbml0ZWx5IHVucmVzZWN0YWJsZSBjb2xvcmVjdGFsIGxpdmVyIG1ldGFzdGFzZXM6IGluc2lnaHRzIGZyb20gdGhlIFRyYW5zTWV0IHJhbmRvbWlzZWQgY2xpbmljYWwgdHJpYWw8L3RpdGxlPjxzZWNvbmRhcnktdGl0bGU+ZUNsaW5pY2FsTWVkaWNpbmU8L3NlY29uZGFyeS10aXRsZT48L3RpdGxlcz48cGVyaW9kaWNhbD48ZnVsbC10aXRsZT5lQ2xpbmljYWxNZWRpY2luZTwvZnVsbC10aXRsZT48L3BlcmlvZGljYWw+PGRhdGVzPjx5ZWFyPjIwMjQ8L3llYXI+PC9kYXRlcz48dm9sdW1lPjcyPC92b2x1bWU+PHBhZ2VzPjEwMjYwODwvcGFnZXM+PGVsZWN0cm9uaWMtcmVzb3VyY2UtbnVtPjEwLjEwMTYvai5lY2xpbm0uMjAyNC4xMDI2MDg8L2VsZWN0cm9uaWMtcmVzb3VyY2UtbnVtPjxub3Rlcz5FeGlzdGluZyBzdGFuZGFyZC1wcm90b2NvbCByZWZlcmVuY2UgQ29tcGxldGUgdGVuLXBhZ2Ugb3Blbi1hY2Nlc3MgcHJpbWFyeSBhcnRpY2xlIHJlYWQ7IG1hdGNoZWQgaW5kZXggUERGIHJlamVjdGVkIGFuZCBhY3R1YWwgY29tcGxldGUgYXJ0aWNsZSBsb2NhdGVkLiBWOCBleHRyYWN0aW9uIGFuZCBsaW1pdGF0aW9uczogc291cmNlL21ldGFzdGFzZXNfc3RhbmRhcmRfc3VwcGxlbWVudC5qc29uPC9ub3Rlcz48dXJscz48cmVsYXRlZC11cmxzPjx1cmw+aHR0cHM6Ly9wdWJtZWQubmNiaS5ubG0ubmloLmdvdi8zODcyMTAxNTwvdXJsPjwvcmVsYXRlZC11cmxzPjxwZGYtdXJscy8+PC91cmxzPjwvcmVjb3JkPjwvQ2l0ZT48L0VuZE5vdGU+</w:fldData>
              </w:fldChar>
            </w:r>
            <w:r>
              <w:instrText xml:space="preserve"> ADDIN EN.CITE.DATA </w:instrText>
            </w:r>
            <w:r>
              <w:fldChar w:fldCharType="end"/>
            </w:r>
            <w:r>
              <w:fldChar w:fldCharType="separate"/>
            </w:r>
            <w:r>
              <w:t xml:space="preserve">[V12-14]</w:t>
            </w:r>
            <w:r>
              <w:fldChar w:fldCharType="end"/>
            </w:r>
          </w:p>
          <w:p>
            <w:pPr>
              <w:pStyle w:val="Normal"/>
              <w:widowControl/>
              <w:spacing w:before="60" w:after="20"/>
            </w:pPr>
            <w:r>
              <w:t xml:space="preserve">Unplanned interim safety/feasibility analysis of TransMet RCT; 157 evaluated, 94 randomized, 47 per arm, 38 protocol-LT recipients.</w:t>
            </w:r>
          </w:p>
          <w:p>
            <w:pPr>
              <w:pStyle w:val="Normal"/>
              <w:widowControl/>
              <w:spacing w:before="60" w:after="20"/>
            </w:pPr>
            <w:hyperlink r:id="rId34">
              <w:r>
                <w:rPr>
                  <w:color w:val="77230C"/>
                  <w:sz w:val="20"/>
                  <w:u w:val="single"/>
                </w:rPr>
                <w:t>Primary source</w:t>
              </w:r>
            </w:hyperlink>
            <w:r>
              <w:t xml:space="preserve"> | </w:t>
            </w:r>
            <w:hyperlink r:id="rId35">
              <w:r>
                <w:rPr>
                  <w:color w:val="77230C"/>
                  <w:sz w:val="20"/>
                  <w:u w:val="single"/>
                </w:rPr>
                <w:t>Full-text PDF</w:t>
              </w:r>
            </w:hyperlink>
          </w:p>
          <w:p>
            <w:pPr>
              <w:pStyle w:val="Normal"/>
              <w:widowControl/>
              <w:spacing w:before="60" w:after="20"/>
            </w:pPr>
            <w:r>
              <w:t xml:space="preserve">Locator: Methods pp 3–4; detailed eligibility/dropout pp 4–5; Table 1 pp 6–7; complications Table 2 p 8; discussion p 9.</w:t>
            </w:r>
          </w:p>
          <w:p>
            <w:pPr>
              <w:pStyle w:val="Normal"/>
              <w:widowControl/>
              <w:spacing w:before="60" w:after="20"/>
            </w:pPr>
            <w:r>
              <w:t xml:space="preserve">Review depth: Complete ten-page open-access primary article read; matched index PDF rejected and actual complete article located.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Methods p 3: stable or partial RECIST response on last regimen ≥3 months within ≤3 chemotherapy lines; not objective response only. BRAF mutation excluded; CEA &lt;80 ng/mL OR ≥50% reduction was the trial rule, not the same as current NLRB.; Independent committee rejected 63/157. Detailed reasons: intrahepatic progression 18, extrahepatic 16, both two, equivocal unresectability 13, &gt;3 lines/resistance five, miscellaneous nine.; 38/47 reached LT after median 51 days; nine did not, including three occult metastatic nodes at laparotomy and one new prostate cancer. Eighty-one percent feasibility applies to selected/randomized candidates, not all screened.; Three of 38 retransplanted; one of 38 postoperative deaths. Grade ≥IIIb complications in 14/41 explored patients (24 events), not 14/38.; 26/38 received postoperative chemotherapy at median 71 days; this descriptive exposure does not establish adjuvant efficacy.; Table 1 p 6: KRAS 11/47 in LT arm and NRAS six (one missing); do not call the combined 17 KRAS-mutant.</w:t>
            </w:r>
          </w:p>
          <w:p>
            <w:pPr>
              <w:pStyle w:val="Normal"/>
              <w:widowControl/>
              <w:spacing w:before="60" w:after="20"/>
            </w:pPr>
            <w:r>
              <w:rPr>
                <w:b/>
              </w:rPr>
              <w:t xml:space="preserve">Do not infer: </w:t>
            </w:r>
            <w:r>
              <w:t xml:space="preserve">Unplanned interim analysis, incomplete long-term endpoint reporting; overlap with final TransMet RCT, not independent replication.; Abstract/discussion groups 50 exclusions as progression but detailed Results include other reasons; use detailed counts.; No universal two-month deadline or priority entitlement follows from allocation priority used in participating countries.; Main paper's frozen-section workup does not establish mandatory systematic portal lymphadenectomy.</w:t>
            </w:r>
          </w:p>
        </w:tc>
      </w:tr>
      <w:tr>
        <w:trPr/>
        <w:tc>
          <w:tcPr>
            <w:tcW w:w="3400" w:type="dxa"/>
            <w:tcMar>
              <w:top w:w="90" w:type="dxa"/>
              <w:left w:w="90" w:type="dxa"/>
              <w:bottom w:w="90" w:type="dxa"/>
              <w:right w:w="90" w:type="dxa"/>
            </w:tcMar>
          </w:tcPr>
          <w:p>
            <w:pPr>
              <w:pStyle w:val="Normal"/>
              <w:widowControl/>
              <w:spacing w:before="60" w:after="20"/>
            </w:pPr>
            <w:r>
              <w:rPr>
                <w:b/>
              </w:rPr>
              <w:t xml:space="preserve">Te 2025</w:t>
            </w:r>
            <w:r>
              <w:t xml:space="preserve"> </w:t>
            </w:r>
            <w:r>
              <w:t xml:space="preserve"> </w:t>
            </w:r>
            <w:r>
              <w:fldChar w:fldCharType="begin"/>
            </w:r>
            <w:r>
              <w:instrText xml:space="preserve"> ADDIN EN.CITE </w:instrText>
            </w:r>
            <w:r>
              <w:fldChar w:fldCharType="begin">
                <w:fldData>PEVuZE5vdGU+PENpdGU+PEF1dGhvcj5UZTwvQXV0aG9yPjxZZWFyPjIwMjU8L1llYXI+PFJlY051bT4xNjwvUmVjTnVtPjxEaXNwbGF5VGV4dD5bVjEyLTE2XTwvRGlzcGxheVRleHQ+PHJlY29yZD48cmVjLW51bWJlcj4xNjwvcmVjLW51bWJlcj48Zm9yZWlnbi1rZXlzPjxrZXkgYXBwPSJFTiIgZGItaWQ9ImNlMWVmM2IxLTQ2NTEtNTc0My1hYzkxLTY5OTVlYzU3YWJiZiIgdGltZXN0YW1wPSIxNzkyOTIxMDg2Ij4xNjwva2V5PjwvZm9yZWlnbi1rZXlzPjxyZWYtdHlwZSBuYW1lPSJKb3VybmFsIEFydGljbGUiPjE3PC9yZWYtdHlwZT48Y29udHJpYnV0b3JzPjxhdXRob3JzPjxhdXRob3I+VGUsIEhlbGVuIFMuPC9hdXRob3I+PGF1dGhvcj5BZ29waWFuLCBWYXRjaGUgRy48L2F1dGhvcj48YXV0aG9yPkRlbWV0cmlzLCBBbnRob255IEouPC9hdXRob3I+PGF1dGhvcj5Ld28sIFBhdWwgWS48L2F1dGhvcj48YXV0aG9yPk1jR3VpcmUsIEJyZW5kYW4gTS48L2F1dGhvcj48YXV0aG9yPlJ1c3NvLCBNYXJrIFcuPC9hdXRob3I+PGF1dGhvcj5TZWx6bmVyLCBOYXppYTwvYXV0aG9yPjxhdXRob3I+V2FzaGJ1cm4sIFcuIEtlbm5ldGg8L2F1dGhvcj48YXV0aG9yPldpbmRlciwgR2VyYWxkIFNjb3R0PC9hdXRob3I+PGF1dGhvcj5TY2hpYW5vLCBUaG9tYXMgRC48L2F1dGhvcj48L2F1dGhvcnM+PC9jb250cmlidXRvcnM+PHRpdGxlcz48dGl0bGU+QUFTTEQgQVNUIFByYWN0aWNlIEd1aWRlbGluZSBvbiBhZHVsdCBsaXZlciB0cmFuc3BsYW50YXRpb246IERpYWdub3NpcyBhbmQgbWFuYWdlbWVudCBvZiBncmFmdC1yZWxhdGVkIGNvbXBsaWNhdGlvbnM8L3RpdGxlPjxzZWNvbmRhcnktdGl0bGU+TGl2ZXIgVHJhbnNwbGFudGF0aW9uPC9zZWNvbmRhcnktdGl0bGU+PC90aXRsZXM+PHBlcmlvZGljYWw+PGZ1bGwtdGl0bGU+TGl2ZXIgVHJhbnNwbGFudGF0aW9uPC9mdWxsLXRpdGxlPjwvcGVyaW9kaWNhbD48ZGF0ZXM+PHllYXI+MjAyNTwveWVhcj48L2RhdGVzPjx2b2x1bWU+MzI8L3ZvbHVtZT48bnVtYmVyPjM8L251bWJlcj48cGFnZXM+NDQ0LTQ5MDwvcGFnZXM+PGVsZWN0cm9uaWMtcmVzb3VyY2UtbnVtPjEwLjEwOTcvbHZ0LjAwMDAwMDAwMDAwMDA3MTU8L2VsZWN0cm9uaWMtcmVzb3VyY2UtbnVtPjxub3Rlcz5FeGlzdGluZyBzdGFuZGFyZC1wcm90b2NvbCByZWZlcmVuY2UgVGFyZ2V0ZWQgZnVsbC1zZWN0aW9uIHJldmlldyBvZiA0Ny1wYWdlIGd1aWRlbGluZTogUERGIHBwIDEmIzgyMTE7MiAoc2NvcGUvbWV0aG9kcykgYW5kIHBwIDEyJiM4MjExOzIxIChwcmludGVkIDQ1NSYjODIxMTs0NjQ7IGltbXVub3N1cHByZXNzaW9uLCBtaW5pbWl6YXRpb24gYW5kIHJlamVjdGlvbiBzdGF0ZW1lbnRzL3RhYmxlcykuIE90aGVyIGdyYWZ0L3JlY3VycmVudC1kaXNlYXNlIGNoYXB0ZXJzIHdlcmUgbm90IGZ1bGx5IHJldmlld2VkLiBWOCBleHRyYWN0aW9uIGFuZCBsaW1pdGF0aW9uczogc291cmNlL21ldGFzdGFzZXNfc3RhbmRhcmRfc3VwcGxlbWVudC5qc29uPC9ub3Rlcz48dXJscz48cmVsYXRlZC11cmxzPjx1cmw+aHR0cHM6Ly9kb2kub3JnLzEwLjEwOTcvbHZ0LjAwMDAwMDAwMDAwMDA3MTU8L3VybD48L3JlbGF0ZWQtdXJscz48cGRmLXVybHMvPjwvdXJscz48L3JlY29yZD48L0NpdGU+PC9FbmROb3RlPg==</w:fldData>
              </w:fldChar>
            </w:r>
            <w:r>
              <w:instrText xml:space="preserve"> ADDIN EN.CITE.DATA </w:instrText>
            </w:r>
            <w:r>
              <w:fldChar w:fldCharType="end"/>
            </w:r>
            <w:r>
              <w:fldChar w:fldCharType="separate"/>
            </w:r>
            <w:r>
              <w:t xml:space="preserve">[V12-16]</w:t>
            </w:r>
            <w:r>
              <w:fldChar w:fldCharType="end"/>
            </w:r>
          </w:p>
          <w:p>
            <w:pPr>
              <w:pStyle w:val="Normal"/>
              <w:widowControl/>
              <w:spacing w:before="60" w:after="20"/>
            </w:pPr>
            <w:r>
              <w:t xml:space="preserve">AASLD/AST clinical practice guideline, published online 2025 / volume 2026; systematic search updated through 12 September 2024.</w:t>
            </w:r>
          </w:p>
          <w:p>
            <w:pPr>
              <w:pStyle w:val="Normal"/>
              <w:widowControl/>
              <w:spacing w:before="60" w:after="20"/>
            </w:pPr>
            <w:hyperlink r:id="rId36">
              <w:r>
                <w:rPr>
                  <w:color w:val="77230C"/>
                  <w:sz w:val="20"/>
                  <w:u w:val="single"/>
                </w:rPr>
                <w:t>Primary source</w:t>
              </w:r>
            </w:hyperlink>
            <w:r>
              <w:t xml:space="preserve"> | </w:t>
            </w:r>
            <w:hyperlink r:id="rId37">
              <w:r>
                <w:rPr>
                  <w:color w:val="77230C"/>
                  <w:sz w:val="20"/>
                  <w:u w:val="single"/>
                </w:rPr>
                <w:t>Full-text PDF</w:t>
              </w:r>
            </w:hyperlink>
          </w:p>
          <w:p>
            <w:pPr>
              <w:pStyle w:val="Normal"/>
              <w:widowControl/>
              <w:spacing w:before="60" w:after="20"/>
            </w:pPr>
            <w:r>
              <w:t xml:space="preserve">Locator: PDF pp 13–18, statements 25–33 and Tables 3–5; pp 19–21 statements 34–40/Table 6; printed 456–464.</w:t>
            </w:r>
          </w:p>
          <w:p>
            <w:pPr>
              <w:pStyle w:val="Normal"/>
              <w:widowControl/>
              <w:spacing w:before="60" w:after="20"/>
            </w:pPr>
            <w:r>
              <w:t xml:space="preserve">Review depth: Targeted full-section review of 47-page guideline: PDF pp 1–2 (scope/methods) and pp 12–21 (printed 455–464; immunosuppression, minimization and rejection statements/tables). Other graft/recurrent-disease chapters were not fully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Statement 25: basiliximab may permit delayed CNI initiation for renal recovery (Weak, Level 2); statement 26 advises against ATG induction (Strong, Level 2). These are general LT recommendations, not NET/CRLM-specific anticancer induction.; Statements 28–31 support individualized tacrolimus-based therapy, selective combination/CNI minimization and caution against routine steroid-free therapy. Table 4 explicitly notes dose/trough targets vary with transplant-professional judgment.; Statement 32 only suggests mTOR use for HCC WITHIN Milan to improve RFS up to three years (Weak, Level 3). It does not establish NET/CRLM recurrence reduction or a general preferred oncologic regimen.; Statement 33 supports early mTOR consideration for CKD, a renal indication. Statement 36 does not recommend routine complete immunosuppression withdrawal.; Search excluded conference abstracts and unpublished reports from the systematic evidence review; this provides a better current general-immunosuppression source than an unretrieved older review.</w:t>
            </w:r>
          </w:p>
          <w:p>
            <w:pPr>
              <w:pStyle w:val="Normal"/>
              <w:widowControl/>
              <w:spacing w:before="60" w:after="20"/>
            </w:pPr>
            <w:r>
              <w:rPr>
                <w:b/>
              </w:rPr>
              <w:t xml:space="preserve">Do not infer: </w:t>
            </w:r>
            <w:r>
              <w:t xml:space="preserve">Most immunosuppression and cancer evidence is indication-specific; do not extrapolate HCC benefit causally to NET/CRLM.; Not a 2026 literature search: substantive search update ended September 2024.; Dosing examples are not local standing orders. Supplementary methods/flowchart referenced at links.lww.com/LVT/B9 were not reviewed.</w:t>
            </w:r>
          </w:p>
        </w:tc>
      </w:tr>
      <w:tr>
        <w:trPr/>
        <w:tc>
          <w:tcPr>
            <w:tcW w:w="3400" w:type="dxa"/>
            <w:tcMar>
              <w:top w:w="90" w:type="dxa"/>
              <w:left w:w="90" w:type="dxa"/>
              <w:bottom w:w="90" w:type="dxa"/>
              <w:right w:w="90" w:type="dxa"/>
            </w:tcMar>
          </w:tcPr>
          <w:p>
            <w:pPr>
              <w:pStyle w:val="Normal"/>
              <w:widowControl/>
              <w:spacing w:before="60" w:after="20"/>
            </w:pPr>
            <w:r>
              <w:rPr>
                <w:b/>
              </w:rPr>
              <w:t xml:space="preserve">Wehrle 2024 · intensive LRT</w:t>
            </w:r>
            <w:r>
              <w:t xml:space="preserve"> </w:t>
            </w:r>
            <w:r>
              <w:t xml:space="preserve"> </w:t>
            </w:r>
            <w:r>
              <w:fldChar w:fldCharType="begin"/>
            </w:r>
            <w:r>
              <w:instrText xml:space="preserve"> ADDIN EN.CITE </w:instrText>
            </w:r>
            <w:r>
              <w:fldChar w:fldCharType="begin">
                <w:fldData>PEVuZE5vdGU+PENpdGU+PEF1dGhvcj5XZWhybGU8L0F1dGhvcj48WWVhcj4yMDI0PC9ZZWFyPjxSZWNOdW0+MTA8L1JlY051bT48RGlzcGxheVRleHQ+W1YxMi0xMF08L0Rpc3BsYXlUZXh0PjxyZWNvcmQ+PHJlYy1udW1iZXI+MTA8L3JlYy1udW1iZXI+PGZvcmVpZ24ta2V5cz48a2V5IGFwcD0iRU4iIGRiLWlkPSJjZTFlZjNiMS00NjUxLTU3NDMtYWM5MS02OTk1ZWM1N2FiYmYiIHRpbWVzdGFtcD0iMTc5MjkyMTA4NiI+MTA8L2tleT48L2ZvcmVpZ24ta2V5cz48cmVmLXR5cGUgbmFtZT0iSm91cm5hbCBBcnRpY2xlIj4xNzwvcmVmLXR5cGU+PGNvbnRyaWJ1dG9ycz48YXV0aG9ycz48YXV0aG9yPldlaHJsZSwgQ2hhc2UgSjwvYXV0aG9yPjxhdXRob3I+RnVqaWtpLCBNYXNhdG88L2F1dGhvcj48YXV0aG9yPlNjaGxlZ2VsLCBBbmRyZWE8L2F1dGhvcj48YXV0aG9yPlV5c2FsLCBNZWxpczwvYXV0aG9yPjxhdXRob3I+U29ib3RrYSwgQW5hc3Rhc2lhPC9hdXRob3I+PGF1dGhvcj5XaGl0c2V0dCBMaW5nYW5uYSwgTWF1cmVlbjwvYXV0aG9yPjxhdXRob3I+TW9kYXJlc2kgRXNmZWgsIEphbWFrPC9hdXRob3I+PGF1dGhvcj5LYW1hdGgsIFN1bmVlbDwvYXV0aG9yPjxhdXRob3I+S2hhbGlsLCBNYXpoYXI8L2F1dGhvcj48YXV0aG9yPlBpdGEsIEFsZWphbmRybzwvYXV0aG9yPjxhdXRob3I+S2ltLCBKYWUtS2V1bjwvYXV0aG9yPjxhdXRob3I+S3dvbiwgRGF2aWQgQyBIPC9hdXRob3I+PGF1dGhvcj5NaWxsZXIsIENoYXJsZXM8L2F1dGhvcj48YXV0aG9yPkhhc2hpbW90bywgS29qaTwvYXV0aG9yPjxhdXRob3I+QXVjZWpvLCBGZWRlcmljbzwvYXV0aG9yPjwvYXV0aG9ycz48L2NvbnRyaWJ1dG9ycz48dGl0bGVzPjx0aXRsZT5JbnRlbnNpdmUgbG9jb3JlZ2lvbmFsIHRoZXJhcHkgYmVmb3JlIGxpdmVyIHRyYW5zcGxhbnRhdGlvbiBmb3IgY29sb3JlY3RhbCBjYW5jZXIgbGl2ZXIgbWV0YXN0YXNpczogQSBub3ZlbCBwcmV0cmFuc3BsYW50IHByb3RvY29sPC90aXRsZT48c2Vjb25kYXJ5LXRpdGxlPkxpdmVyIHRyYW5zcGxhbnRhdGlvbiA6IG9mZmljaWFsIHB1YmxpY2F0aW9uIG9mIHRoZSBBbWVyaWNhbiBBc3NvY2lhdGlvbiBmb3IgdGhlIFN0dWR5IG9mIExpdmVyIERpc2Vhc2VzIGFuZCB0aGUgSW50ZXJuYXRpb25hbCBMaXZlciBUcmFuc3BsYW50YXRpb24gU29jaWV0eTwvc2Vjb25kYXJ5LXRpdGxlPjwvdGl0bGVzPjxwZXJpb2RpY2FsPjxmdWxsLXRpdGxlPkxpdmVyIHRyYW5zcGxhbnRhdGlvbiA6IG9mZmljaWFsIHB1YmxpY2F0aW9uIG9mIHRoZSBBbWVyaWNhbiBBc3NvY2lhdGlvbiBmb3IgdGhlIFN0dWR5IG9mIExpdmVyIERpc2Vhc2VzIGFuZCB0aGUgSW50ZXJuYXRpb25hbCBMaXZlciBUcmFuc3BsYW50YXRpb24gU29jaWV0eTwvZnVsbC10aXRsZT48L3BlcmlvZGljYWw+PGRhdGVzPjx5ZWFyPjIwMjQ8L3llYXI+PC9kYXRlcz48dm9sdW1lPjMwPC92b2x1bWU+PG51bWJlcj4xMjwvbnVtYmVyPjxwYWdlcz4xMjM4LTEyNDk8L3BhZ2VzPjxlbGVjdHJvbmljLXJlc291cmNlLW51bT4xMC4xMDk3L0xWVC4wMDAwMDAwMDAwMDAwNDE3PC9lbGVjdHJvbmljLXJlc291cmNlLW51bT48bm90ZXM+U21hbGwgb2JzZXJ2YXRpb25hbCBwcmltYXJ5IHNlcmllcyBDb21wbGV0ZSAxMy1wYWdlIFBERiByZWFkOiB2aXN1YWwgYWJzdHJhY3QgYW5kIDEyLXBhZ2UgbWFpbiBwYXBlciwgaW5jbHVkaW5nIHBhdGllbnQtbGV2ZWwgdGFibGVzLCBkaXNjdXNzaW9uIGFuZCByZWZlcmVuY2VzLiBWOCBleHRyYWN0aW9uIGFuZCBsaW1pdGF0aW9uczogc291cmNlL21ldGFzdGFzZXNfZnVsbHRleHRfcmV2aWV3Lmpzb248L25vdGVzPjx1cmxzPjxyZWxhdGVkLXVybHM+PHVybD5odHRwczovL2RvaS5vcmcvMTAuMTA5Ny9MVlQuMDAwMDAwMDAwMDAwMDQxNzwvdXJsPjwvcmVsYXRlZC11cmxzPjxwZGYtdXJscy8+PC91cmxzPjwvcmVjb3JkPjwvQ2l0ZT48L0VuZE5vdGU+</w:fldData>
              </w:fldChar>
            </w:r>
            <w:r>
              <w:instrText xml:space="preserve"> ADDIN EN.CITE.DATA </w:instrText>
            </w:r>
            <w:r>
              <w:fldChar w:fldCharType="end"/>
            </w:r>
            <w:r>
              <w:fldChar w:fldCharType="separate"/>
            </w:r>
            <w:r>
              <w:t xml:space="preserve">[V12-10]</w:t>
            </w:r>
            <w:r>
              <w:fldChar w:fldCharType="end"/>
            </w:r>
          </w:p>
          <w:p>
            <w:pPr>
              <w:pStyle w:val="Normal"/>
              <w:widowControl/>
              <w:spacing w:before="60" w:after="20"/>
            </w:pPr>
            <w:r>
              <w:t xml:space="preserve">Retrospective single-centre experience: 27 evaluated; 11 initially ineligible (two extrahepatic disease, four advanced burden, five comorbidity/performance); 16 entered intensive systemic/locoregional treatment; nine received LT, seven from living donors. Included one R1 primary, one MSI-high tumour and one pretreatment 12.3-cm lesion, which cannot validate those guidance departures.</w:t>
            </w:r>
          </w:p>
          <w:p>
            <w:pPr>
              <w:pStyle w:val="Normal"/>
              <w:widowControl/>
              <w:spacing w:before="60" w:after="20"/>
            </w:pPr>
            <w:hyperlink r:id="rId38">
              <w:r>
                <w:rPr>
                  <w:color w:val="77230C"/>
                  <w:sz w:val="20"/>
                  <w:u w:val="single"/>
                </w:rPr>
                <w:t>Primary source</w:t>
              </w:r>
            </w:hyperlink>
            <w:r>
              <w:t xml:space="preserve"> | </w:t>
            </w:r>
            <w:hyperlink r:id="rId39">
              <w:r>
                <w:rPr>
                  <w:color w:val="77230C"/>
                  <w:sz w:val="20"/>
                  <w:u w:val="single"/>
                </w:rPr>
                <w:t>Full-text PDF</w:t>
              </w:r>
            </w:hyperlink>
          </w:p>
          <w:p>
            <w:pPr>
              <w:pStyle w:val="Normal"/>
              <w:widowControl/>
              <w:spacing w:before="60" w:after="20"/>
            </w:pPr>
            <w:r>
              <w:t xml:space="preserve">Locator: PDF pp 4–5 / printed pp 1240–1241: cohort and conflicting chemotherapy cycles; PDF p 7 / printed p 1243: dropout/death and Table 2; PDF pp 8–11 / printed pp 1244–1247: Table 3, explant viability and NED definitions.</w:t>
            </w:r>
          </w:p>
          <w:p>
            <w:pPr>
              <w:pStyle w:val="Normal"/>
              <w:widowControl/>
              <w:spacing w:before="60" w:after="20"/>
            </w:pPr>
            <w:r>
              <w:t xml:space="preserve">Review depth: Complete 13-page PDF read: visual abstract and 12-page main paper, including patient-level tables, discussion and references.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Six of 16 entrants progressed and one died from treatment-associated liver failure before LT. Recipient follow-up median 700 days (285–2024), with survival measured from LT. Published one-/two-year percentages use mature denominators of eight/five, not all nine recipients. Among nine recipients, three recurred. One-/two-year RFS 6/8 (75%) and 3/5 (60%); OS 7/8 (87.5%) and 4/5 (80%). Five recipients were labelled no detectable disease using PET/CEA, not proven CT/MRI or microscopic eradication. Five explants were viable and four nonviable; all three recurrences occurred with viable explants. Eight of nine explants showed treatment injury: seven cirrhosis and one bridging fibrosis. Four recipients were transplanted for injury. One of 16 entrants died from severe liver failure within two weeks of bilobar Y90 while receiving systemic chemo-immunotherapy. Four recipients required biliary drainage or reoperation; one also had acute rejection. Highest reported postoperative complication grade was IIIb.</w:t>
            </w:r>
          </w:p>
          <w:p>
            <w:pPr>
              <w:pStyle w:val="Normal"/>
              <w:widowControl/>
              <w:spacing w:before="60" w:after="20"/>
            </w:pPr>
            <w:r>
              <w:rPr>
                <w:b/>
              </w:rPr>
              <w:t xml:space="preserve">Do not infer: </w:t>
            </w:r>
            <w:r>
              <w:t xml:space="preserve">Nine selected recipients, no credible matched non-LT comparator; comparison of 16 entrants with 11 ineligible patients from evaluation is strongly confounded. Patient-level Table 2 and abstract give median 16 chemotherapy cycles (10–40), while the body gives 47 (20–77). Do not extract an eligibility cycle minimum. Body NED definition uses MTV zero and CEA &lt;5, while Figure 4 uses CEA &gt;10 for activity; individual borderline values further prevent a clean validated cutoff. Overlapping patients with other US PET, ctDNA and explant cohorts are not independent replications. Treatment-induced hepatic failure is a harm, not a therapeutic objective or evidence that a graft will rescue toxicity. Supplement access: No separate supplement supplied; patient-level Tables 2–3 are in the main PDF.</w:t>
            </w:r>
          </w:p>
        </w:tc>
      </w:tr>
    </w:tbl>
    <w:p>
      <w:pPr>
        <w:pStyle w:val="Normal"/>
        <w:widowControl/>
      </w:pPr>
      <w:hyperlink r:id="rId40">
        <w:r>
          <w:rPr>
            <w:color w:val="77230C"/>
            <w:sz w:val="20"/>
            <w:u w:val="single"/>
          </w:rPr>
          <w:t>Separate evidence/alignment meeting record — OPEN boundary decisions</w:t>
        </w:r>
      </w:hyperlink>
    </w:p>
    <w:p>
      <w:pPr>
        <w:pStyle w:val="Normal"/>
        <w:widowControl/>
      </w:pPr>
      <w:r>
        <w:t xml:space="preserve">Evidence review record: </w:t>
      </w:r>
      <w:hyperlink r:id="rId41">
        <w:r>
          <w:rPr>
            <w:color w:val="77230C"/>
            <w:sz w:val="20"/>
            <w:u w:val="single"/>
          </w:rPr>
          <w:t>Five analyst comments and reconciliation</w:t>
        </w:r>
      </w:hyperlink>
      <w:r>
        <w:t xml:space="preserve">  |  </w:t>
      </w:r>
      <w:hyperlink r:id="rId42">
        <w:r>
          <w:rPr>
            <w:color w:val="77230C"/>
            <w:sz w:val="20"/>
            <w:u w:val="single"/>
          </w:rPr>
          <w:t>Prospective outcomes dataset</w:t>
        </w:r>
      </w:hyperlink>
    </w:p>
    <w:p>
      <w:pPr>
        <w:pStyle w:val="Heading1"/>
        <w:keepNext/>
        <w:widowControl/>
        <w:keepLines/>
      </w:pPr>
      <w:r>
        <w:t xml:space="preserve">Revision note</w:t>
      </w:r>
    </w:p>
    <w:p>
      <w:pPr>
        <w:pStyle w:val="Normal"/>
        <w:keepNext/>
        <w:widowControl/>
        <w:keepLines/>
      </w:pPr>
      <w:r>
        <w:t xml:space="preserve">Revised 2026-10-24 12:46 CDT. V8 incorporates the matched local full-text PDFs and recorded corrections below. Prior versions and external analyst reviews remain preserved. Institutional decisions remain OPEN.</w:t>
      </w:r>
    </w:p>
    <w:p>
      <w:pPr>
        <w:pStyle w:val="Normal"/>
        <w:keepNext/>
        <w:widowControl/>
        <w:keepLines/>
      </w:pPr>
      <w:r>
        <w:rPr>
          <w:b/>
        </w:rPr>
        <w:t xml:space="preserve">Problem: </w:t>
      </w:r>
      <w:r>
        <w:t xml:space="preserve">Treatment-intensive conversion and radiographic disappearance could imply safe eligibility or eradication. </w:t>
      </w:r>
      <w:r>
        <w:rPr>
          <w:b/>
        </w:rPr>
        <w:t xml:space="preserve">Correction and reason: </w:t>
      </w:r>
      <w:r>
        <w:t xml:space="preserve">Added failure-to-reach-LT denominators, the pre-LT death after bilobar Y90 and the distinction between microscopic viability, persistent unresectability and proven transplant benefit.</w:t>
      </w:r>
    </w:p>
    <w:p>
      <w:pPr>
        <w:pStyle w:val="Normal"/>
        <w:keepNext/>
        <w:widowControl/>
        <w:keepLines/>
      </w:pPr>
      <w:r>
        <w:rPr>
          <w:b/>
        </w:rPr>
        <w:t xml:space="preserve">Problem: </w:t>
      </w:r>
      <w:r>
        <w:t xml:space="preserve">TransMet was incorrectly described as requiring objective response and mandatory lymphadenectomy. </w:t>
      </w:r>
      <w:r>
        <w:rPr>
          <w:b/>
        </w:rPr>
        <w:t xml:space="preserve">Correction and reason: </w:t>
      </w:r>
      <w:r>
        <w:t xml:space="preserve">Allowed the trial’s stable-or-partial-response criterion and separated current NLRB requirements; replaced universal dissection with suspicious-lesion/node assessment and a local operative SOP.</w:t>
      </w:r>
    </w:p>
    <w:p>
      <w:pPr>
        <w:pStyle w:val="Normal"/>
        <w:keepNext/>
        <w:widowControl/>
        <w:keepLines/>
      </w:pPr>
      <w:r>
        <w:rPr>
          <w:b/>
        </w:rPr>
        <w:t xml:space="preserve">Problem: </w:t>
      </w:r>
      <w:r>
        <w:t xml:space="preserve">BRAF and CEA boundaries were inconsistent; radiographic disappearance implied too much. </w:t>
      </w:r>
      <w:r>
        <w:rPr>
          <w:b/>
        </w:rPr>
        <w:t xml:space="preserve">Correction and reason: </w:t>
      </w:r>
      <w:r>
        <w:t xml:space="preserve">Used BRAF-wild-type guidance, separated initial/extension CEA wording and distinguished occult viability from persistent unresectability and LT benefit.</w:t>
      </w:r>
    </w:p>
    <w:p>
      <w:pPr>
        <w:pStyle w:val="Normal"/>
        <w:keepNext/>
        <w:widowControl/>
        <w:keepLines/>
      </w:pPr>
      <w:r>
        <w:rPr>
          <w:b/>
        </w:rPr>
        <w:t xml:space="preserve">Problem: </w:t>
      </w:r>
      <w:r>
        <w:t xml:space="preserve">Trial drug doses and mTOR cancer benefit were presented as routine orders. </w:t>
      </w:r>
      <w:r>
        <w:rPr>
          <w:b/>
        </w:rPr>
        <w:t xml:space="preserve">Correction and reason: </w:t>
      </w:r>
      <w:r>
        <w:t xml:space="preserve">Required the current signed transplant-pharmacy regimen, corrected the MMF attribution, and made CRLM recurrence benefit unproven.</w:t>
      </w:r>
    </w:p>
    <w:p>
      <w:pPr>
        <w:pStyle w:val="Normal"/>
        <w:keepNext/>
        <w:widowControl/>
        <w:keepLines/>
      </w:pPr>
      <w:r>
        <w:rPr>
          <w:b/>
        </w:rPr>
        <w:t xml:space="preserve">Problem: </w:t>
      </w:r>
      <w:r>
        <w:t xml:space="preserve">The new full texts were not linked to an updated evidence appraisal. </w:t>
      </w:r>
      <w:r>
        <w:rPr>
          <w:b/>
        </w:rPr>
        <w:t xml:space="preserve">Correction and reason: </w:t>
      </w:r>
      <w:r>
        <w:t xml:space="preserve">Added study-level outcomes, harms, denominators, source-specific limitations and depot links; the detailed paragraph reconciliation is retained in source/standard_body_reconciliation.json.</w:t>
      </w:r>
    </w:p>
    <w:p>
      <w:pPr>
        <w:pStyle w:val="Normal"/>
        <w:keepNext/>
        <w:widowControl/>
        <w:keepLines/>
      </w:pPr>
      <w:r>
        <w:rPr>
          <w:b/>
        </w:rPr>
        <w:t xml:space="preserve">Problem: </w:t>
      </w:r>
      <w:r>
        <w:t xml:space="preserve">Citation fields and source versions needed a consistent rebuild. </w:t>
      </w:r>
      <w:r>
        <w:rPr>
          <w:b/>
        </w:rPr>
        <w:t xml:space="preserve">Correction and reason: </w:t>
      </w:r>
      <w:r>
        <w:t xml:space="preserve">Populated structured EndNote citations and references, individual XML/RIS libraries and actual DOCX/PDF copies. Native Word/EndNote updating remains untested.</w:t>
      </w:r>
    </w:p>
    <w:p>
      <w:pPr>
        <w:pStyle w:val="Normal"/>
        <w:widowControl/>
        <w:keepLines/>
      </w:pPr>
      <w:r>
        <w:t xml:space="preserve">Approval record  Clinical lead __________  Allocation review __________  Research authorization if required __________  Donor review if applicable __________  Date __________</w:t>
      </w:r>
    </w:p>
    <w:p>
      <w:pPr>
        <w:pStyle w:val="Heading1"/>
        <w:widowControl/>
        <w:keepNext/>
      </w:pPr>
      <w:r>
        <w:t xml:space="preserve">References</w:t>
      </w:r>
    </w:p>
    <w:p>
      <w:pPr>
        <w:pStyle w:val="Normal"/>
        <w:widowControl/>
        <w:spacing w:after="120"/>
      </w:pPr>
      <w:r>
        <w:t xml:space="preserve"/>
      </w:r>
      <w:r>
        <w:fldChar w:fldCharType="begin"/>
      </w:r>
      <w:r>
        <w:instrText xml:space="preserve"> ADDIN EN.REFLIST </w:instrText>
      </w:r>
      <w:r>
        <w:fldChar w:fldCharType="separate"/>
      </w:r>
      <w:r>
        <w:t xml:space="preserve">[V12-1] Organ Procurement and Transplantation Network. OPTN Policies: liver allocation and living donation. HRSA/OPTN. 2026. </w:t>
      </w:r>
      <w:hyperlink r:id="rId94">
        <w:r>
          <w:rPr>
            <w:color w:val="0563C1"/>
            <w:u w:val="single"/>
          </w:rPr>
          <w:t>Source</w:t>
        </w:r>
      </w:hyperlink>
      <w:r>
        <w:t xml:space="preserve"> | </w:t>
      </w:r>
      <w:hyperlink r:id="rId95">
        <w:r>
          <w:rPr>
            <w:color w:val="0563C1"/>
            <w:u w:val="single"/>
          </w:rPr>
          <w:t>Full-text access</w:t>
        </w:r>
      </w:hyperlink>
    </w:p>
    <w:p>
      <w:pPr>
        <w:pStyle w:val="Normal"/>
        <w:widowControl/>
        <w:spacing w:after="120"/>
      </w:pPr>
      <w:r>
        <w:t xml:space="preserve"/>
      </w:r>
      <w:r>
        <w:t xml:space="preserve">[V12-2] Organ Procurement and Transplantation Network. Adult MELD Exceptions for Transplant Oncology. HRSA/OPTN. 2025. </w:t>
      </w:r>
      <w:hyperlink r:id="rId96">
        <w:r>
          <w:rPr>
            <w:color w:val="0563C1"/>
            <w:u w:val="single"/>
          </w:rPr>
          <w:t>Source</w:t>
        </w:r>
      </w:hyperlink>
      <w:r>
        <w:t xml:space="preserve"> | </w:t>
      </w:r>
      <w:hyperlink r:id="rId97">
        <w:r>
          <w:rPr>
            <w:color w:val="0563C1"/>
            <w:u w:val="single"/>
          </w:rPr>
          <w:t>Full-text access</w:t>
        </w:r>
      </w:hyperlink>
    </w:p>
    <w:p>
      <w:pPr>
        <w:pStyle w:val="Normal"/>
        <w:widowControl/>
        <w:spacing w:after="120"/>
      </w:pPr>
      <w:r>
        <w:t xml:space="preserve"/>
      </w:r>
      <w:r>
        <w:t xml:space="preserve">[V12-3] Adam, René; Piedvache, Céline; Chiche, Laurence; et al. Liver transplantation plus chemotherapy versus chemotherapy alone in patients with permanently unresectable colorectal liver metastases (TransMet): results from a multicentre, open-label, prospective, randomised controlled trial. Lancet (London, England). 2024; 404(10458):1107-1118. </w:t>
      </w:r>
      <w:hyperlink r:id="rId98">
        <w:r>
          <w:rPr>
            <w:color w:val="0563C1"/>
            <w:u w:val="single"/>
          </w:rPr>
          <w:t>Source</w:t>
        </w:r>
      </w:hyperlink>
      <w:r>
        <w:t xml:space="preserve"> | </w:t>
      </w:r>
      <w:hyperlink r:id="rId99">
        <w:r>
          <w:rPr>
            <w:color w:val="0563C1"/>
            <w:u w:val="single"/>
          </w:rPr>
          <w:t>Full-text access</w:t>
        </w:r>
      </w:hyperlink>
    </w:p>
    <w:p>
      <w:pPr>
        <w:pStyle w:val="Normal"/>
        <w:widowControl/>
        <w:spacing w:after="120"/>
      </w:pPr>
      <w:r>
        <w:t xml:space="preserve"/>
      </w:r>
      <w:r>
        <w:t xml:space="preserve">[V12-4] Dueland, Svein. Survival Following Liver Transplantation for Patients With Nonresectable Liver-only Colorectal Metastases. Annals of Surgery. 2020; 271(2):212–218. </w:t>
      </w:r>
      <w:hyperlink r:id="rId100">
        <w:r>
          <w:rPr>
            <w:color w:val="0563C1"/>
            <w:u w:val="single"/>
          </w:rPr>
          <w:t>Source</w:t>
        </w:r>
      </w:hyperlink>
      <w:r>
        <w:t xml:space="preserve"> | </w:t>
      </w:r>
      <w:hyperlink r:id="rId101">
        <w:r>
          <w:rPr>
            <w:color w:val="0563C1"/>
            <w:u w:val="single"/>
          </w:rPr>
          <w:t>Full-text access</w:t>
        </w:r>
      </w:hyperlink>
    </w:p>
    <w:p>
      <w:pPr>
        <w:pStyle w:val="Normal"/>
        <w:widowControl/>
        <w:spacing w:after="120"/>
      </w:pPr>
      <w:r>
        <w:t xml:space="preserve"/>
      </w:r>
      <w:r>
        <w:t xml:space="preserve">[V12-5] Gorji, Leva; Brown, Zachary J.; Limkemann, Ashley; et al. Liver Transplant as a Treatment of Primary and Secondary Liver Neoplasms. JAMA Surgery. 2024; 159(2):211. </w:t>
      </w:r>
      <w:hyperlink r:id="rId102">
        <w:r>
          <w:rPr>
            <w:color w:val="0563C1"/>
            <w:u w:val="single"/>
          </w:rPr>
          <w:t>Source</w:t>
        </w:r>
      </w:hyperlink>
      <w:r>
        <w:t xml:space="preserve"> | </w:t>
      </w:r>
      <w:hyperlink r:id="rId103">
        <w:r>
          <w:rPr>
            <w:color w:val="0563C1"/>
            <w:u w:val="single"/>
          </w:rPr>
          <w:t>Full-text access</w:t>
        </w:r>
      </w:hyperlink>
    </w:p>
    <w:p>
      <w:pPr>
        <w:pStyle w:val="Normal"/>
        <w:widowControl/>
        <w:spacing w:after="120"/>
      </w:pPr>
      <w:r>
        <w:t xml:space="preserve"/>
      </w:r>
      <w:r>
        <w:t xml:space="preserve">[V12-6] Dove, Lorna; Chadha, Ryan M.; Lai, Jennifer C.; et al. AASLD AST Practice Guideline on adult liver transplantation: Candidate evaluation. Hepatology. 2026; 83(6):1609-1645. </w:t>
      </w:r>
      <w:hyperlink r:id="rId104">
        <w:r>
          <w:rPr>
            <w:color w:val="0563C1"/>
            <w:u w:val="single"/>
          </w:rPr>
          <w:t>Source</w:t>
        </w:r>
      </w:hyperlink>
      <w:r>
        <w:t xml:space="preserve"> | </w:t>
      </w:r>
      <w:hyperlink r:id="rId105">
        <w:r>
          <w:rPr>
            <w:color w:val="0563C1"/>
            <w:u w:val="single"/>
          </w:rPr>
          <w:t>Full-text access</w:t>
        </w:r>
      </w:hyperlink>
    </w:p>
    <w:p>
      <w:pPr>
        <w:pStyle w:val="Normal"/>
        <w:widowControl/>
        <w:spacing w:after="120"/>
      </w:pPr>
      <w:r>
        <w:t xml:space="preserve"/>
      </w:r>
      <w:r>
        <w:t xml:space="preserve">[V12-7] Ueberroth, Benjamin E; Kriss, Michael; Burton, James R; et al. Liver transplantation for colorectal cancer with liver metastases. The Oncologist. 2025; 30(1). </w:t>
      </w:r>
      <w:hyperlink r:id="rId106">
        <w:r>
          <w:rPr>
            <w:color w:val="0563C1"/>
            <w:u w:val="single"/>
          </w:rPr>
          <w:t>Source</w:t>
        </w:r>
      </w:hyperlink>
      <w:r>
        <w:t xml:space="preserve"> | </w:t>
      </w:r>
      <w:hyperlink r:id="rId107">
        <w:r>
          <w:rPr>
            <w:color w:val="0563C1"/>
            <w:u w:val="single"/>
          </w:rPr>
          <w:t>Full-text access</w:t>
        </w:r>
      </w:hyperlink>
    </w:p>
    <w:p>
      <w:pPr>
        <w:pStyle w:val="Normal"/>
        <w:widowControl/>
        <w:spacing w:after="120"/>
      </w:pPr>
      <w:r>
        <w:t xml:space="preserve"/>
      </w:r>
      <w:r>
        <w:t xml:space="preserve">[V12-8] Kataoka, Kozo; Mauer, Murielle; Shiozawa, Manabu; et al. Diagnostic Accuracy of Imaging in Assessing Nonviability of Disappearing Colorectal Liver Metastasis. JAMA Surgery. 2025. </w:t>
      </w:r>
      <w:hyperlink r:id="rId108">
        <w:r>
          <w:rPr>
            <w:color w:val="0563C1"/>
            <w:u w:val="single"/>
          </w:rPr>
          <w:t>Source</w:t>
        </w:r>
      </w:hyperlink>
      <w:r>
        <w:t xml:space="preserve"> | </w:t>
      </w:r>
      <w:hyperlink r:id="rId109">
        <w:r>
          <w:rPr>
            <w:color w:val="0563C1"/>
            <w:u w:val="single"/>
          </w:rPr>
          <w:t>Full-text access</w:t>
        </w:r>
      </w:hyperlink>
    </w:p>
    <w:p>
      <w:pPr>
        <w:pStyle w:val="Normal"/>
        <w:widowControl/>
        <w:spacing w:after="120"/>
      </w:pPr>
      <w:r>
        <w:t xml:space="preserve"/>
      </w:r>
      <w:r>
        <w:t xml:space="preserve">[V12-9] Oba, Atsushi; Mise, Yoshihiro; Ito, Hiromichi; et al. Clinical implications of disappearing colorectal liver metastases have changed in the era of hepatocyte-specific MRI and contrast-enhanced intraoperative ultrasonography. HPB. 2018; 20(8):708-714. </w:t>
      </w:r>
      <w:hyperlink r:id="rId110">
        <w:r>
          <w:rPr>
            <w:color w:val="0563C1"/>
            <w:u w:val="single"/>
          </w:rPr>
          <w:t>Source</w:t>
        </w:r>
      </w:hyperlink>
      <w:r>
        <w:t xml:space="preserve"> | </w:t>
      </w:r>
      <w:hyperlink r:id="rId111">
        <w:r>
          <w:rPr>
            <w:color w:val="0563C1"/>
            <w:u w:val="single"/>
          </w:rPr>
          <w:t>Full-text access</w:t>
        </w:r>
      </w:hyperlink>
    </w:p>
    <w:p>
      <w:pPr>
        <w:pStyle w:val="Normal"/>
        <w:widowControl/>
        <w:spacing w:after="120"/>
      </w:pPr>
      <w:r>
        <w:t xml:space="preserve"/>
      </w:r>
      <w:r>
        <w:t xml:space="preserve">[V12-10] Wehrle, Chase J; Fujiki, Masato; Schlegel, Andrea; et al. Intensive locoregional therapy before liver transplantation for colorectal cancer liver metastasis: A novel pretransplant protocol. Liver transplantation : official publication of the American Association for the Study of Liver Diseases and the International Liver Transplantation Society. 2024; 30(12):1238-1249. </w:t>
      </w:r>
      <w:hyperlink r:id="rId112">
        <w:r>
          <w:rPr>
            <w:color w:val="0563C1"/>
            <w:u w:val="single"/>
          </w:rPr>
          <w:t>Source</w:t>
        </w:r>
      </w:hyperlink>
      <w:r>
        <w:t xml:space="preserve"> | </w:t>
      </w:r>
      <w:hyperlink r:id="rId113">
        <w:r>
          <w:rPr>
            <w:color w:val="0563C1"/>
            <w:u w:val="single"/>
          </w:rPr>
          <w:t>Full-text access</w:t>
        </w:r>
      </w:hyperlink>
    </w:p>
    <w:p>
      <w:pPr>
        <w:pStyle w:val="Normal"/>
        <w:widowControl/>
        <w:spacing w:after="120"/>
      </w:pPr>
      <w:r>
        <w:t xml:space="preserve"/>
      </w:r>
      <w:r>
        <w:t xml:space="preserve">[V12-11] Wehrle, Chase J; Chávez-Villa, Mariana; Byrne, Matthew; et al. Pretransplant metabolic tumor volume predicts recurrence following liver transplantation for colorectal metastasis: A multicenter study. Liver transplantation : official publication of the American Association for the Study of Liver Diseases and the International Liver Transplantation Society. 2025; 31(3):298-310. </w:t>
      </w:r>
      <w:hyperlink r:id="rId114">
        <w:r>
          <w:rPr>
            <w:color w:val="0563C1"/>
            <w:u w:val="single"/>
          </w:rPr>
          <w:t>Source</w:t>
        </w:r>
      </w:hyperlink>
      <w:r>
        <w:t xml:space="preserve"> | </w:t>
      </w:r>
      <w:hyperlink r:id="rId115">
        <w:r>
          <w:rPr>
            <w:color w:val="0563C1"/>
            <w:u w:val="single"/>
          </w:rPr>
          <w:t>Full-text access</w:t>
        </w:r>
      </w:hyperlink>
    </w:p>
    <w:p>
      <w:pPr>
        <w:pStyle w:val="Normal"/>
        <w:widowControl/>
        <w:spacing w:after="120"/>
      </w:pPr>
      <w:r>
        <w:t xml:space="preserve"/>
      </w:r>
      <w:r>
        <w:t xml:space="preserve">[V12-12] Grut, Harald; Line, Pål-Dag; Syversveen, Trygve; et al. Metabolic tumor volume predicts long-term survival after transplantation for unresectable colorectal liver metastases: 15 years of experience from the SECA study. Annals of nuclear medicine. 2022; 36(12):1073-1081. </w:t>
      </w:r>
      <w:hyperlink r:id="rId116">
        <w:r>
          <w:rPr>
            <w:color w:val="0563C1"/>
            <w:u w:val="single"/>
          </w:rPr>
          <w:t>Source</w:t>
        </w:r>
      </w:hyperlink>
      <w:r>
        <w:t xml:space="preserve"> | </w:t>
      </w:r>
      <w:hyperlink r:id="rId117">
        <w:r>
          <w:rPr>
            <w:color w:val="0563C1"/>
            <w:u w:val="single"/>
          </w:rPr>
          <w:t>Full-text access</w:t>
        </w:r>
      </w:hyperlink>
    </w:p>
    <w:p>
      <w:pPr>
        <w:pStyle w:val="Normal"/>
        <w:widowControl/>
        <w:spacing w:after="120"/>
      </w:pPr>
      <w:r>
        <w:t xml:space="preserve"/>
      </w:r>
      <w:r>
        <w:t xml:space="preserve">[V12-13] Bonney, Glenn K; Chew, Claire Alexandra; Lodge, Peter; et al. Liver transplantation for non-resectable colorectal liver metastases: the International Hepato-Pancreato-Biliary Association consensus guidelines. The lancet. Gastroenterology &amp; hepatology. 2021; 6(11):933-946. </w:t>
      </w:r>
      <w:hyperlink r:id="rId118">
        <w:r>
          <w:rPr>
            <w:color w:val="0563C1"/>
            <w:u w:val="single"/>
          </w:rPr>
          <w:t>Source</w:t>
        </w:r>
      </w:hyperlink>
      <w:r>
        <w:t xml:space="preserve"> | </w:t>
      </w:r>
      <w:hyperlink r:id="rId119">
        <w:r>
          <w:rPr>
            <w:color w:val="0563C1"/>
            <w:u w:val="single"/>
          </w:rPr>
          <w:t>Full-text access</w:t>
        </w:r>
      </w:hyperlink>
    </w:p>
    <w:p>
      <w:pPr>
        <w:pStyle w:val="Normal"/>
        <w:widowControl/>
        <w:spacing w:after="120"/>
      </w:pPr>
      <w:r>
        <w:t xml:space="preserve"/>
      </w:r>
      <w:r>
        <w:t xml:space="preserve">[V12-14] Adam, René; Badrudin, David; Chiche, Laurence; et al. Safety and feasibility of chemotherapy followed by liver transplantation for patients with definitely unresectable colorectal liver metastases: insights from the TransMet randomised clinical trial. eClinicalMedicine. 2024; 72:102608. </w:t>
      </w:r>
      <w:hyperlink r:id="rId120">
        <w:r>
          <w:rPr>
            <w:color w:val="0563C1"/>
            <w:u w:val="single"/>
          </w:rPr>
          <w:t>Source</w:t>
        </w:r>
      </w:hyperlink>
      <w:r>
        <w:t xml:space="preserve"> | </w:t>
      </w:r>
      <w:hyperlink r:id="rId121">
        <w:r>
          <w:rPr>
            <w:color w:val="0563C1"/>
            <w:u w:val="single"/>
          </w:rPr>
          <w:t>Full-text access</w:t>
        </w:r>
      </w:hyperlink>
    </w:p>
    <w:p>
      <w:pPr>
        <w:pStyle w:val="Normal"/>
        <w:widowControl/>
        <w:spacing w:after="120"/>
      </w:pPr>
      <w:r>
        <w:t xml:space="preserve"/>
      </w:r>
      <w:r>
        <w:t xml:space="preserve">[V12-15] Dueland, Svein; Smedman, Tor M.; Syversveen, Trygve; et al. Liver Transplantation for Nonresectable Colorectal Liver Metastases: Ten-year Follow-up and Assessment of Curative Rate in the SECA-II Study. Annals of Surgery. 2026. </w:t>
      </w:r>
      <w:hyperlink r:id="rId122">
        <w:r>
          <w:rPr>
            <w:color w:val="0563C1"/>
            <w:u w:val="single"/>
          </w:rPr>
          <w:t>Source</w:t>
        </w:r>
      </w:hyperlink>
      <w:r>
        <w:t xml:space="preserve"> | </w:t>
      </w:r>
      <w:hyperlink r:id="rId123">
        <w:r>
          <w:rPr>
            <w:color w:val="0563C1"/>
            <w:u w:val="single"/>
          </w:rPr>
          <w:t>Full-text access</w:t>
        </w:r>
      </w:hyperlink>
    </w:p>
    <w:p>
      <w:pPr>
        <w:pStyle w:val="Normal"/>
        <w:widowControl/>
        <w:spacing w:after="120"/>
      </w:pPr>
      <w:r>
        <w:t xml:space="preserve"/>
      </w:r>
      <w:r>
        <w:t xml:space="preserve">[V12-16] Te, Helen S.; Agopian, Vatche G.; Demetris, Anthony J.; et al. AASLD AST Practice Guideline on adult liver transplantation: Diagnosis and management of graft-related complications. Liver Transplantation. 2025; 32(3):444-490. </w:t>
      </w:r>
      <w:hyperlink r:id="rId124">
        <w:r>
          <w:rPr>
            <w:color w:val="0563C1"/>
            <w:u w:val="single"/>
          </w:rPr>
          <w:t>Source</w:t>
        </w:r>
      </w:hyperlink>
      <w:r>
        <w:t xml:space="preserve"> | </w:t>
      </w:r>
      <w:hyperlink r:id="rId125">
        <w:r>
          <w:rPr>
            <w:color w:val="0563C1"/>
            <w:u w:val="single"/>
          </w:rPr>
          <w:t>Full-text access</w:t>
        </w:r>
      </w:hyperlink>
    </w:p>
    <w:p>
      <w:pPr>
        <w:pStyle w:val="Normal"/>
        <w:widowControl/>
        <w:spacing w:after="120"/>
      </w:pPr>
      <w:r>
        <w:t xml:space="preserve"/>
      </w:r>
      <w:r>
        <w:t xml:space="preserve">[V12-17] Novartis Pharmaceuticals Corporation. Zortress (everolimus) US prescribing information, updated 16 September 2026. DailyMed. 2026. </w:t>
      </w:r>
      <w:hyperlink r:id="rId126">
        <w:r>
          <w:rPr>
            <w:color w:val="0563C1"/>
            <w:u w:val="single"/>
          </w:rPr>
          <w:t>Source</w:t>
        </w:r>
      </w:hyperlink>
      <w:r>
        <w:t xml:space="preserve"> | </w:t>
      </w:r>
      <w:hyperlink r:id="rId127">
        <w:r>
          <w:rPr>
            <w:color w:val="0563C1"/>
            <w:u w:val="single"/>
          </w:rPr>
          <w:t>Full-text access</w:t>
        </w:r>
      </w:hyperlink>
    </w:p>
    <w:p>
      <w:pPr>
        <w:pStyle w:val="Normal"/>
        <w:widowControl/>
        <w:spacing w:after="120"/>
      </w:pPr>
      <w:r>
        <w:t xml:space="preserve"/>
      </w:r>
      <w:r>
        <w:t xml:space="preserve">[V12-18] Nashan, Björn. mTOR Inhibition and Clinical Transplantation. Transplantation. 2018; 102(2S):S19-S26. </w:t>
      </w:r>
      <w:hyperlink r:id="rId128">
        <w:r>
          <w:rPr>
            <w:color w:val="0563C1"/>
            <w:u w:val="single"/>
          </w:rPr>
          <w:t>Source</w:t>
        </w:r>
      </w:hyperlink>
      <w:r>
        <w:t xml:space="preserve"> | </w:t>
      </w:r>
      <w:hyperlink r:id="rId129">
        <w:r>
          <w:rPr>
            <w:color w:val="0563C1"/>
            <w:u w:val="single"/>
          </w:rPr>
          <w:t>Full-text access</w:t>
        </w:r>
      </w:hyperlink>
    </w:p>
    <w:p>
      <w:pPr>
        <w:pStyle w:val="Normal"/>
        <w:widowControl/>
        <w:spacing w:after="120"/>
      </w:pPr>
      <w:r>
        <w:t xml:space="preserve"/>
      </w:r>
      <w:r>
        <w:t xml:space="preserve">[V12-19] Wehrle, Chase J; Raj, Roma; Aykun, Nihal; et al. Circulating Tumor DNA in Colorectal Cancer Liver Metastasis: Analysis of Patients Receiving Liver Resection and Transplant. JCO clinical cancer informatics. 2023; 7:e2300111. </w:t>
      </w:r>
      <w:hyperlink r:id="rId130">
        <w:r>
          <w:rPr>
            <w:color w:val="0563C1"/>
            <w:u w:val="single"/>
          </w:rPr>
          <w:t>Source</w:t>
        </w:r>
      </w:hyperlink>
      <w:r>
        <w:t xml:space="preserve"> | </w:t>
      </w:r>
      <w:hyperlink r:id="rId131">
        <w:r>
          <w:rPr>
            <w:color w:val="0563C1"/>
            <w:u w:val="single"/>
          </w:rPr>
          <w:t>Full-text access</w:t>
        </w:r>
      </w:hyperlink>
    </w:p>
    <w:p>
      <w:pPr>
        <w:pStyle w:val="Normal"/>
        <w:widowControl/>
        <w:spacing w:after="120"/>
      </w:pPr>
      <w:r>
        <w:t xml:space="preserve"/>
      </w:r>
      <w:r>
        <w:t xml:space="preserve">[V12-20] Abecassis, M.M.; Fisher, R.A.; Olthoff, K.M.; et al. Complications of Living Donor Hepatic Lobectomy—A Comprehensive Report. American Journal of Transplantation. 2012; 12(5):1208-1217. </w:t>
      </w:r>
      <w:hyperlink r:id="rId132">
        <w:r>
          <w:rPr>
            <w:color w:val="0563C1"/>
            <w:u w:val="single"/>
          </w:rPr>
          <w:t>Source</w:t>
        </w:r>
      </w:hyperlink>
      <w:r>
        <w:t xml:space="preserve"> | </w:t>
      </w:r>
      <w:hyperlink r:id="rId133">
        <w:r>
          <w:rPr>
            <w:color w:val="0563C1"/>
            <w:u w:val="single"/>
          </w:rPr>
          <w:t>Full-text access</w:t>
        </w:r>
      </w:hyperlink>
    </w:p>
    <w:p>
      <w:pPr>
        <w:pStyle w:val="Normal"/>
        <w:widowControl/>
        <w:spacing w:after="120"/>
      </w:pPr>
      <w:r>
        <w:t xml:space="preserve"/>
      </w:r>
      <w:r>
        <w:t xml:space="preserve">[V12-21] DiMartini, A.; Dew, M.A.; Liu, Q.; et al. Social and Financial Outcomes of Living Liver Donation: A Prospective Investigation Within the Adult-to-Adult Living Donor Liver Transplantation Cohort Study 2 (A2ALL-2). American Journal of Transplantation. 2017; 17(4):1081-1096. </w:t>
      </w:r>
      <w:hyperlink r:id="rId134">
        <w:r>
          <w:rPr>
            <w:color w:val="0563C1"/>
            <w:u w:val="single"/>
          </w:rPr>
          <w:t>Source</w:t>
        </w:r>
      </w:hyperlink>
      <w:r>
        <w:t xml:space="preserve"> | </w:t>
      </w:r>
      <w:hyperlink r:id="rId135">
        <w:r>
          <w:rPr>
            <w:color w:val="0563C1"/>
            <w:u w:val="single"/>
          </w:rPr>
          <w:t>Full-text access</w:t>
        </w:r>
      </w:hyperlink>
    </w:p>
    <w:p>
      <w:pPr>
        <w:pStyle w:val="Normal"/>
        <w:widowControl/>
        <w:spacing w:after="120"/>
      </w:pPr>
      <w:r>
        <w:t xml:space="preserve"/>
      </w:r>
      <w:r>
        <w:t xml:space="preserve">[V12-22] Xiao, Jieling; Zeng, Rebecca Wenling; Lim, Wen Hui; et al. The incidence of adverse outcome in donors after living donor liver transplantation: A meta-analysis of 60,829 donors. Liver Transplantation. 2024; 30(5):493-504. </w:t>
      </w:r>
      <w:hyperlink r:id="rId136">
        <w:r>
          <w:rPr>
            <w:color w:val="0563C1"/>
            <w:u w:val="single"/>
          </w:rPr>
          <w:t>Source</w:t>
        </w:r>
      </w:hyperlink>
      <w:r>
        <w:t xml:space="preserve"> | </w:t>
      </w:r>
      <w:hyperlink r:id="rId137">
        <w:r>
          <w:rPr>
            <w:color w:val="0563C1"/>
            <w:u w:val="single"/>
          </w:rPr>
          <w:t>Full-text access</w:t>
        </w:r>
      </w:hyperlink>
    </w:p>
    <w:p>
      <w:pPr>
        <w:pStyle w:val="Normal"/>
        <w:widowControl/>
        <w:spacing w:after="120"/>
      </w:pPr>
      <w:r>
        <w:t xml:space="preserve"/>
      </w:r>
      <w:r>
        <w:t xml:space="preserve">[V12-23] Strickler JH; Cercek A; Siena S; et al. Tucatinib plus trastuzumab for chemotherapy-refractory, HER2 + , RAS wild-type metastatic colorectal cancer (MOUNTAINEER): final analysis.. Nature communications. 2026; 17(1):1068. </w:t>
      </w:r>
      <w:hyperlink r:id="rId138">
        <w:r>
          <w:rPr>
            <w:color w:val="0563C1"/>
            <w:u w:val="single"/>
          </w:rPr>
          <w:t>Source</w:t>
        </w:r>
      </w:hyperlink>
      <w:r>
        <w:t xml:space="preserve"> | </w:t>
      </w:r>
      <w:hyperlink r:id="rId139">
        <w:r>
          <w:rPr>
            <w:color w:val="0563C1"/>
            <w:u w:val="single"/>
          </w:rPr>
          <w:t>Full-text access</w:t>
        </w:r>
      </w:hyperlink>
    </w:p>
    <w:p>
      <w:pPr>
        <w:pStyle w:val="Normal"/>
        <w:widowControl/>
        <w:spacing w:after="120"/>
      </w:pPr>
      <w:r>
        <w:t xml:space="preserve"/>
      </w:r>
      <w:r>
        <w:t xml:space="preserve">[V12-24] Prager GW; Taieb J; Fakih M; et al. Trifluridine-Tipiracil and Bevacizumab in Refractory Metastatic Colorectal Cancer.. The New England journal of medicine. 2023; 388(18):1657-1667. </w:t>
      </w:r>
      <w:hyperlink r:id="rId140">
        <w:r>
          <w:rPr>
            <w:color w:val="0563C1"/>
            <w:u w:val="single"/>
          </w:rPr>
          <w:t>Source</w:t>
        </w:r>
      </w:hyperlink>
      <w:r>
        <w:t xml:space="preserve"> | </w:t>
      </w:r>
      <w:hyperlink r:id="rId141">
        <w:r>
          <w:rPr>
            <w:color w:val="0563C1"/>
            <w:u w:val="single"/>
          </w:rPr>
          <w:t>Full-text access</w:t>
        </w:r>
      </w:hyperlink>
    </w:p>
    <w:p>
      <w:pPr>
        <w:pStyle w:val="Normal"/>
        <w:widowControl/>
        <w:spacing w:after="120"/>
      </w:pPr>
      <w:r>
        <w:t xml:space="preserve"/>
      </w:r>
      <w:r>
        <w:t xml:space="preserve">[V12-25] Dasari A; Lonardi S; Garcia-Carbonero R; et al. Fruquintinib versus placebo in patients with refractory metastatic colorectal cancer (FRESCO-2): an international, multicentre, randomised, double-blind, phase 3 study.. Lancet (London, England). 2023; 402(10395):41-53. </w:t>
      </w:r>
      <w:hyperlink r:id="rId142">
        <w:r>
          <w:rPr>
            <w:color w:val="0563C1"/>
            <w:u w:val="single"/>
          </w:rPr>
          <w:t>Source</w:t>
        </w:r>
      </w:hyperlink>
      <w:r>
        <w:t xml:space="preserve"> | </w:t>
      </w:r>
      <w:hyperlink r:id="rId143">
        <w:r>
          <w:rPr>
            <w:color w:val="0563C1"/>
            <w:u w:val="single"/>
          </w:rPr>
          <w:t>Full-text access</w:t>
        </w:r>
      </w:hyperlink>
      <w:r>
        <w:fldChar w:fldCharType="end"/>
      </w:r>
    </w:p>
    <w:p>
      <w:pPr>
        <w:pStyle w:val="Heading1"/>
        <w:widowControl/>
        <w:keepNext/>
      </w:pPr>
      <w:r>
        <w:t xml:space="preserve">Revision history</w:t>
      </w:r>
    </w:p>
    <w:p>
      <w:pPr>
        <w:pStyle w:val="Normal"/>
        <w:widowControl/>
        <w:spacing w:after="120"/>
      </w:pPr>
      <w:r>
        <w:t xml:space="preserve">2026-10-25 04:38 CDT. Problem and correction: Integrate CRLM full-text findings at the treatment/selection interface. Separate systemic cancer control from transplant eligibility and allocation. Do not infer new transplant eligibility from these regimen studies.</w:t>
      </w:r>
    </w:p>
    <w:p>
      <w:pPr>
        <w:pStyle w:val="Normal"/>
        <w:widowControl/>
        <w:spacing w:after="120"/>
      </w:pPr>
      <w:r>
        <w:t xml:space="preserve">Review scope: all pages of the 14 newly supplied main PDFs were read; separately linked supplements and every older retained reference were not reread. Existing formatting and prior material are retained. New clinical proposals remain OPEN. Live EndNote field structures and document-specific XML/RIS exports are included; native Word/EndNote CWYW execution has not been verified.</w:t>
      </w:r>
    </w:p>
    <w:p>
      <w:pPr>
        <w:pStyle w:val="Normal"/>
      </w:pPr>
      <w:r>
        <w:t>26 October 2026, 09:30 CDT. Presentation revision: removed release-specific emphasis and grouped evidence with the clinical question it informs. Website navigation is separate from patient findings; selecting a topic or opening a care plan does not establish eligibility. Clinical thresholds, negative results, uncertainty, source links, EndNote field data and OPEN decision status are retained.</w:t>
      </w:r>
    </w:p>
    <w:sectPr w:rsidR="00584615">
      <w:type w:val="continuous"/>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roman"/>
    <w:notTrueType/>
    <w:pitch w:val="default"/>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8731EE2"/>
    <w:multiLevelType w:val="hybridMultilevel"/>
    <w:tmpl w:val="F5404430"/>
    <w:lvl w:ilvl="0" w:tplc="4E52252A">
      <w:start w:val="1"/>
      <w:numFmt w:val="decimal"/>
      <w:lvlText w:val="%1."/>
      <w:lvlJc w:val="left"/>
      <w:pPr>
        <w:spacing w:before="0" w:after="0"/>
        <w:ind w:left="720" w:hanging="360"/>
      </w:pPr>
    </w:lvl>
    <w:lvl w:ilvl="1" w:tplc="4782C134">
      <w:numFmt w:val="decimal"/>
      <w:lvlText w:val=""/>
      <w:lvlJc w:val="left"/>
    </w:lvl>
    <w:lvl w:ilvl="2" w:tplc="8C7E5D8A">
      <w:numFmt w:val="decimal"/>
      <w:lvlText w:val=""/>
      <w:lvlJc w:val="left"/>
    </w:lvl>
    <w:lvl w:ilvl="3" w:tplc="D436A04C">
      <w:numFmt w:val="decimal"/>
      <w:lvlText w:val=""/>
      <w:lvlJc w:val="left"/>
    </w:lvl>
    <w:lvl w:ilvl="4" w:tplc="21A04742">
      <w:numFmt w:val="decimal"/>
      <w:lvlText w:val=""/>
      <w:lvlJc w:val="left"/>
    </w:lvl>
    <w:lvl w:ilvl="5" w:tplc="237CD40A">
      <w:numFmt w:val="decimal"/>
      <w:lvlText w:val=""/>
      <w:lvlJc w:val="left"/>
    </w:lvl>
    <w:lvl w:ilvl="6" w:tplc="2E585434">
      <w:numFmt w:val="decimal"/>
      <w:lvlText w:val=""/>
      <w:lvlJc w:val="left"/>
    </w:lvl>
    <w:lvl w:ilvl="7" w:tplc="C99275CC">
      <w:numFmt w:val="decimal"/>
      <w:lvlText w:val=""/>
      <w:lvlJc w:val="left"/>
    </w:lvl>
    <w:lvl w:ilvl="8" w:tplc="ADA29F54">
      <w:numFmt w:val="decimal"/>
      <w:lvlText w:val=""/>
      <w:lvlJc w:val="left"/>
    </w:lvl>
  </w:abstractNum>
  <w:abstractNum w:abstractNumId="1" w15:restartNumberingAfterBreak="0">
    <w:nsid w:val="2F825611"/>
    <w:multiLevelType w:val="hybridMultilevel"/>
    <w:tmpl w:val="2CD08502"/>
    <w:lvl w:ilvl="0" w:tplc="1C741052">
      <w:start w:val="1"/>
      <w:numFmt w:val="bullet"/>
      <w:lvlText w:val="●"/>
      <w:lvlJc w:val="left"/>
      <w:pPr>
        <w:ind w:left="720" w:hanging="360"/>
      </w:pPr>
    </w:lvl>
    <w:lvl w:ilvl="1" w:tplc="66D21AB8">
      <w:start w:val="1"/>
      <w:numFmt w:val="bullet"/>
      <w:lvlText w:val="○"/>
      <w:lvlJc w:val="left"/>
      <w:pPr>
        <w:ind w:left="1440" w:hanging="360"/>
      </w:pPr>
    </w:lvl>
    <w:lvl w:ilvl="2" w:tplc="703A0068">
      <w:start w:val="1"/>
      <w:numFmt w:val="bullet"/>
      <w:lvlText w:val="■"/>
      <w:lvlJc w:val="left"/>
      <w:pPr>
        <w:ind w:left="2160" w:hanging="360"/>
      </w:pPr>
    </w:lvl>
    <w:lvl w:ilvl="3" w:tplc="02281D6E">
      <w:start w:val="1"/>
      <w:numFmt w:val="bullet"/>
      <w:lvlText w:val="●"/>
      <w:lvlJc w:val="left"/>
      <w:pPr>
        <w:ind w:left="2880" w:hanging="360"/>
      </w:pPr>
    </w:lvl>
    <w:lvl w:ilvl="4" w:tplc="66D6AA06">
      <w:start w:val="1"/>
      <w:numFmt w:val="bullet"/>
      <w:lvlText w:val="○"/>
      <w:lvlJc w:val="left"/>
      <w:pPr>
        <w:ind w:left="3600" w:hanging="360"/>
      </w:pPr>
    </w:lvl>
    <w:lvl w:ilvl="5" w:tplc="15C4676A">
      <w:start w:val="1"/>
      <w:numFmt w:val="bullet"/>
      <w:lvlText w:val="■"/>
      <w:lvlJc w:val="left"/>
      <w:pPr>
        <w:ind w:left="4320" w:hanging="360"/>
      </w:pPr>
    </w:lvl>
    <w:lvl w:ilvl="6" w:tplc="A9268944">
      <w:start w:val="1"/>
      <w:numFmt w:val="bullet"/>
      <w:lvlText w:val="●"/>
      <w:lvlJc w:val="left"/>
      <w:pPr>
        <w:ind w:left="5040" w:hanging="360"/>
      </w:pPr>
    </w:lvl>
    <w:lvl w:ilvl="7" w:tplc="59A46504">
      <w:start w:val="1"/>
      <w:numFmt w:val="bullet"/>
      <w:lvlText w:val="●"/>
      <w:lvlJc w:val="left"/>
      <w:pPr>
        <w:ind w:left="5760" w:hanging="360"/>
      </w:pPr>
    </w:lvl>
    <w:lvl w:ilvl="8" w:tplc="D62ABFF0">
      <w:start w:val="1"/>
      <w:numFmt w:val="bullet"/>
      <w:lvlText w:val="●"/>
      <w:lvlJc w:val="left"/>
      <w:pPr>
        <w:ind w:left="6480" w:hanging="360"/>
      </w:pPr>
    </w:lvl>
  </w:abstractNum>
  <w:num w:numId="1" w16cid:durableId="469636105">
    <w:abstractNumId w:val="1"/>
    <w:lvlOverride w:ilvl="0">
      <w:startOverride w:val="1"/>
    </w:lvlOverride>
  </w:num>
  <w:num w:numId="2" w16cid:durableId="1594389239">
    <w:abstractNumId w:val="0"/>
    <w:lvlOverride w:ilvl="0">
      <w:startOverride w:val="1"/>
    </w:lvlOverride>
  </w:num>
  <w:abstractNum w:abstractNumId="2">
    <w:multiLevelType w:val="multilevel"/>
    <w:lvl w:ilvl="0">
      <w:start w:val="1"/>
      <w:numFmt w:val="bullet"/>
      <w:lvlText w:val="•"/>
      <w:lvlJc w:val="left"/>
      <w:pPr>
        <w:ind w:left="360" w:hanging="220"/>
      </w:pPr>
    </w:lvl>
    <w:lvl w:ilvl="1">
      <w:start w:val="1"/>
      <w:numFmt w:val="bullet"/>
      <w:lvlText w:val="–"/>
      <w:lvlJc w:val="left"/>
      <w:pPr>
        <w:ind w:left="720" w:hanging="220"/>
      </w:pPr>
    </w:lvl>
    <w:lvl w:ilvl="2">
      <w:start w:val="1"/>
      <w:numFmt w:val="bullet"/>
      <w:lvlText w:val="–"/>
      <w:lvlJc w:val="left"/>
      <w:pPr>
        <w:ind w:left="1080" w:hanging="220"/>
      </w:pPr>
    </w:lvl>
  </w:abstractNum>
  <w:num w:numId="3">
    <w:abstractNumId w:val="2"/>
  </w:num>
  <w:abstractNum w:abstractNumId="3">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4">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uthor-Dat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s>
  <w:rsids>
    <w:rsidRoot w:val="00584615"/>
    <w:rsid w:val="00584615"/>
    <w:rsid w:val="007357E4"/>
    <w:rsid w:val="00F264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FD8F3A3"/>
  <w15:docId w15:val="{161943B8-DA62-2840-B9E3-92DB815AC9E2}"/>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3D09"/>
    <w:rPr>
      <w:sz w:val="20"/>
      <w:szCs w:val="20"/>
    </w:rPr>
  </w:style>
  <w:style w:type="paragraph" w:styleId="Heading1">
    <w:name w:val="heading 1"/>
    <w:basedOn w:val="Normal"/>
    <w:next w:val="Normal"/>
    <w:link w:val="Heading1Char"/>
    <w:uiPriority w:val="9"/>
    <w:qFormat/>
    <w:rsid w:val="00073D09"/>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073D09"/>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sz w:val="22"/>
      <w:szCs w:val="22"/>
    </w:rPr>
  </w:style>
  <w:style w:type="paragraph" w:styleId="Heading3">
    <w:name w:val="heading 3"/>
    <w:basedOn w:val="Normal"/>
    <w:next w:val="Normal"/>
    <w:link w:val="Heading3Char"/>
    <w:uiPriority w:val="9"/>
    <w:unhideWhenUsed/>
    <w:qFormat/>
    <w:rsid w:val="00073D09"/>
    <w:pPr>
      <w:pBdr>
        <w:top w:val="single" w:sz="6" w:space="2" w:color="156082" w:themeColor="accent1"/>
        <w:left w:val="single" w:sz="6" w:space="2" w:color="156082" w:themeColor="accent1"/>
      </w:pBdr>
      <w:spacing w:before="300" w:after="0"/>
      <w:outlineLvl w:val="2"/>
    </w:pPr>
    <w:rPr>
      <w:caps/>
      <w:color w:val="0A2F40" w:themeColor="accent1" w:themeShade="7F"/>
      <w:spacing w:val="15"/>
      <w:sz w:val="22"/>
      <w:szCs w:val="22"/>
    </w:rPr>
  </w:style>
  <w:style w:type="paragraph" w:styleId="Heading4">
    <w:name w:val="heading 4"/>
    <w:basedOn w:val="Normal"/>
    <w:next w:val="Normal"/>
    <w:link w:val="Heading4Char"/>
    <w:uiPriority w:val="9"/>
    <w:semiHidden/>
    <w:unhideWhenUsed/>
    <w:qFormat/>
    <w:rsid w:val="00073D09"/>
    <w:pPr>
      <w:pBdr>
        <w:top w:val="dotted" w:sz="6" w:space="2" w:color="156082" w:themeColor="accent1"/>
        <w:left w:val="dotted" w:sz="6" w:space="2" w:color="156082" w:themeColor="accent1"/>
      </w:pBdr>
      <w:spacing w:before="300" w:after="0"/>
      <w:outlineLvl w:val="3"/>
    </w:pPr>
    <w:rPr>
      <w:caps/>
      <w:color w:val="0F4761" w:themeColor="accent1" w:themeShade="BF"/>
      <w:spacing w:val="10"/>
      <w:sz w:val="22"/>
      <w:szCs w:val="22"/>
    </w:rPr>
  </w:style>
  <w:style w:type="paragraph" w:styleId="Heading5">
    <w:name w:val="heading 5"/>
    <w:basedOn w:val="Normal"/>
    <w:next w:val="Normal"/>
    <w:link w:val="Heading5Char"/>
    <w:uiPriority w:val="9"/>
    <w:semiHidden/>
    <w:unhideWhenUsed/>
    <w:qFormat/>
    <w:rsid w:val="00073D09"/>
    <w:pPr>
      <w:pBdr>
        <w:bottom w:val="single" w:sz="6" w:space="1" w:color="156082" w:themeColor="accent1"/>
      </w:pBdr>
      <w:spacing w:before="300" w:after="0"/>
      <w:outlineLvl w:val="4"/>
    </w:pPr>
    <w:rPr>
      <w:caps/>
      <w:color w:val="0F4761" w:themeColor="accent1" w:themeShade="BF"/>
      <w:spacing w:val="10"/>
      <w:sz w:val="22"/>
      <w:szCs w:val="22"/>
    </w:rPr>
  </w:style>
  <w:style w:type="paragraph" w:styleId="Heading6">
    <w:name w:val="heading 6"/>
    <w:basedOn w:val="Normal"/>
    <w:next w:val="Normal"/>
    <w:link w:val="Heading6Char"/>
    <w:uiPriority w:val="9"/>
    <w:semiHidden/>
    <w:unhideWhenUsed/>
    <w:qFormat/>
    <w:rsid w:val="00073D09"/>
    <w:pPr>
      <w:pBdr>
        <w:bottom w:val="dotted" w:sz="6" w:space="1" w:color="156082" w:themeColor="accent1"/>
      </w:pBdr>
      <w:spacing w:before="300" w:after="0"/>
      <w:outlineLvl w:val="5"/>
    </w:pPr>
    <w:rPr>
      <w:caps/>
      <w:color w:val="0F4761" w:themeColor="accent1" w:themeShade="BF"/>
      <w:spacing w:val="10"/>
      <w:sz w:val="22"/>
      <w:szCs w:val="22"/>
    </w:rPr>
  </w:style>
  <w:style w:type="paragraph" w:styleId="Heading7">
    <w:name w:val="heading 7"/>
    <w:basedOn w:val="Normal"/>
    <w:next w:val="Normal"/>
    <w:link w:val="Heading7Char"/>
    <w:uiPriority w:val="9"/>
    <w:semiHidden/>
    <w:unhideWhenUsed/>
    <w:qFormat/>
    <w:rsid w:val="00073D09"/>
    <w:pPr>
      <w:spacing w:before="300" w:after="0"/>
      <w:outlineLvl w:val="6"/>
    </w:pPr>
    <w:rPr>
      <w:caps/>
      <w:color w:val="0F4761" w:themeColor="accent1" w:themeShade="BF"/>
      <w:spacing w:val="10"/>
      <w:sz w:val="22"/>
      <w:szCs w:val="22"/>
    </w:rPr>
  </w:style>
  <w:style w:type="paragraph" w:styleId="Heading8">
    <w:name w:val="heading 8"/>
    <w:basedOn w:val="Normal"/>
    <w:next w:val="Normal"/>
    <w:link w:val="Heading8Char"/>
    <w:uiPriority w:val="9"/>
    <w:semiHidden/>
    <w:unhideWhenUsed/>
    <w:qFormat/>
    <w:rsid w:val="00073D09"/>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073D09"/>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73D09"/>
    <w:pPr>
      <w:spacing w:before="720"/>
    </w:pPr>
    <w:rPr>
      <w:caps/>
      <w:color w:val="156082" w:themeColor="accent1"/>
      <w:spacing w:val="10"/>
      <w:kern w:val="28"/>
      <w:sz w:val="52"/>
      <w:szCs w:val="52"/>
    </w:rPr>
  </w:style>
  <w:style w:type="paragraph" w:customStyle="1" w:styleId="Strong1">
    <w:name w:val="Strong1"/>
    <w:basedOn w:val="Normal"/>
    <w:next w:val="Normal"/>
    <w:rPr>
      <w:b/>
      <w:bCs/>
    </w:rPr>
  </w:style>
  <w:style w:type="paragraph" w:styleId="ListParagraph">
    <w:name w:val="List Paragraph"/>
    <w:basedOn w:val="Normal"/>
    <w:uiPriority w:val="34"/>
    <w:qFormat/>
    <w:rsid w:val="00073D09"/>
    <w:pPr>
      <w:ind w:left="720"/>
      <w:contextualSpacing/>
    </w:pPr>
  </w:style>
  <w:style w:type="character" w:styleId="Hyperlink">
    <w:name w:val="Hyperlink"/>
    <w:uiPriority w:val="99"/>
    <w:unhideWhenUsed/>
    <w:qFormat/>
    <w:rPr>
      <w:b w:val="0"/>
      <w:bCs w:val="0"/>
      <w:color w:val="0000FF"/>
      <w:sz w:val="24"/>
      <w:szCs w:val="24"/>
      <w:u w:val="single" w:color="0000FF"/>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style>
  <w:style w:type="character" w:customStyle="1" w:styleId="FootnoteTextChar">
    <w:name w:val="Footnote Text Char"/>
    <w:link w:val="FootnoteText"/>
    <w:uiPriority w:val="99"/>
    <w:semiHidden/>
    <w:unhideWhenUsed/>
    <w:rPr>
      <w:sz w:val="20"/>
      <w:szCs w:val="20"/>
    </w:rPr>
  </w:style>
  <w:style w:type="character" w:customStyle="1" w:styleId="Heading1Char">
    <w:name w:val="Heading 1 Char"/>
    <w:basedOn w:val="DefaultParagraphFont"/>
    <w:link w:val="Heading1"/>
    <w:uiPriority w:val="9"/>
    <w:rsid w:val="00073D09"/>
    <w:rPr>
      <w:b/>
      <w:bCs/>
      <w:caps/>
      <w:color w:val="FFFFFF" w:themeColor="background1"/>
      <w:spacing w:val="15"/>
      <w:shd w:val="clear" w:color="auto" w:fill="156082" w:themeFill="accent1"/>
    </w:rPr>
  </w:style>
  <w:style w:type="character" w:customStyle="1" w:styleId="Heading2Char">
    <w:name w:val="Heading 2 Char"/>
    <w:basedOn w:val="DefaultParagraphFont"/>
    <w:link w:val="Heading2"/>
    <w:uiPriority w:val="9"/>
    <w:rsid w:val="00073D09"/>
    <w:rPr>
      <w:caps/>
      <w:spacing w:val="15"/>
      <w:shd w:val="clear" w:color="auto" w:fill="C1E4F5" w:themeFill="accent1" w:themeFillTint="33"/>
    </w:rPr>
  </w:style>
  <w:style w:type="character" w:customStyle="1" w:styleId="Heading3Char">
    <w:name w:val="Heading 3 Char"/>
    <w:basedOn w:val="DefaultParagraphFont"/>
    <w:link w:val="Heading3"/>
    <w:uiPriority w:val="9"/>
    <w:rsid w:val="00073D09"/>
    <w:rPr>
      <w:caps/>
      <w:color w:val="0A2F40" w:themeColor="accent1" w:themeShade="7F"/>
      <w:spacing w:val="15"/>
    </w:rPr>
  </w:style>
  <w:style w:type="character" w:customStyle="1" w:styleId="Heading4Char">
    <w:name w:val="Heading 4 Char"/>
    <w:basedOn w:val="DefaultParagraphFont"/>
    <w:link w:val="Heading4"/>
    <w:uiPriority w:val="9"/>
    <w:semiHidden/>
    <w:rsid w:val="00073D09"/>
    <w:rPr>
      <w:caps/>
      <w:color w:val="0F4761" w:themeColor="accent1" w:themeShade="BF"/>
      <w:spacing w:val="10"/>
    </w:rPr>
  </w:style>
  <w:style w:type="character" w:customStyle="1" w:styleId="Heading5Char">
    <w:name w:val="Heading 5 Char"/>
    <w:basedOn w:val="DefaultParagraphFont"/>
    <w:link w:val="Heading5"/>
    <w:uiPriority w:val="9"/>
    <w:semiHidden/>
    <w:rsid w:val="00073D09"/>
    <w:rPr>
      <w:caps/>
      <w:color w:val="0F4761" w:themeColor="accent1" w:themeShade="BF"/>
      <w:spacing w:val="10"/>
    </w:rPr>
  </w:style>
  <w:style w:type="character" w:customStyle="1" w:styleId="Heading6Char">
    <w:name w:val="Heading 6 Char"/>
    <w:basedOn w:val="DefaultParagraphFont"/>
    <w:link w:val="Heading6"/>
    <w:uiPriority w:val="9"/>
    <w:semiHidden/>
    <w:rsid w:val="00073D09"/>
    <w:rPr>
      <w:caps/>
      <w:color w:val="0F4761" w:themeColor="accent1" w:themeShade="BF"/>
      <w:spacing w:val="10"/>
    </w:rPr>
  </w:style>
  <w:style w:type="character" w:customStyle="1" w:styleId="Heading7Char">
    <w:name w:val="Heading 7 Char"/>
    <w:basedOn w:val="DefaultParagraphFont"/>
    <w:link w:val="Heading7"/>
    <w:uiPriority w:val="9"/>
    <w:semiHidden/>
    <w:rsid w:val="00073D09"/>
    <w:rPr>
      <w:caps/>
      <w:color w:val="0F4761" w:themeColor="accent1" w:themeShade="BF"/>
      <w:spacing w:val="10"/>
    </w:rPr>
  </w:style>
  <w:style w:type="character" w:customStyle="1" w:styleId="Heading8Char">
    <w:name w:val="Heading 8 Char"/>
    <w:basedOn w:val="DefaultParagraphFont"/>
    <w:link w:val="Heading8"/>
    <w:uiPriority w:val="9"/>
    <w:semiHidden/>
    <w:rsid w:val="00073D09"/>
    <w:rPr>
      <w:caps/>
      <w:spacing w:val="10"/>
      <w:sz w:val="18"/>
      <w:szCs w:val="18"/>
    </w:rPr>
  </w:style>
  <w:style w:type="character" w:customStyle="1" w:styleId="Heading9Char">
    <w:name w:val="Heading 9 Char"/>
    <w:basedOn w:val="DefaultParagraphFont"/>
    <w:link w:val="Heading9"/>
    <w:uiPriority w:val="9"/>
    <w:semiHidden/>
    <w:rsid w:val="00073D09"/>
    <w:rPr>
      <w:i/>
      <w:caps/>
      <w:spacing w:val="10"/>
      <w:sz w:val="18"/>
      <w:szCs w:val="18"/>
    </w:rPr>
  </w:style>
  <w:style w:type="paragraph" w:styleId="Caption">
    <w:name w:val="caption"/>
    <w:basedOn w:val="Normal"/>
    <w:next w:val="Normal"/>
    <w:uiPriority w:val="35"/>
    <w:semiHidden/>
    <w:unhideWhenUsed/>
    <w:qFormat/>
    <w:rsid w:val="00073D09"/>
    <w:rPr>
      <w:b/>
      <w:bCs/>
      <w:color w:val="0F4761" w:themeColor="accent1" w:themeShade="BF"/>
      <w:sz w:val="16"/>
      <w:szCs w:val="16"/>
    </w:rPr>
  </w:style>
  <w:style w:type="character" w:customStyle="1" w:styleId="TitleChar">
    <w:name w:val="Title Char"/>
    <w:basedOn w:val="DefaultParagraphFont"/>
    <w:link w:val="Title"/>
    <w:uiPriority w:val="10"/>
    <w:rsid w:val="00073D09"/>
    <w:rPr>
      <w:caps/>
      <w:color w:val="156082" w:themeColor="accent1"/>
      <w:spacing w:val="10"/>
      <w:kern w:val="28"/>
      <w:sz w:val="52"/>
      <w:szCs w:val="52"/>
    </w:rPr>
  </w:style>
  <w:style w:type="paragraph" w:styleId="Subtitle">
    <w:name w:val="Subtitle"/>
    <w:basedOn w:val="Normal"/>
    <w:next w:val="Normal"/>
    <w:link w:val="SubtitleChar"/>
    <w:uiPriority w:val="11"/>
    <w:qFormat/>
    <w:rsid w:val="00073D09"/>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073D09"/>
    <w:rPr>
      <w:caps/>
      <w:color w:val="595959" w:themeColor="text1" w:themeTint="A6"/>
      <w:spacing w:val="10"/>
      <w:sz w:val="24"/>
      <w:szCs w:val="24"/>
    </w:rPr>
  </w:style>
  <w:style w:type="character" w:styleId="Strong">
    <w:name w:val="Strong"/>
    <w:uiPriority w:val="22"/>
    <w:qFormat/>
    <w:rsid w:val="00073D09"/>
    <w:rPr>
      <w:b/>
      <w:bCs/>
    </w:rPr>
  </w:style>
  <w:style w:type="character" w:styleId="Emphasis">
    <w:name w:val="Emphasis"/>
    <w:uiPriority w:val="20"/>
    <w:qFormat/>
    <w:rsid w:val="00073D09"/>
    <w:rPr>
      <w:caps/>
      <w:color w:val="0A2F40" w:themeColor="accent1" w:themeShade="7F"/>
      <w:spacing w:val="5"/>
    </w:rPr>
  </w:style>
  <w:style w:type="paragraph" w:styleId="NoSpacing">
    <w:name w:val="No Spacing"/>
    <w:basedOn w:val="Normal"/>
    <w:link w:val="NoSpacingChar"/>
    <w:uiPriority w:val="1"/>
    <w:qFormat/>
    <w:rsid w:val="00073D09"/>
    <w:pPr>
      <w:spacing w:before="0" w:after="0" w:line="240" w:lineRule="auto"/>
    </w:pPr>
  </w:style>
  <w:style w:type="character" w:customStyle="1" w:styleId="NoSpacingChar">
    <w:name w:val="No Spacing Char"/>
    <w:basedOn w:val="DefaultParagraphFont"/>
    <w:link w:val="NoSpacing"/>
    <w:uiPriority w:val="1"/>
    <w:rsid w:val="00073D09"/>
    <w:rPr>
      <w:sz w:val="20"/>
      <w:szCs w:val="20"/>
    </w:rPr>
  </w:style>
  <w:style w:type="paragraph" w:styleId="Quote">
    <w:name w:val="Quote"/>
    <w:basedOn w:val="Normal"/>
    <w:next w:val="Normal"/>
    <w:link w:val="QuoteChar"/>
    <w:uiPriority w:val="29"/>
    <w:qFormat/>
    <w:rsid w:val="00073D09"/>
    <w:rPr>
      <w:i/>
      <w:iCs/>
    </w:rPr>
  </w:style>
  <w:style w:type="character" w:customStyle="1" w:styleId="QuoteChar">
    <w:name w:val="Quote Char"/>
    <w:basedOn w:val="DefaultParagraphFont"/>
    <w:link w:val="Quote"/>
    <w:uiPriority w:val="29"/>
    <w:rsid w:val="00073D09"/>
    <w:rPr>
      <w:i/>
      <w:iCs/>
      <w:sz w:val="20"/>
      <w:szCs w:val="20"/>
    </w:rPr>
  </w:style>
  <w:style w:type="paragraph" w:styleId="IntenseQuote">
    <w:name w:val="Intense Quote"/>
    <w:basedOn w:val="Normal"/>
    <w:next w:val="Normal"/>
    <w:link w:val="IntenseQuoteChar"/>
    <w:uiPriority w:val="30"/>
    <w:qFormat/>
    <w:rsid w:val="00073D09"/>
    <w:pPr>
      <w:pBdr>
        <w:top w:val="single" w:sz="4" w:space="10" w:color="156082" w:themeColor="accent1"/>
        <w:left w:val="single" w:sz="4" w:space="10" w:color="156082" w:themeColor="accent1"/>
      </w:pBdr>
      <w:spacing w:after="0"/>
      <w:ind w:left="1296" w:right="1152"/>
      <w:jc w:val="both"/>
    </w:pPr>
    <w:rPr>
      <w:i/>
      <w:iCs/>
      <w:color w:val="156082" w:themeColor="accent1"/>
    </w:rPr>
  </w:style>
  <w:style w:type="character" w:customStyle="1" w:styleId="IntenseQuoteChar">
    <w:name w:val="Intense Quote Char"/>
    <w:basedOn w:val="DefaultParagraphFont"/>
    <w:link w:val="IntenseQuote"/>
    <w:uiPriority w:val="30"/>
    <w:rsid w:val="00073D09"/>
    <w:rPr>
      <w:i/>
      <w:iCs/>
      <w:color w:val="156082" w:themeColor="accent1"/>
      <w:sz w:val="20"/>
      <w:szCs w:val="20"/>
    </w:rPr>
  </w:style>
  <w:style w:type="character" w:styleId="SubtleEmphasis">
    <w:name w:val="Subtle Emphasis"/>
    <w:uiPriority w:val="19"/>
    <w:qFormat/>
    <w:rsid w:val="00073D09"/>
    <w:rPr>
      <w:i/>
      <w:iCs/>
      <w:color w:val="0A2F40" w:themeColor="accent1" w:themeShade="7F"/>
    </w:rPr>
  </w:style>
  <w:style w:type="character" w:styleId="IntenseEmphasis">
    <w:name w:val="Intense Emphasis"/>
    <w:uiPriority w:val="21"/>
    <w:qFormat/>
    <w:rsid w:val="00073D09"/>
    <w:rPr>
      <w:b/>
      <w:bCs/>
      <w:caps/>
      <w:color w:val="0A2F40" w:themeColor="accent1" w:themeShade="7F"/>
      <w:spacing w:val="10"/>
    </w:rPr>
  </w:style>
  <w:style w:type="character" w:styleId="SubtleReference">
    <w:name w:val="Subtle Reference"/>
    <w:uiPriority w:val="31"/>
    <w:qFormat/>
    <w:rsid w:val="00073D09"/>
    <w:rPr>
      <w:b/>
      <w:bCs/>
      <w:color w:val="156082" w:themeColor="accent1"/>
    </w:rPr>
  </w:style>
  <w:style w:type="character" w:styleId="IntenseReference">
    <w:name w:val="Intense Reference"/>
    <w:uiPriority w:val="32"/>
    <w:qFormat/>
    <w:rsid w:val="00073D09"/>
    <w:rPr>
      <w:b/>
      <w:bCs/>
      <w:i/>
      <w:iCs/>
      <w:caps/>
      <w:color w:val="156082" w:themeColor="accent1"/>
    </w:rPr>
  </w:style>
  <w:style w:type="character" w:styleId="BookTitle">
    <w:name w:val="Book Title"/>
    <w:uiPriority w:val="33"/>
    <w:qFormat/>
    <w:rsid w:val="00073D09"/>
    <w:rPr>
      <w:b/>
      <w:bCs/>
      <w:i/>
      <w:iCs/>
      <w:spacing w:val="9"/>
    </w:rPr>
  </w:style>
  <w:style w:type="paragraph" w:styleId="TOCHeading">
    <w:name w:val="TOC Heading"/>
    <w:basedOn w:val="Heading1"/>
    <w:next w:val="Normal"/>
    <w:uiPriority w:val="39"/>
    <w:semiHidden/>
    <w:unhideWhenUsed/>
    <w:qFormat/>
    <w:rsid w:val="00073D09"/>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eetings.asco.org/abstracts-presentations/262594" TargetMode="External"/><Relationship Id="rId4" Type="http://schemas.openxmlformats.org/officeDocument/2006/relationships/webSettings" Target="webSettings.xml"/><Relationship Id="rId8" Type="http://schemas.openxmlformats.org/officeDocument/2006/relationships/hyperlink" Target="https://doi.org/10.1097/HEP.0000000000001644" TargetMode="External"/><Relationship Id="rId9" Type="http://schemas.openxmlformats.org/officeDocument/2006/relationships/hyperlink" Target="https://libkey.io/libraries/480/10.1097/HEP.0000000000001644" TargetMode="External"/><Relationship Id="rId10" Type="http://schemas.openxmlformats.org/officeDocument/2006/relationships/hyperlink" Target="https://doi.org/10.1200/CCI.23.00111" TargetMode="External"/><Relationship Id="rId11" Type="http://schemas.openxmlformats.org/officeDocument/2006/relationships/hyperlink" Target="https://libkey.io/libraries/480/10.1200/CCI.23.00111" TargetMode="External"/><Relationship Id="rId12" Type="http://schemas.openxmlformats.org/officeDocument/2006/relationships/hyperlink" Target="https://doi.org/10.1111/j.1600-6143.2011.03972.x" TargetMode="External"/><Relationship Id="rId13" Type="http://schemas.openxmlformats.org/officeDocument/2006/relationships/hyperlink" Target="https://libkey.io/libraries/480/10.1111/j.1600-6143.2011.03972.x" TargetMode="External"/><Relationship Id="rId14" Type="http://schemas.openxmlformats.org/officeDocument/2006/relationships/hyperlink" Target="https://doi.org/10.1111/ajt.14055" TargetMode="External"/><Relationship Id="rId15" Type="http://schemas.openxmlformats.org/officeDocument/2006/relationships/hyperlink" Target="https://libkey.io/libraries/480/10.1111/ajt.14055" TargetMode="External"/><Relationship Id="rId16" Type="http://schemas.openxmlformats.org/officeDocument/2006/relationships/hyperlink" Target="https://doi.org/10.1097/LVT.0000000000000303" TargetMode="External"/><Relationship Id="rId17" Type="http://schemas.openxmlformats.org/officeDocument/2006/relationships/hyperlink" Target="https://libkey.io/libraries/480/10.1097/LVT.0000000000000303" TargetMode="External"/><Relationship Id="rId18" Type="http://schemas.openxmlformats.org/officeDocument/2006/relationships/hyperlink" Target="https://doi.org/10.1001/jamasurg.2025.3600" TargetMode="External"/><Relationship Id="rId19" Type="http://schemas.openxmlformats.org/officeDocument/2006/relationships/hyperlink" Target="https://libkey.io/libraries/480/10.1001/jamasurg.2025.3600" TargetMode="External"/><Relationship Id="rId20" Type="http://schemas.openxmlformats.org/officeDocument/2006/relationships/hyperlink" Target="https://doi.org/10.1007/s12149-022-01796-8" TargetMode="External"/><Relationship Id="rId21" Type="http://schemas.openxmlformats.org/officeDocument/2006/relationships/hyperlink" Target="https://libkey.io/libraries/480/10.1007/s12149-022-01796-8" TargetMode="External"/><Relationship Id="rId22" Type="http://schemas.openxmlformats.org/officeDocument/2006/relationships/hyperlink" Target="https://doi.org/10.1016/j.hpb.2018.02.377" TargetMode="External"/><Relationship Id="rId23" Type="http://schemas.openxmlformats.org/officeDocument/2006/relationships/hyperlink" Target="https://libkey.io/libraries/480/10.1016/j.hpb.2018.02.377" TargetMode="External"/><Relationship Id="rId24" Type="http://schemas.openxmlformats.org/officeDocument/2006/relationships/hyperlink" Target="https://doi.org/10.1097/LVT.0000000000000535" TargetMode="External"/><Relationship Id="rId25" Type="http://schemas.openxmlformats.org/officeDocument/2006/relationships/hyperlink" Target="https://libkey.io/libraries/480/10.1097/LVT.0000000000000535" TargetMode="External"/><Relationship Id="rId26" Type="http://schemas.openxmlformats.org/officeDocument/2006/relationships/hyperlink" Target="https://doi.org/10.1097/SLA.0000000000003404" TargetMode="External"/><Relationship Id="rId27" Type="http://schemas.openxmlformats.org/officeDocument/2006/relationships/hyperlink" Target="https://libkey.io/libraries/480/10.1097/SLA.0000000000003404" TargetMode="External"/><Relationship Id="rId28" Type="http://schemas.openxmlformats.org/officeDocument/2006/relationships/hyperlink" Target="https://doi.org/10.1097/SLA.0000000000007200" TargetMode="External"/><Relationship Id="rId29" Type="http://schemas.openxmlformats.org/officeDocument/2006/relationships/hyperlink" Target="https://libkey.io/libraries/480/10.1097/sla.0000000000007200" TargetMode="External"/><Relationship Id="rId30" Type="http://schemas.openxmlformats.org/officeDocument/2006/relationships/hyperlink" Target="https://jamanetwork.com/journals/jamasurgery/fullarticle/10.1001/jamasurg.2023.6083?utm_source=openevidence&amp;utm_medium=referral" TargetMode="External"/><Relationship Id="rId31" Type="http://schemas.openxmlformats.org/officeDocument/2006/relationships/hyperlink" Target="https://libkey.io/libraries/480/10.1001/jamasurg.2023.6083" TargetMode="External"/><Relationship Id="rId32" Type="http://schemas.openxmlformats.org/officeDocument/2006/relationships/hyperlink" Target="https://pubmed.ncbi.nlm.nih.gov/39834127" TargetMode="External"/><Relationship Id="rId33" Type="http://schemas.openxmlformats.org/officeDocument/2006/relationships/hyperlink" Target="https://libkey.io/libraries/480/10.1093/oncolo/oyae367" TargetMode="External"/><Relationship Id="rId34" Type="http://schemas.openxmlformats.org/officeDocument/2006/relationships/hyperlink" Target="https://pubmed.ncbi.nlm.nih.gov/38721015" TargetMode="External"/><Relationship Id="rId35" Type="http://schemas.openxmlformats.org/officeDocument/2006/relationships/hyperlink" Target="https://libkey.io/libraries/480/10.1016/j.eclinm.2024.102608" TargetMode="External"/><Relationship Id="rId36" Type="http://schemas.openxmlformats.org/officeDocument/2006/relationships/hyperlink" Target="https://doi.org/10.1097/lvt.0000000000000715" TargetMode="External"/><Relationship Id="rId37" Type="http://schemas.openxmlformats.org/officeDocument/2006/relationships/hyperlink" Target="https://libkey.io/libraries/480/10.1097/lvt.0000000000000715" TargetMode="External"/><Relationship Id="rId38" Type="http://schemas.openxmlformats.org/officeDocument/2006/relationships/hyperlink" Target="https://doi.org/10.1097/LVT.0000000000000417" TargetMode="External"/><Relationship Id="rId39" Type="http://schemas.openxmlformats.org/officeDocument/2006/relationships/hyperlink" Target="https://libkey.io/libraries/480/10.1097/LVT.0000000000000417" TargetMode="External"/><Relationship Id="rId40" Type="http://schemas.openxmlformats.org/officeDocument/2006/relationships/hyperlink" Target="https://drliuhao.github.io/mh-liver-pathways/evidence/2026-10-25/" TargetMode="External"/><Relationship Id="rId41" Type="http://schemas.openxmlformats.org/officeDocument/2006/relationships/hyperlink" Target="https://drliuhao.github.io/mh-liver-pathways/evidence/2026-10-25/" TargetMode="External"/><Relationship Id="rId42" Type="http://schemas.openxmlformats.org/officeDocument/2006/relationships/hyperlink" Target="https://drliuhao.github.io/mh-liver-pathways/evidence/2026-10-25/" TargetMode="External"/><Relationship Id="rId43" Type="http://schemas.openxmlformats.org/officeDocument/2006/relationships/hyperlink" Target="https://www.hrsa.gov/sites/default/files/hrsa/optn/optn_policies.pdf" TargetMode="External"/><Relationship Id="rId44" Type="http://schemas.openxmlformats.org/officeDocument/2006/relationships/hyperlink" Target="https://drliuhao.github.io/mh-liver-pathways/evidence/2026-10-25/" TargetMode="External"/><Relationship Id="rId45" Type="http://schemas.openxmlformats.org/officeDocument/2006/relationships/hyperlink" Target="https://www.hrsa.gov/sites/default/files/hrsa/optn/adult-meld-exception-transplant-oncology-review-guidance.pdf" TargetMode="External"/><Relationship Id="rId46" Type="http://schemas.openxmlformats.org/officeDocument/2006/relationships/hyperlink" Target="https://drliuhao.github.io/mh-liver-pathways/evidence/2026-10-25/" TargetMode="External"/><Relationship Id="rId47" Type="http://schemas.openxmlformats.org/officeDocument/2006/relationships/hyperlink" Target="https://doi.org/10.1016/S0140-6736(24)01595-2" TargetMode="External"/><Relationship Id="rId48" Type="http://schemas.openxmlformats.org/officeDocument/2006/relationships/hyperlink" Target="https://libkey.io/libraries/480/10.1016/S0140-6736(24)01595-2" TargetMode="External"/><Relationship Id="rId49" Type="http://schemas.openxmlformats.org/officeDocument/2006/relationships/hyperlink" Target="https://doi.org/10.1097/SLA.0000000000003404" TargetMode="External"/><Relationship Id="rId50" Type="http://schemas.openxmlformats.org/officeDocument/2006/relationships/hyperlink" Target="https://libkey.io/libraries/480/10.1097/SLA.0000000000003404" TargetMode="External"/><Relationship Id="rId51" Type="http://schemas.openxmlformats.org/officeDocument/2006/relationships/hyperlink" Target="https://jamanetwork.com/journals/jamasurgery/fullarticle/10.1001/jamasurg.2023.6083?utm_source=openevidence&amp;utm_medium=referral" TargetMode="External"/><Relationship Id="rId52" Type="http://schemas.openxmlformats.org/officeDocument/2006/relationships/hyperlink" Target="https://libkey.io/libraries/480/10.1001/jamasurg.2023.6083" TargetMode="External"/><Relationship Id="rId53" Type="http://schemas.openxmlformats.org/officeDocument/2006/relationships/hyperlink" Target="https://doi.org/10.1097/HEP.0000000000001644" TargetMode="External"/><Relationship Id="rId54" Type="http://schemas.openxmlformats.org/officeDocument/2006/relationships/hyperlink" Target="https://libkey.io/libraries/480/10.1097/HEP.0000000000001644" TargetMode="External"/><Relationship Id="rId55" Type="http://schemas.openxmlformats.org/officeDocument/2006/relationships/hyperlink" Target="https://pubmed.ncbi.nlm.nih.gov/39834127" TargetMode="External"/><Relationship Id="rId56" Type="http://schemas.openxmlformats.org/officeDocument/2006/relationships/hyperlink" Target="https://libkey.io/libraries/480/10.1093/oncolo/oyae367" TargetMode="External"/><Relationship Id="rId57" Type="http://schemas.openxmlformats.org/officeDocument/2006/relationships/hyperlink" Target="https://doi.org/10.1001/jamasurg.2025.3600" TargetMode="External"/><Relationship Id="rId58" Type="http://schemas.openxmlformats.org/officeDocument/2006/relationships/hyperlink" Target="https://libkey.io/libraries/480/10.1001/jamasurg.2025.3600" TargetMode="External"/><Relationship Id="rId59" Type="http://schemas.openxmlformats.org/officeDocument/2006/relationships/hyperlink" Target="https://doi.org/10.1016/j.hpb.2018.02.377" TargetMode="External"/><Relationship Id="rId60" Type="http://schemas.openxmlformats.org/officeDocument/2006/relationships/hyperlink" Target="https://libkey.io/libraries/480/10.1016/j.hpb.2018.02.377" TargetMode="External"/><Relationship Id="rId61" Type="http://schemas.openxmlformats.org/officeDocument/2006/relationships/hyperlink" Target="https://doi.org/10.1097/LVT.0000000000000417" TargetMode="External"/><Relationship Id="rId62" Type="http://schemas.openxmlformats.org/officeDocument/2006/relationships/hyperlink" Target="https://libkey.io/libraries/480/10.1097/LVT.0000000000000417" TargetMode="External"/><Relationship Id="rId63" Type="http://schemas.openxmlformats.org/officeDocument/2006/relationships/hyperlink" Target="https://doi.org/10.1097/LVT.0000000000000535" TargetMode="External"/><Relationship Id="rId64" Type="http://schemas.openxmlformats.org/officeDocument/2006/relationships/hyperlink" Target="https://libkey.io/libraries/480/10.1097/LVT.0000000000000535" TargetMode="External"/><Relationship Id="rId65" Type="http://schemas.openxmlformats.org/officeDocument/2006/relationships/hyperlink" Target="https://doi.org/10.1007/s12149-022-01796-8" TargetMode="External"/><Relationship Id="rId66" Type="http://schemas.openxmlformats.org/officeDocument/2006/relationships/hyperlink" Target="https://libkey.io/libraries/480/10.1007/s12149-022-01796-8" TargetMode="External"/><Relationship Id="rId67" Type="http://schemas.openxmlformats.org/officeDocument/2006/relationships/hyperlink" Target="https://doi.org/10.1016/S2468-1253(21)00219-3" TargetMode="External"/><Relationship Id="rId68" Type="http://schemas.openxmlformats.org/officeDocument/2006/relationships/hyperlink" Target="https://libkey.io/libraries/480/10.1016/S2468-1253(21)00219-3" TargetMode="External"/><Relationship Id="rId69" Type="http://schemas.openxmlformats.org/officeDocument/2006/relationships/hyperlink" Target="https://pubmed.ncbi.nlm.nih.gov/38721015" TargetMode="External"/><Relationship Id="rId70" Type="http://schemas.openxmlformats.org/officeDocument/2006/relationships/hyperlink" Target="https://libkey.io/libraries/480/10.1016/j.eclinm.2024.102608" TargetMode="External"/><Relationship Id="rId71" Type="http://schemas.openxmlformats.org/officeDocument/2006/relationships/hyperlink" Target="https://doi.org/10.1097/SLA.0000000000007200" TargetMode="External"/><Relationship Id="rId72" Type="http://schemas.openxmlformats.org/officeDocument/2006/relationships/hyperlink" Target="https://libkey.io/libraries/480/10.1097/sla.0000000000007200" TargetMode="External"/><Relationship Id="rId73" Type="http://schemas.openxmlformats.org/officeDocument/2006/relationships/hyperlink" Target="https://doi.org/10.1097/lvt.0000000000000715" TargetMode="External"/><Relationship Id="rId74" Type="http://schemas.openxmlformats.org/officeDocument/2006/relationships/hyperlink" Target="https://libkey.io/libraries/480/10.1097/lvt.0000000000000715" TargetMode="External"/><Relationship Id="rId75" Type="http://schemas.openxmlformats.org/officeDocument/2006/relationships/hyperlink" Target="https://dailymed.nlm.nih.gov/dailymed/drugInfo.cfm?setid=e082a024-7850-400b-a5c2-2a140612562a" TargetMode="External"/><Relationship Id="rId76" Type="http://schemas.openxmlformats.org/officeDocument/2006/relationships/hyperlink" Target="https://drliuhao.github.io/mh-liver-pathways/evidence/2026-10-25/" TargetMode="External"/><Relationship Id="rId77" Type="http://schemas.openxmlformats.org/officeDocument/2006/relationships/hyperlink" Target="https://pubmed.ncbi.nlm.nih.gov/28230639" TargetMode="External"/><Relationship Id="rId78" Type="http://schemas.openxmlformats.org/officeDocument/2006/relationships/hyperlink" Target="https://libkey.io/libraries/480/10.1097/tp.0000000000001690" TargetMode="External"/><Relationship Id="rId79" Type="http://schemas.openxmlformats.org/officeDocument/2006/relationships/hyperlink" Target="https://doi.org/10.1200/CCI.23.00111" TargetMode="External"/><Relationship Id="rId80" Type="http://schemas.openxmlformats.org/officeDocument/2006/relationships/hyperlink" Target="https://libkey.io/libraries/480/10.1200/CCI.23.00111" TargetMode="External"/><Relationship Id="rId81" Type="http://schemas.openxmlformats.org/officeDocument/2006/relationships/hyperlink" Target="https://doi.org/10.1111/j.1600-6143.2011.03972.x" TargetMode="External"/><Relationship Id="rId82" Type="http://schemas.openxmlformats.org/officeDocument/2006/relationships/hyperlink" Target="https://libkey.io/libraries/480/10.1111/j.1600-6143.2011.03972.x" TargetMode="External"/><Relationship Id="rId83" Type="http://schemas.openxmlformats.org/officeDocument/2006/relationships/hyperlink" Target="https://doi.org/10.1111/ajt.14055" TargetMode="External"/><Relationship Id="rId84" Type="http://schemas.openxmlformats.org/officeDocument/2006/relationships/hyperlink" Target="https://libkey.io/libraries/480/10.1111/ajt.14055" TargetMode="External"/><Relationship Id="rId85" Type="http://schemas.openxmlformats.org/officeDocument/2006/relationships/hyperlink" Target="https://doi.org/10.1097/LVT.0000000000000303" TargetMode="External"/><Relationship Id="rId86" Type="http://schemas.openxmlformats.org/officeDocument/2006/relationships/hyperlink" Target="https://libkey.io/libraries/480/10.1097/LVT.0000000000000303" TargetMode="External"/><Relationship Id="rId87" Type="http://schemas.openxmlformats.org/officeDocument/2006/relationships/hyperlink" Target="https://drliuhao.github.io/mh-liver-pathways/evidence/2026-10-25/docs/HPB_Cross_Tumor_Systemic_Treatment_Matrix_2026-10-25.docx" TargetMode="External"/><Relationship Id="rId88" Type="http://schemas.openxmlformats.org/officeDocument/2006/relationships/hyperlink" Target="https://doi.org/10.1038/s41467-025-67824-z" TargetMode="External"/><Relationship Id="rId89" Type="http://schemas.openxmlformats.org/officeDocument/2006/relationships/hyperlink" Target="https://libkey.io/libraries/480/10.1038/s41467-025-67824-z" TargetMode="External"/><Relationship Id="rId90" Type="http://schemas.openxmlformats.org/officeDocument/2006/relationships/hyperlink" Target="https://doi.org/10.1056/NEJMoa2214963" TargetMode="External"/><Relationship Id="rId91" Type="http://schemas.openxmlformats.org/officeDocument/2006/relationships/hyperlink" Target="https://libkey.io/libraries/480/10.1056/NEJMoa2214963" TargetMode="External"/><Relationship Id="rId92" Type="http://schemas.openxmlformats.org/officeDocument/2006/relationships/hyperlink" Target="https://doi.org/10.1016/S0140-6736(23)00772-9" TargetMode="External"/><Relationship Id="rId93" Type="http://schemas.openxmlformats.org/officeDocument/2006/relationships/hyperlink" Target="https://libkey.io/libraries/480/10.1016/S0140-6736(23)00772-9" TargetMode="External"/><Relationship Id="rId94" Type="http://schemas.openxmlformats.org/officeDocument/2006/relationships/hyperlink" Target="https://www.hrsa.gov/sites/default/files/hrsa/optn/optn_policies.pdf" TargetMode="External"/><Relationship Id="rId95" Type="http://schemas.openxmlformats.org/officeDocument/2006/relationships/hyperlink" Target="https://drliuhao.github.io/mh-liver-pathways/evidence/2026-10-25/" TargetMode="External"/><Relationship Id="rId96" Type="http://schemas.openxmlformats.org/officeDocument/2006/relationships/hyperlink" Target="https://www.hrsa.gov/sites/default/files/hrsa/optn/adult-meld-exception-transplant-oncology-review-guidance.pdf" TargetMode="External"/><Relationship Id="rId97" Type="http://schemas.openxmlformats.org/officeDocument/2006/relationships/hyperlink" Target="https://drliuhao.github.io/mh-liver-pathways/evidence/2026-10-25/" TargetMode="External"/><Relationship Id="rId98" Type="http://schemas.openxmlformats.org/officeDocument/2006/relationships/hyperlink" Target="https://doi.org/10.1016/S0140-6736(24)01595-2" TargetMode="External"/><Relationship Id="rId99" Type="http://schemas.openxmlformats.org/officeDocument/2006/relationships/hyperlink" Target="https://libkey.io/libraries/480/10.1016/S0140-6736(24)01595-2" TargetMode="External"/><Relationship Id="rId100" Type="http://schemas.openxmlformats.org/officeDocument/2006/relationships/hyperlink" Target="https://doi.org/10.1097/SLA.0000000000003404" TargetMode="External"/><Relationship Id="rId101" Type="http://schemas.openxmlformats.org/officeDocument/2006/relationships/hyperlink" Target="https://libkey.io/libraries/480/10.1097/SLA.0000000000003404" TargetMode="External"/><Relationship Id="rId102" Type="http://schemas.openxmlformats.org/officeDocument/2006/relationships/hyperlink" Target="https://jamanetwork.com/journals/jamasurgery/fullarticle/10.1001/jamasurg.2023.6083?utm_source=openevidence&amp;utm_medium=referral" TargetMode="External"/><Relationship Id="rId103" Type="http://schemas.openxmlformats.org/officeDocument/2006/relationships/hyperlink" Target="https://libkey.io/libraries/480/10.1001/jamasurg.2023.6083" TargetMode="External"/><Relationship Id="rId104" Type="http://schemas.openxmlformats.org/officeDocument/2006/relationships/hyperlink" Target="https://doi.org/10.1097/HEP.0000000000001644" TargetMode="External"/><Relationship Id="rId105" Type="http://schemas.openxmlformats.org/officeDocument/2006/relationships/hyperlink" Target="https://libkey.io/libraries/480/10.1097/HEP.0000000000001644" TargetMode="External"/><Relationship Id="rId106" Type="http://schemas.openxmlformats.org/officeDocument/2006/relationships/hyperlink" Target="https://pubmed.ncbi.nlm.nih.gov/39834127" TargetMode="External"/><Relationship Id="rId107" Type="http://schemas.openxmlformats.org/officeDocument/2006/relationships/hyperlink" Target="https://libkey.io/libraries/480/10.1093/oncolo/oyae367" TargetMode="External"/><Relationship Id="rId108" Type="http://schemas.openxmlformats.org/officeDocument/2006/relationships/hyperlink" Target="https://doi.org/10.1001/jamasurg.2025.3600" TargetMode="External"/><Relationship Id="rId109" Type="http://schemas.openxmlformats.org/officeDocument/2006/relationships/hyperlink" Target="https://libkey.io/libraries/480/10.1001/jamasurg.2025.3600" TargetMode="External"/><Relationship Id="rId110" Type="http://schemas.openxmlformats.org/officeDocument/2006/relationships/hyperlink" Target="https://doi.org/10.1016/j.hpb.2018.02.377" TargetMode="External"/><Relationship Id="rId111" Type="http://schemas.openxmlformats.org/officeDocument/2006/relationships/hyperlink" Target="https://libkey.io/libraries/480/10.1016/j.hpb.2018.02.377" TargetMode="External"/><Relationship Id="rId112" Type="http://schemas.openxmlformats.org/officeDocument/2006/relationships/hyperlink" Target="https://doi.org/10.1097/LVT.0000000000000417" TargetMode="External"/><Relationship Id="rId113" Type="http://schemas.openxmlformats.org/officeDocument/2006/relationships/hyperlink" Target="https://libkey.io/libraries/480/10.1097/LVT.0000000000000417" TargetMode="External"/><Relationship Id="rId114" Type="http://schemas.openxmlformats.org/officeDocument/2006/relationships/hyperlink" Target="https://doi.org/10.1097/LVT.0000000000000535" TargetMode="External"/><Relationship Id="rId115" Type="http://schemas.openxmlformats.org/officeDocument/2006/relationships/hyperlink" Target="https://libkey.io/libraries/480/10.1097/LVT.0000000000000535" TargetMode="External"/><Relationship Id="rId116" Type="http://schemas.openxmlformats.org/officeDocument/2006/relationships/hyperlink" Target="https://doi.org/10.1007/s12149-022-01796-8" TargetMode="External"/><Relationship Id="rId117" Type="http://schemas.openxmlformats.org/officeDocument/2006/relationships/hyperlink" Target="https://libkey.io/libraries/480/10.1007/s12149-022-01796-8" TargetMode="External"/><Relationship Id="rId118" Type="http://schemas.openxmlformats.org/officeDocument/2006/relationships/hyperlink" Target="https://doi.org/10.1016/S2468-1253(21)00219-3" TargetMode="External"/><Relationship Id="rId119" Type="http://schemas.openxmlformats.org/officeDocument/2006/relationships/hyperlink" Target="https://libkey.io/libraries/480/10.1016/S2468-1253(21)00219-3" TargetMode="External"/><Relationship Id="rId120" Type="http://schemas.openxmlformats.org/officeDocument/2006/relationships/hyperlink" Target="https://pubmed.ncbi.nlm.nih.gov/38721015" TargetMode="External"/><Relationship Id="rId121" Type="http://schemas.openxmlformats.org/officeDocument/2006/relationships/hyperlink" Target="https://libkey.io/libraries/480/10.1016/j.eclinm.2024.102608" TargetMode="External"/><Relationship Id="rId122" Type="http://schemas.openxmlformats.org/officeDocument/2006/relationships/hyperlink" Target="https://doi.org/10.1097/SLA.0000000000007200" TargetMode="External"/><Relationship Id="rId123" Type="http://schemas.openxmlformats.org/officeDocument/2006/relationships/hyperlink" Target="https://libkey.io/libraries/480/10.1097/sla.0000000000007200" TargetMode="External"/><Relationship Id="rId124" Type="http://schemas.openxmlformats.org/officeDocument/2006/relationships/hyperlink" Target="https://doi.org/10.1097/lvt.0000000000000715" TargetMode="External"/><Relationship Id="rId125" Type="http://schemas.openxmlformats.org/officeDocument/2006/relationships/hyperlink" Target="https://libkey.io/libraries/480/10.1097/lvt.0000000000000715" TargetMode="External"/><Relationship Id="rId126" Type="http://schemas.openxmlformats.org/officeDocument/2006/relationships/hyperlink" Target="https://dailymed.nlm.nih.gov/dailymed/drugInfo.cfm?setid=e082a024-7850-400b-a5c2-2a140612562a" TargetMode="External"/><Relationship Id="rId127" Type="http://schemas.openxmlformats.org/officeDocument/2006/relationships/hyperlink" Target="https://drliuhao.github.io/mh-liver-pathways/evidence/2026-10-25/" TargetMode="External"/><Relationship Id="rId128" Type="http://schemas.openxmlformats.org/officeDocument/2006/relationships/hyperlink" Target="https://pubmed.ncbi.nlm.nih.gov/28230639" TargetMode="External"/><Relationship Id="rId129" Type="http://schemas.openxmlformats.org/officeDocument/2006/relationships/hyperlink" Target="https://libkey.io/libraries/480/10.1097/tp.0000000000001690" TargetMode="External"/><Relationship Id="rId130" Type="http://schemas.openxmlformats.org/officeDocument/2006/relationships/hyperlink" Target="https://doi.org/10.1200/CCI.23.00111" TargetMode="External"/><Relationship Id="rId131" Type="http://schemas.openxmlformats.org/officeDocument/2006/relationships/hyperlink" Target="https://libkey.io/libraries/480/10.1200/CCI.23.00111" TargetMode="External"/><Relationship Id="rId132" Type="http://schemas.openxmlformats.org/officeDocument/2006/relationships/hyperlink" Target="https://doi.org/10.1111/j.1600-6143.2011.03972.x" TargetMode="External"/><Relationship Id="rId133" Type="http://schemas.openxmlformats.org/officeDocument/2006/relationships/hyperlink" Target="https://libkey.io/libraries/480/10.1111/j.1600-6143.2011.03972.x" TargetMode="External"/><Relationship Id="rId134" Type="http://schemas.openxmlformats.org/officeDocument/2006/relationships/hyperlink" Target="https://doi.org/10.1111/ajt.14055" TargetMode="External"/><Relationship Id="rId135" Type="http://schemas.openxmlformats.org/officeDocument/2006/relationships/hyperlink" Target="https://libkey.io/libraries/480/10.1111/ajt.14055" TargetMode="External"/><Relationship Id="rId136" Type="http://schemas.openxmlformats.org/officeDocument/2006/relationships/hyperlink" Target="https://doi.org/10.1097/LVT.0000000000000303" TargetMode="External"/><Relationship Id="rId137" Type="http://schemas.openxmlformats.org/officeDocument/2006/relationships/hyperlink" Target="https://libkey.io/libraries/480/10.1097/LVT.0000000000000303" TargetMode="External"/><Relationship Id="rId138" Type="http://schemas.openxmlformats.org/officeDocument/2006/relationships/hyperlink" Target="https://doi.org/10.1038/s41467-025-67824-z" TargetMode="External"/><Relationship Id="rId139" Type="http://schemas.openxmlformats.org/officeDocument/2006/relationships/hyperlink" Target="https://libkey.io/libraries/480/10.1038/s41467-025-67824-z" TargetMode="External"/><Relationship Id="rId140" Type="http://schemas.openxmlformats.org/officeDocument/2006/relationships/hyperlink" Target="https://doi.org/10.1056/NEJMoa2214963" TargetMode="External"/><Relationship Id="rId141" Type="http://schemas.openxmlformats.org/officeDocument/2006/relationships/hyperlink" Target="https://libkey.io/libraries/480/10.1056/NEJMoa2214963" TargetMode="External"/><Relationship Id="rId142" Type="http://schemas.openxmlformats.org/officeDocument/2006/relationships/hyperlink" Target="https://doi.org/10.1016/S0140-6736(23)00772-9" TargetMode="External"/><Relationship Id="rId143" Type="http://schemas.openxmlformats.org/officeDocument/2006/relationships/hyperlink" Target="https://libkey.io/libraries/480/10.1016/S0140-6736(23)00772-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6050</Words>
  <Characters>34487</Characters>
  <Application>Microsoft Office Word</Application>
  <DocSecurity>0</DocSecurity>
  <Lines>287</Lines>
  <Paragraphs>80</Paragraphs>
  <ScaleCrop>false</ScaleCrop>
  <Company/>
  <LinksUpToDate>false</LinksUpToDate>
  <CharactersWithSpaces>40457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Liu, Hao</cp:lastModifiedBy>
  <cp:revision>2</cp:revision>
  <dcterms:created xsi:type="dcterms:W3CDTF">2026-07-15T22:53:00Z</dcterms:created>
  <dcterms:modified xsi:type="dcterms:W3CDTF">2026-10-25T09:38:06Z</dcterms:modified>
  <dc:title>UTHealth Houston / Memorial Hermann — Colorectal liver metastases Standard / Guidance-Aligned Transplant Protocol V8</dc:title>
  <dc:subject>Non-standard NLRB pathway under December 2025 transplant-oncology guidance</dc:subject>
  <dc:description>V2 generated 2026-07-23 17:53:12 CDT; evidence corrections documented in 04_review_summary/OpenEvidence_Protocol_Audit_2026-07-23.md.</dc:description>
</cp:coreProperties>
</file>