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rPr>
          <w:rFonts w:ascii="Times New Roman" w:hAnsi="Times New Roman" w:cs="Times New Roman"/>
          <w:b/>
        </w:rPr>
        <w:t xml:space="preserve">KẾ HOẠCH BÀI DẠY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Trường: THPT Lê Quý Đôn. Tổ: Toán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Môn: Toán. Lớp: 12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1. TÍNH ĐƠN ĐIỆU VÀ CỰC TRỊ CỦA HÀM SỐ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Thời gian thực hiện: 2 tiết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tính đồng biến, nghịch biến của hàm số trên một khoảng dựa vào dấu của đạo hàm.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Thể hiện được tính đơn điệu, điểm cực trị, giá trị cực trị của hàm số thông qua bảng biến thiên.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duy và lập luận toán học: lập bảng biến thiên, đọc cực trị từ bảng biến thiên và đồ thị.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cẩn thận khi tính toán.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Khởi động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Mục tiêu: Tạo nhu cầu tìm hiểu tính đơn điệu qua bài toán làm hộp không nắp.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Tổ chức thực hiện: GV nêu bài toán: Từ tấm bìa hình vuông cạnh 12 cm, cắt bốn góc bốn hình vuông cạnh x cm rồi gấp thành hộp không nắp. Với x bằng bao nhiêu thì thể tích hộp lớn nhất?</w:t>
      </w:r>
    </w:p>
    <w:p>
      <w:pPr>
        <w:pStyle w:val="Normal"/>
      </w:pPr>
      <w:r>
        <w:drawing>
          <wp:inline distT="0" distB="0" distL="0" distR="0">
            <wp:extent cx="1905000" cy="1400175"/>
            <wp:docPr id="1000" name="Hình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Hình 1"/>
                    <pic:cNvPicPr/>
                  </pic:nvPicPr>
                  <pic:blipFill>
                    <a:blip r:embed="rIdKhbdHinh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1. Xét hàm số y = x^3 - 3x^2 + 2. Tính đạo hàm:</w:t>
      </w:r>
    </w:p>
    <w:p>
      <w:pPr>
        <w:pStyle w:val="Normal"/>
      </w:pPr>
      <m:oMath>
        <m:sSup>
          <m:sSupPr>
            <m:ctrlPr/>
          </m:sSupPr>
          <m:e>
            <m:r>
              <m:t xml:space="preserve">y</m:t>
            </m:r>
          </m:e>
          <m:sup>
            <m:r>
              <m:t xml:space="preserve">′</m:t>
            </m:r>
          </m:sup>
        </m:sSup>
        <m:r>
          <m:t xml:space="preserve">=</m:t>
        </m:r>
        <m:r>
          <m:t xml:space="preserve">3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6x=</m:t>
        </m:r>
        <m:r>
          <m:t xml:space="preserve">3x(x−2)</m:t>
        </m:r>
      </m:oMath>
    </w:p>
    <w:p>
      <w:pPr>
        <w:pStyle w:val="Normal"/>
      </w:pPr>
      <w:r>
        <w:rPr>
          <w:rFonts w:ascii="Times New Roman" w:hAnsi="Times New Roman" w:cs="Times New Roman"/>
        </w:rPr>
        <w:t xml:space="preserve">Bảng giá trị của hàm số y = x^3 - 3x^2 + 2:</w:t>
      </w:r>
    </w:p>
    <w:tbl>
      <w:tblPr>
        <w:tblStyle w:val="BangKeKhung"/>
        <w:tblW w:w="5000" w:type="pct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x</m:t>
              </m:r>
            </m:oMath>
          </w:p>
        </w:tc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0</m:t>
              </m:r>
            </m:oMath>
          </w:p>
        </w:tc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1</m:t>
              </m:r>
            </m:oMath>
          </w:p>
        </w:tc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2</m:t>
              </m:r>
            </m:oMath>
          </w:p>
        </w:tc>
        <w:tc>
          <w:tcPr>
            <w:tcW w:w="1559" w:type="dxa"/>
          </w:tcPr>
          <w:p>
            <w:pPr>
              <w:pStyle w:val="BangTieuDe"/>
            </w:pPr>
            <m:oMath>
              <m:r>
                <m:t xml:space="preserve">3</m:t>
              </m:r>
            </m:oMath>
          </w:p>
        </w:tc>
      </w:tr>
      <w:tr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y</m:t>
              </m:r>
            </m:oMath>
          </w:p>
        </w:tc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2</m:t>
              </m:r>
            </m:oMath>
          </w:p>
        </w:tc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0</m:t>
              </m:r>
            </m:oMath>
          </w:p>
        </w:tc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1559" w:type="dxa"/>
          </w:tcPr>
          <w:p>
            <w:pPr>
              <w:pStyle w:val="BangChu"/>
            </w:pPr>
            <m:oMath>
              <m:r>
                <m:t xml:space="preserve">2</m:t>
              </m:r>
            </m:oMath>
          </w:p>
        </w:tc>
      </w:tr>
    </w:tbl>
    <w:p>
      <w:pPr>
        <w:pStyle w:val="Normal"/>
      </w:pPr>
      <w:r>
        <w:rPr>
          <w:rFonts w:ascii="Times New Roman" w:hAnsi="Times New Roman" w:cs="Times New Roman"/>
        </w:rPr>
        <w:t xml:space="preserve">Bảng biến thiên của hàm số y = x^3 - 3x^2 + 2: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</w:tblPr>
      <w:tblGrid>
        <w:gridCol w:w="900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w="900" w:type="dxa"/>
            <w:tcBorders>
              <w:righ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x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−</m:t>
              </m:r>
              <m:r>
                <m:t xml:space="preserve">∞</m:t>
              </m:r>
            </m:oMath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0</m:t>
              </m:r>
            </m:oMath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+</m:t>
              </m:r>
              <m:r>
                <m:t xml:space="preserve">∞</m:t>
              </m:r>
            </m:oMath>
          </w:p>
        </w:tc>
      </w:tr>
      <w:tr>
        <w:tc>
          <w:tcPr>
            <w:tcW w:w="900" w:type="dxa"/>
            <w:tcBorders>
              <w:righ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y′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+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0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−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0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+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c>
          <w:tcPr>
            <w:tcW w:w="900" w:type="dxa"/>
            <w:vMerge w:val="restart"/>
            <w:tcBorders>
              <w:right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y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vMerge w:val="restart"/>
            <w:vAlign w:val="center"/>
          </w:tcPr>
          <w:p>
            <w:pPr>
              <w:pStyle w:val="BangChu"/>
              <w:jc w:val="center"/>
            </w:pPr>
            <w:r>
              <w:rPr>
                <w:rFonts w:ascii="Cambria Math" w:hAnsi="Cambria Math" w:cs="Times New Roman"/>
                <w:sz w:val="32"/>
              </w:rPr>
              <w:t>↗︎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1207" w:type="dxa"/>
            <w:vMerge w:val="restart"/>
            <w:vAlign w:val="center"/>
          </w:tcPr>
          <w:p>
            <w:pPr>
              <w:pStyle w:val="BangChu"/>
              <w:jc w:val="center"/>
            </w:pPr>
            <w:r>
              <w:rPr>
                <w:rFonts w:ascii="Cambria Math" w:hAnsi="Cambria Math" w:cs="Times New Roman"/>
                <w:sz w:val="32"/>
              </w:rPr>
              <w:t>↘︎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vMerge w:val="restart"/>
            <w:vAlign w:val="center"/>
          </w:tcPr>
          <w:p>
            <w:pPr>
              <w:pStyle w:val="BangChu"/>
              <w:jc w:val="center"/>
            </w:pPr>
            <w:r>
              <w:rPr>
                <w:rFonts w:ascii="Cambria Math" w:hAnsi="Cambria Math" w:cs="Times New Roman"/>
                <w:sz w:val="32"/>
              </w:rPr>
              <w:t>↗︎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+</m:t>
              </m:r>
              <m:r>
                <m:t xml:space="preserve">∞</m:t>
              </m:r>
            </m:oMath>
          </w:p>
        </w:tc>
      </w:tr>
      <w:tr>
        <w:tc>
          <w:tcPr>
            <w:tcW w:w="900" w:type="dxa"/>
            <w:vMerge/>
            <w:tcBorders>
              <w:right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−</m:t>
              </m:r>
              <m:r>
                <m:t xml:space="preserve">∞</m:t>
              </m:r>
            </m:oMath>
          </w:p>
        </w:tc>
        <w:tc>
          <w:tcPr>
            <w:tcW w:w="1207" w:type="dxa"/>
            <w:vMerge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vMerge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1207" w:type="dxa"/>
            <w:vMerge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207" w:type="dxa"/>
            <w:tcBorders/>
            <w:vAlign w:val="center"/>
          </w:tcPr>
          <w:p>
            <w:pPr>
              <w:pStyle w:val="BangChu"/>
              <w:jc w:val="center"/>
            </w:pPr>
          </w:p>
        </w:tc>
      </w:tr>
    </w:tbl>
    <w:p>
      <w:pPr>
        <w:pStyle w:val="Normal"/>
      </w:pPr>
      <w:r>
        <w:rPr>
          <w:rFonts w:ascii="Times New Roman" w:hAnsi="Times New Roman" w:cs="Times New Roman"/>
        </w:rPr>
        <w:t xml:space="preserve">Kết luận: Hàm số đồng biến trên các khoảng (−∞; 0) và (2; +∞), nghịch biến trên (0; 2); đạt cực đại tại x = 0, cực tiểu tại x = 2.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Đồ thị của hàm số y = x^3 - 3x^2 + 2:</w:t>
      </w:r>
    </w:p>
    <w:p>
      <w:pPr>
        <w:pStyle w:val="Normal"/>
      </w:pPr>
      <w:r>
        <w:drawing>
          <wp:inline distT="0" distB="0" distL="0" distR="0">
            <wp:extent cx="2857500" cy="2381250"/>
            <wp:docPr id="1001" name="Hình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Hình 2"/>
                    <pic:cNvPicPr/>
                  </pic:nvPicPr>
                  <pic:blipFill>
                    <a:blip r:embed="rIdKhbdHinh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Cho hàm số y = (2x + 1)/(x − 1) có bảng biến thiên như sau. Khẳng định nào đúng?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</w:tblPr>
      <w:tblGrid>
        <w:gridCol w:w="900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w="900" w:type="dxa"/>
            <w:tcBorders>
              <w:righ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x</w:t>
            </w: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−</m:t>
              </m:r>
              <m:r>
                <m:t xml:space="preserve">∞</m:t>
              </m:r>
            </m:oMath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2818" w:type="dxa"/>
            <w:gridSpan w:val="2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+</m:t>
              </m:r>
              <m:r>
                <m:t xml:space="preserve">∞</m:t>
              </m:r>
            </m:oMath>
          </w:p>
        </w:tc>
      </w:tr>
      <w:tr>
        <w:tc>
          <w:tcPr>
            <w:tcW w:w="900" w:type="dxa"/>
            <w:tcBorders>
              <w:righ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y′</w:t>
            </w: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−</w:t>
            </w:r>
          </w:p>
        </w:tc>
        <w:tc>
          <w:tcPr>
            <w:tcW w:w="1409" w:type="dxa"/>
            <w:tcBorders>
              <w:right w:val="double" w:sz="4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>
              <w:left w:val="double" w:sz="4" w:space="0" w:color="000000"/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>−</w:t>
            </w:r>
          </w:p>
        </w:tc>
        <w:tc>
          <w:tcPr>
            <w:tcW w:w="1409" w:type="dxa"/>
            <w:tcBorders>
              <w:bottom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c>
          <w:tcPr>
            <w:tcW w:w="900" w:type="dxa"/>
            <w:vMerge w:val="restart"/>
            <w:tcBorders>
              <w:right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  <w:r>
              <w:rPr>
                <w:rFonts w:ascii="Times New Roman" w:hAnsi="Times New Roman" w:cs="Times New Roman"/>
                <w:i/>
              </w:rPr>
              <w:t xml:space="preserve">y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1409" w:type="dxa"/>
            <w:vMerge w:val="restart"/>
            <w:vAlign w:val="center"/>
          </w:tcPr>
          <w:p>
            <w:pPr>
              <w:pStyle w:val="BangChu"/>
              <w:jc w:val="center"/>
            </w:pPr>
            <w:r>
              <w:rPr>
                <w:rFonts w:ascii="Cambria Math" w:hAnsi="Cambria Math" w:cs="Times New Roman"/>
                <w:sz w:val="32"/>
              </w:rPr>
              <w:t>↘︎</w:t>
            </w:r>
          </w:p>
        </w:tc>
        <w:tc>
          <w:tcPr>
            <w:tcW w:w="1409" w:type="dxa"/>
            <w:tcBorders>
              <w:right w:val="double" w:sz="4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>
              <w:left w:val="double" w:sz="4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+</m:t>
              </m:r>
              <m:r>
                <m:t xml:space="preserve">∞</m:t>
              </m:r>
            </m:oMath>
          </w:p>
        </w:tc>
        <w:tc>
          <w:tcPr>
            <w:tcW w:w="1409" w:type="dxa"/>
            <w:vMerge w:val="restart"/>
            <w:vAlign w:val="center"/>
          </w:tcPr>
          <w:p>
            <w:pPr>
              <w:pStyle w:val="BangChu"/>
              <w:jc w:val="center"/>
            </w:pPr>
            <w:r>
              <w:rPr>
                <w:rFonts w:ascii="Cambria Math" w:hAnsi="Cambria Math" w:cs="Times New Roman"/>
                <w:sz w:val="32"/>
              </w:rPr>
              <w:t>↘︎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BangChu"/>
              <w:jc w:val="center"/>
            </w:pPr>
          </w:p>
        </w:tc>
      </w:tr>
      <w:tr>
        <w:tc>
          <w:tcPr>
            <w:tcW w:w="900" w:type="dxa"/>
            <w:vMerge/>
            <w:tcBorders>
              <w:right w:val="single" w:sz="6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vMerge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>
              <w:right w:val="double" w:sz="4" w:space="0" w:color="000000"/>
            </w:tcBorders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−</m:t>
              </m:r>
              <m:r>
                <m:t xml:space="preserve">∞</m:t>
              </m:r>
            </m:oMath>
          </w:p>
        </w:tc>
        <w:tc>
          <w:tcPr>
            <w:tcW w:w="1409" w:type="dxa"/>
            <w:tcBorders>
              <w:left w:val="double" w:sz="4" w:space="0" w:color="000000"/>
            </w:tcBorders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vMerge/>
            <w:vAlign w:val="center"/>
          </w:tcPr>
          <w:p>
            <w:pPr>
              <w:pStyle w:val="BangChu"/>
              <w:jc w:val="center"/>
            </w:pPr>
          </w:p>
        </w:tc>
        <w:tc>
          <w:tcPr>
            <w:tcW w:w="1409" w:type="dxa"/>
            <w:tcBorders/>
            <w:vAlign w:val="center"/>
          </w:tcPr>
          <w:p>
            <w:pPr>
              <w:pStyle w:val="BangChu"/>
              <w:jc w:val="center"/>
            </w:pPr>
            <m:oMath>
              <m:r>
                <m:t xml:space="preserve">2</m:t>
              </m:r>
            </m:oMath>
          </w:p>
        </w:tc>
      </w:tr>
    </w:tbl>
    <w:p>
      <w:pPr>
        <w:pStyle w:val="Normal"/>
      </w:pPr>
      <w:r>
        <w:rPr>
          <w:rFonts w:ascii="Times New Roman" w:hAnsi="Times New Roman" w:cs="Times New Roman"/>
        </w:rPr>
        <w:t xml:space="preserve">A. Hàm số nghịch biến trên ℝ.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Hàm số nghịch biến trên từng khoảng (−∞; 1) và (1; +∞).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Hàm số đồng biến trên (1; +∞).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Hàm số có cực trị.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bài toán làm hộp ở Hoạt động 1: lập hàm thể tích V(x) = x(12 − 2x)^2 với 0 &lt; x &lt; 6, lập bảng biến thiên và kết luận.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Củng cố, dặn dò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xét tính đơn điệu và tìm cực trị.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1.1 – 1.5 SGK.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KhbdHinh1" Type="http://schemas.openxmlformats.org/officeDocument/2006/relationships/image" Target="media/khbd_hinh1.png"/><Relationship Id="rIdKhbdHinh2" Type="http://schemas.openxmlformats.org/officeDocument/2006/relationships/image" Target="media/khbd_hinh2.png"/></Relationships>
</file>