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w:t>
      </w:r>
    </w:p>
    <w:p>
      <w:pPr>
        <w:pStyle w:val="Heading2"/>
      </w:pPr>
      <w:r>
        <w:t>ĐÁNH GIÁ SỰ HÀI LÒNG CỦA BỆNH NHÂN TRONG HOẠT ĐỘNG KHÁM CHỮA BỆNH TẠI KHOA KHÁM BỆNH C1a, TRUNG TÂM KHÁM BỆNH VÀ ĐIỀU TRỊ THEO YÊU CẦU C1, BỆNH VIỆN QUÂN Y 175</w:t>
      </w:r>
    </w:p>
    <w:p>
      <w:r>
        <w:rPr>
          <w:b/>
        </w:rPr>
        <w:t>Chủ nhiệm đề tài:</w:t>
      </w:r>
      <w:r>
        <w:t xml:space="preserve"> ……………………………………… </w:t>
      </w:r>
      <w:r>
        <w:rPr>
          <w:i/>
        </w:rPr>
        <w:t>(họ tên, chức danh, đơn vị công tác — bổ sung khi được phê duyệt)</w:t>
      </w:r>
    </w:p>
    <w:p>
      <w:r>
        <w:rPr>
          <w:b/>
        </w:rPr>
        <w:t>Đơn vị chủ trì:</w:t>
      </w:r>
      <w:r>
        <w:t xml:space="preserve"> Khoa Khám bệnh C1a – Trung tâm Khám bệnh và Điều trị theo yêu cầu C1 – Bệnh viện Quân y 175, Thành phố Hồ Chí Minh.</w:t>
      </w:r>
    </w:p>
    <w:p>
      <w:r>
        <w:rPr>
          <w:b/>
        </w:rPr>
        <w:t>Loại hình nghiên cứu:</w:t>
      </w:r>
      <w:r>
        <w:t xml:space="preserve"> Mô tả cắt ngang có phân tích (analytical cross-sectional).</w:t>
      </w:r>
    </w:p>
    <w:p>
      <w:r>
        <w:rPr>
          <w:b/>
        </w:rPr>
        <w:t>Chuẩn báo cáo áp dụng:</w:t>
      </w:r>
      <w:r>
        <w:t xml:space="preserve"> STROBE (cross-sectional).</w:t>
      </w:r>
    </w:p>
    <w:p>
      <w:r>
        <w:rPr>
          <w:b/>
        </w:rPr>
        <w:t>Năm thực hiện:</w:t>
      </w:r>
      <w:r>
        <w:t xml:space="preserve"> 2026.</w:t>
      </w:r>
    </w:p>
    <w:p>
      <w:r>
        <w:rPr>
          <w:b/>
        </w:rPr>
        <w:t>Phiên bản đề cương:</w:t>
      </w:r>
      <w:r>
        <w:t xml:space="preserve"> 1.0 – ngày …………… </w:t>
      </w:r>
      <w:r>
        <w:rPr>
          <w:i/>
        </w:rPr>
        <w:t>(bản trình Hội đồng)</w:t>
      </w:r>
      <w:r>
        <w:t>.</w:t>
      </w:r>
    </w:p>
    <w:p>
      <w:pPr>
        <w:pStyle w:val="Heading1"/>
      </w:pPr>
      <w:r>
        <w:t>DANH MỤC CHỮ VIẾT TẮT</w:t>
      </w:r>
    </w:p>
    <w:tbl>
      <w:tblPr>
        <w:tblStyle w:val="LightGrid-Accent1"/>
        <w:tblW w:type="auto" w:w="0"/>
        <w:tblLook w:firstColumn="1" w:firstRow="1" w:lastColumn="0" w:lastRow="0" w:noHBand="0" w:noVBand="1" w:val="04A0"/>
      </w:tblPr>
      <w:tblGrid>
        <w:gridCol w:w="4677"/>
        <w:gridCol w:w="4677"/>
      </w:tblGrid>
      <w:tr>
        <w:tc>
          <w:tcPr>
            <w:tcW w:type="dxa" w:w="4677"/>
          </w:tcPr>
          <w:p>
            <w:r>
              <w:rPr>
                <w:b/>
                <w:sz w:val="18"/>
              </w:rPr>
              <w:t>Chữ viết tắt</w:t>
            </w:r>
          </w:p>
        </w:tc>
        <w:tc>
          <w:tcPr>
            <w:tcW w:type="dxa" w:w="4677"/>
          </w:tcPr>
          <w:p>
            <w:r>
              <w:rPr>
                <w:b/>
                <w:sz w:val="18"/>
              </w:rPr>
              <w:t>Nghĩa đầy đủ</w:t>
            </w:r>
          </w:p>
        </w:tc>
      </w:tr>
      <w:tr>
        <w:tc>
          <w:tcPr>
            <w:tcW w:type="dxa" w:w="4677"/>
          </w:tcPr>
          <w:p>
            <w:r>
              <w:rPr>
                <w:sz w:val="18"/>
              </w:rPr>
              <w:t>aOR</w:t>
            </w:r>
          </w:p>
        </w:tc>
        <w:tc>
          <w:tcPr>
            <w:tcW w:type="dxa" w:w="4677"/>
          </w:tcPr>
          <w:p>
            <w:r>
              <w:rPr>
                <w:sz w:val="18"/>
              </w:rPr>
              <w:t>Adjusted Odds Ratio (tỷ số chênh hiệu chỉnh)</w:t>
            </w:r>
          </w:p>
        </w:tc>
      </w:tr>
      <w:tr>
        <w:tc>
          <w:tcPr>
            <w:tcW w:type="dxa" w:w="4677"/>
          </w:tcPr>
          <w:p>
            <w:r>
              <w:rPr>
                <w:sz w:val="18"/>
              </w:rPr>
              <w:t>AUC</w:t>
            </w:r>
          </w:p>
        </w:tc>
        <w:tc>
          <w:tcPr>
            <w:tcW w:type="dxa" w:w="4677"/>
          </w:tcPr>
          <w:p>
            <w:r>
              <w:rPr>
                <w:sz w:val="18"/>
              </w:rPr>
              <w:t>Area Under the Curve (diện tích dưới đường cong ROC)</w:t>
            </w:r>
          </w:p>
        </w:tc>
      </w:tr>
      <w:tr>
        <w:tc>
          <w:tcPr>
            <w:tcW w:type="dxa" w:w="4677"/>
          </w:tcPr>
          <w:p>
            <w:r>
              <w:rPr>
                <w:sz w:val="18"/>
              </w:rPr>
              <w:t>BHYT</w:t>
            </w:r>
          </w:p>
        </w:tc>
        <w:tc>
          <w:tcPr>
            <w:tcW w:type="dxa" w:w="4677"/>
          </w:tcPr>
          <w:p>
            <w:r>
              <w:rPr>
                <w:sz w:val="18"/>
              </w:rPr>
              <w:t>Bảo hiểm y tế</w:t>
            </w:r>
          </w:p>
        </w:tc>
      </w:tr>
      <w:tr>
        <w:tc>
          <w:tcPr>
            <w:tcW w:type="dxa" w:w="4677"/>
          </w:tcPr>
          <w:p>
            <w:r>
              <w:rPr>
                <w:sz w:val="18"/>
              </w:rPr>
              <w:t>BVQY 175</w:t>
            </w:r>
          </w:p>
        </w:tc>
        <w:tc>
          <w:tcPr>
            <w:tcW w:type="dxa" w:w="4677"/>
          </w:tcPr>
          <w:p>
            <w:r>
              <w:rPr>
                <w:sz w:val="18"/>
              </w:rPr>
              <w:t>Bệnh viện Quân y 175</w:t>
            </w:r>
          </w:p>
        </w:tc>
      </w:tr>
      <w:tr>
        <w:tc>
          <w:tcPr>
            <w:tcW w:type="dxa" w:w="4677"/>
          </w:tcPr>
          <w:p>
            <w:r>
              <w:rPr>
                <w:sz w:val="18"/>
              </w:rPr>
              <w:t>CIOMS</w:t>
            </w:r>
          </w:p>
        </w:tc>
        <w:tc>
          <w:tcPr>
            <w:tcW w:type="dxa" w:w="4677"/>
          </w:tcPr>
          <w:p>
            <w:r>
              <w:rPr>
                <w:sz w:val="18"/>
              </w:rPr>
              <w:t>Council for International Organizations of Medical Sciences</w:t>
            </w:r>
          </w:p>
        </w:tc>
      </w:tr>
      <w:tr>
        <w:tc>
          <w:tcPr>
            <w:tcW w:type="dxa" w:w="4677"/>
          </w:tcPr>
          <w:p>
            <w:r>
              <w:rPr>
                <w:sz w:val="18"/>
              </w:rPr>
              <w:t>COSMIN</w:t>
            </w:r>
          </w:p>
        </w:tc>
        <w:tc>
          <w:tcPr>
            <w:tcW w:type="dxa" w:w="4677"/>
          </w:tcPr>
          <w:p>
            <w:r>
              <w:rPr>
                <w:sz w:val="18"/>
              </w:rPr>
              <w:t>COnsensus-based Standards for the selection of health Measurement INstruments</w:t>
            </w:r>
          </w:p>
        </w:tc>
      </w:tr>
      <w:tr>
        <w:tc>
          <w:tcPr>
            <w:tcW w:type="dxa" w:w="4677"/>
          </w:tcPr>
          <w:p>
            <w:r>
              <w:rPr>
                <w:sz w:val="18"/>
              </w:rPr>
              <w:t>CRF</w:t>
            </w:r>
          </w:p>
        </w:tc>
        <w:tc>
          <w:tcPr>
            <w:tcW w:type="dxa" w:w="4677"/>
          </w:tcPr>
          <w:p>
            <w:r>
              <w:rPr>
                <w:sz w:val="18"/>
              </w:rPr>
              <w:t>Case Report Form (phiếu thu thập dữ liệu)</w:t>
            </w:r>
          </w:p>
        </w:tc>
      </w:tr>
      <w:tr>
        <w:tc>
          <w:tcPr>
            <w:tcW w:type="dxa" w:w="4677"/>
          </w:tcPr>
          <w:p>
            <w:r>
              <w:rPr>
                <w:sz w:val="18"/>
              </w:rPr>
              <w:t>DAG</w:t>
            </w:r>
          </w:p>
        </w:tc>
        <w:tc>
          <w:tcPr>
            <w:tcW w:type="dxa" w:w="4677"/>
          </w:tcPr>
          <w:p>
            <w:r>
              <w:rPr>
                <w:sz w:val="18"/>
              </w:rPr>
              <w:t>Directed Acyclic Graph (sơ đồ nhân quả có hướng)</w:t>
            </w:r>
          </w:p>
        </w:tc>
      </w:tr>
      <w:tr>
        <w:tc>
          <w:tcPr>
            <w:tcW w:type="dxa" w:w="4677"/>
          </w:tcPr>
          <w:p>
            <w:r>
              <w:rPr>
                <w:sz w:val="18"/>
              </w:rPr>
              <w:t>DMP</w:t>
            </w:r>
          </w:p>
        </w:tc>
        <w:tc>
          <w:tcPr>
            <w:tcW w:type="dxa" w:w="4677"/>
          </w:tcPr>
          <w:p>
            <w:r>
              <w:rPr>
                <w:sz w:val="18"/>
              </w:rPr>
              <w:t>Data Management Plan (kế hoạch quản trị dữ liệu)</w:t>
            </w:r>
          </w:p>
        </w:tc>
      </w:tr>
      <w:tr>
        <w:tc>
          <w:tcPr>
            <w:tcW w:type="dxa" w:w="4677"/>
          </w:tcPr>
          <w:p>
            <w:r>
              <w:rPr>
                <w:sz w:val="18"/>
              </w:rPr>
              <w:t>DOI</w:t>
            </w:r>
          </w:p>
        </w:tc>
        <w:tc>
          <w:tcPr>
            <w:tcW w:type="dxa" w:w="4677"/>
          </w:tcPr>
          <w:p>
            <w:r>
              <w:rPr>
                <w:sz w:val="18"/>
              </w:rPr>
              <w:t>Digital Object Identifier</w:t>
            </w:r>
          </w:p>
        </w:tc>
      </w:tr>
      <w:tr>
        <w:tc>
          <w:tcPr>
            <w:tcW w:type="dxa" w:w="4677"/>
          </w:tcPr>
          <w:p>
            <w:r>
              <w:rPr>
                <w:sz w:val="18"/>
              </w:rPr>
              <w:t>EFA/CFA</w:t>
            </w:r>
          </w:p>
        </w:tc>
        <w:tc>
          <w:tcPr>
            <w:tcW w:type="dxa" w:w="4677"/>
          </w:tcPr>
          <w:p>
            <w:r>
              <w:rPr>
                <w:sz w:val="18"/>
              </w:rPr>
              <w:t>Exploratory/Confirmatory Factor Analysis (phân tích nhân tố khám phá/khẳng định)</w:t>
            </w:r>
          </w:p>
        </w:tc>
      </w:tr>
      <w:tr>
        <w:tc>
          <w:tcPr>
            <w:tcW w:type="dxa" w:w="4677"/>
          </w:tcPr>
          <w:p>
            <w:r>
              <w:rPr>
                <w:sz w:val="18"/>
              </w:rPr>
              <w:t>EPV</w:t>
            </w:r>
          </w:p>
        </w:tc>
        <w:tc>
          <w:tcPr>
            <w:tcW w:type="dxa" w:w="4677"/>
          </w:tcPr>
          <w:p>
            <w:r>
              <w:rPr>
                <w:sz w:val="18"/>
              </w:rPr>
              <w:t>Events Per Variable (số biến cố trên mỗi biến/tham số)</w:t>
            </w:r>
          </w:p>
        </w:tc>
      </w:tr>
      <w:tr>
        <w:tc>
          <w:tcPr>
            <w:tcW w:type="dxa" w:w="4677"/>
          </w:tcPr>
          <w:p>
            <w:r>
              <w:rPr>
                <w:sz w:val="18"/>
              </w:rPr>
              <w:t>FDR</w:t>
            </w:r>
          </w:p>
        </w:tc>
        <w:tc>
          <w:tcPr>
            <w:tcW w:type="dxa" w:w="4677"/>
          </w:tcPr>
          <w:p>
            <w:r>
              <w:rPr>
                <w:sz w:val="18"/>
              </w:rPr>
              <w:t>False Discovery Rate (tỷ lệ phát hiện sai)</w:t>
            </w:r>
          </w:p>
        </w:tc>
      </w:tr>
      <w:tr>
        <w:tc>
          <w:tcPr>
            <w:tcW w:type="dxa" w:w="4677"/>
          </w:tcPr>
          <w:p>
            <w:r>
              <w:rPr>
                <w:sz w:val="18"/>
              </w:rPr>
              <w:t>HC3</w:t>
            </w:r>
          </w:p>
        </w:tc>
        <w:tc>
          <w:tcPr>
            <w:tcW w:type="dxa" w:w="4677"/>
          </w:tcPr>
          <w:p>
            <w:r>
              <w:rPr>
                <w:sz w:val="18"/>
              </w:rPr>
              <w:t>Heteroskedasticity-Consistent standard errors (loại 3)</w:t>
            </w:r>
          </w:p>
        </w:tc>
      </w:tr>
      <w:tr>
        <w:tc>
          <w:tcPr>
            <w:tcW w:type="dxa" w:w="4677"/>
          </w:tcPr>
          <w:p>
            <w:r>
              <w:rPr>
                <w:sz w:val="18"/>
              </w:rPr>
              <w:t>HIS</w:t>
            </w:r>
          </w:p>
        </w:tc>
        <w:tc>
          <w:tcPr>
            <w:tcW w:type="dxa" w:w="4677"/>
          </w:tcPr>
          <w:p>
            <w:r>
              <w:rPr>
                <w:sz w:val="18"/>
              </w:rPr>
              <w:t>Hospital Information System (hệ thống thông tin bệnh viện)</w:t>
            </w:r>
          </w:p>
        </w:tc>
      </w:tr>
      <w:tr>
        <w:tc>
          <w:tcPr>
            <w:tcW w:type="dxa" w:w="4677"/>
          </w:tcPr>
          <w:p>
            <w:r>
              <w:rPr>
                <w:sz w:val="18"/>
              </w:rPr>
              <w:t>I-CVI/S-CVI</w:t>
            </w:r>
          </w:p>
        </w:tc>
        <w:tc>
          <w:tcPr>
            <w:tcW w:type="dxa" w:w="4677"/>
          </w:tcPr>
          <w:p>
            <w:r>
              <w:rPr>
                <w:sz w:val="18"/>
              </w:rPr>
              <w:t>Item/Scale-level Content Validity Index (chỉ số giá trị nội dung)</w:t>
            </w:r>
          </w:p>
        </w:tc>
      </w:tr>
      <w:tr>
        <w:tc>
          <w:tcPr>
            <w:tcW w:type="dxa" w:w="4677"/>
          </w:tcPr>
          <w:p>
            <w:r>
              <w:rPr>
                <w:sz w:val="18"/>
              </w:rPr>
              <w:t>ICF</w:t>
            </w:r>
          </w:p>
        </w:tc>
        <w:tc>
          <w:tcPr>
            <w:tcW w:type="dxa" w:w="4677"/>
          </w:tcPr>
          <w:p>
            <w:r>
              <w:rPr>
                <w:sz w:val="18"/>
              </w:rPr>
              <w:t>Informed Consent Form (phiếu thông tin và đồng thuận tham gia)</w:t>
            </w:r>
          </w:p>
        </w:tc>
      </w:tr>
      <w:tr>
        <w:tc>
          <w:tcPr>
            <w:tcW w:type="dxa" w:w="4677"/>
          </w:tcPr>
          <w:p>
            <w:r>
              <w:rPr>
                <w:sz w:val="18"/>
              </w:rPr>
              <w:t>ICMJE</w:t>
            </w:r>
          </w:p>
        </w:tc>
        <w:tc>
          <w:tcPr>
            <w:tcW w:type="dxa" w:w="4677"/>
          </w:tcPr>
          <w:p>
            <w:r>
              <w:rPr>
                <w:sz w:val="18"/>
              </w:rPr>
              <w:t>International Committee of Medical Journal Editors</w:t>
            </w:r>
          </w:p>
        </w:tc>
      </w:tr>
      <w:tr>
        <w:tc>
          <w:tcPr>
            <w:tcW w:type="dxa" w:w="4677"/>
          </w:tcPr>
          <w:p>
            <w:r>
              <w:rPr>
                <w:sz w:val="18"/>
              </w:rPr>
              <w:t>IQR</w:t>
            </w:r>
          </w:p>
        </w:tc>
        <w:tc>
          <w:tcPr>
            <w:tcW w:type="dxa" w:w="4677"/>
          </w:tcPr>
          <w:p>
            <w:r>
              <w:rPr>
                <w:sz w:val="18"/>
              </w:rPr>
              <w:t>Interquartile Range (khoảng tứ phân vị)</w:t>
            </w:r>
          </w:p>
        </w:tc>
      </w:tr>
      <w:tr>
        <w:tc>
          <w:tcPr>
            <w:tcW w:type="dxa" w:w="4677"/>
          </w:tcPr>
          <w:p>
            <w:r>
              <w:rPr>
                <w:sz w:val="18"/>
              </w:rPr>
              <w:t>KTC 95%</w:t>
            </w:r>
          </w:p>
        </w:tc>
        <w:tc>
          <w:tcPr>
            <w:tcW w:type="dxa" w:w="4677"/>
          </w:tcPr>
          <w:p>
            <w:r>
              <w:rPr>
                <w:sz w:val="18"/>
              </w:rPr>
              <w:t>Khoảng tin cậy 95%</w:t>
            </w:r>
          </w:p>
        </w:tc>
      </w:tr>
      <w:tr>
        <w:tc>
          <w:tcPr>
            <w:tcW w:type="dxa" w:w="4677"/>
          </w:tcPr>
          <w:p>
            <w:r>
              <w:rPr>
                <w:sz w:val="18"/>
              </w:rPr>
              <w:t>MCAR/MAR/MNAR</w:t>
            </w:r>
          </w:p>
        </w:tc>
        <w:tc>
          <w:tcPr>
            <w:tcW w:type="dxa" w:w="4677"/>
          </w:tcPr>
          <w:p>
            <w:r>
              <w:rPr>
                <w:sz w:val="18"/>
              </w:rPr>
              <w:t>Missing Completely At Random / At Random / Not At Random</w:t>
            </w:r>
          </w:p>
        </w:tc>
      </w:tr>
      <w:tr>
        <w:tc>
          <w:tcPr>
            <w:tcW w:type="dxa" w:w="4677"/>
          </w:tcPr>
          <w:p>
            <w:r>
              <w:rPr>
                <w:sz w:val="18"/>
              </w:rPr>
              <w:t>MICE</w:t>
            </w:r>
          </w:p>
        </w:tc>
        <w:tc>
          <w:tcPr>
            <w:tcW w:type="dxa" w:w="4677"/>
          </w:tcPr>
          <w:p>
            <w:r>
              <w:rPr>
                <w:sz w:val="18"/>
              </w:rPr>
              <w:t>Multiple Imputation by Chained Equations</w:t>
            </w:r>
          </w:p>
        </w:tc>
      </w:tr>
      <w:tr>
        <w:tc>
          <w:tcPr>
            <w:tcW w:type="dxa" w:w="4677"/>
          </w:tcPr>
          <w:p>
            <w:r>
              <w:rPr>
                <w:sz w:val="18"/>
              </w:rPr>
              <w:t>MT1/MT2</w:t>
            </w:r>
          </w:p>
        </w:tc>
        <w:tc>
          <w:tcPr>
            <w:tcW w:type="dxa" w:w="4677"/>
          </w:tcPr>
          <w:p>
            <w:r>
              <w:rPr>
                <w:sz w:val="18"/>
              </w:rPr>
              <w:t>Mục tiêu 1 / Mục tiêu 2</w:t>
            </w:r>
          </w:p>
        </w:tc>
      </w:tr>
      <w:tr>
        <w:tc>
          <w:tcPr>
            <w:tcW w:type="dxa" w:w="4677"/>
          </w:tcPr>
          <w:p>
            <w:r>
              <w:rPr>
                <w:sz w:val="18"/>
              </w:rPr>
              <w:t>NĐ</w:t>
            </w:r>
          </w:p>
        </w:tc>
        <w:tc>
          <w:tcPr>
            <w:tcW w:type="dxa" w:w="4677"/>
          </w:tcPr>
          <w:p>
            <w:r>
              <w:rPr>
                <w:sz w:val="18"/>
              </w:rPr>
              <w:t>Nghị định</w:t>
            </w:r>
          </w:p>
        </w:tc>
      </w:tr>
      <w:tr>
        <w:tc>
          <w:tcPr>
            <w:tcW w:type="dxa" w:w="4677"/>
          </w:tcPr>
          <w:p>
            <w:r>
              <w:rPr>
                <w:sz w:val="18"/>
              </w:rPr>
              <w:t>OR</w:t>
            </w:r>
          </w:p>
        </w:tc>
        <w:tc>
          <w:tcPr>
            <w:tcW w:type="dxa" w:w="4677"/>
          </w:tcPr>
          <w:p>
            <w:r>
              <w:rPr>
                <w:sz w:val="18"/>
              </w:rPr>
              <w:t>Odds Ratio (tỷ số chênh)</w:t>
            </w:r>
          </w:p>
        </w:tc>
      </w:tr>
      <w:tr>
        <w:tc>
          <w:tcPr>
            <w:tcW w:type="dxa" w:w="4677"/>
          </w:tcPr>
          <w:p>
            <w:r>
              <w:rPr>
                <w:sz w:val="18"/>
              </w:rPr>
              <w:t>PMID</w:t>
            </w:r>
          </w:p>
        </w:tc>
        <w:tc>
          <w:tcPr>
            <w:tcW w:type="dxa" w:w="4677"/>
          </w:tcPr>
          <w:p>
            <w:r>
              <w:rPr>
                <w:sz w:val="18"/>
              </w:rPr>
              <w:t>PubMed Identifier</w:t>
            </w:r>
          </w:p>
        </w:tc>
      </w:tr>
      <w:tr>
        <w:tc>
          <w:tcPr>
            <w:tcW w:type="dxa" w:w="4677"/>
          </w:tcPr>
          <w:p>
            <w:r>
              <w:rPr>
                <w:sz w:val="18"/>
              </w:rPr>
              <w:t>PSQ-18</w:t>
            </w:r>
          </w:p>
        </w:tc>
        <w:tc>
          <w:tcPr>
            <w:tcW w:type="dxa" w:w="4677"/>
          </w:tcPr>
          <w:p>
            <w:r>
              <w:rPr>
                <w:sz w:val="18"/>
              </w:rPr>
              <w:t>Patient Satisfaction Questionnaire Short-Form (18 mục)</w:t>
            </w:r>
          </w:p>
        </w:tc>
      </w:tr>
      <w:tr>
        <w:tc>
          <w:tcPr>
            <w:tcW w:type="dxa" w:w="4677"/>
          </w:tcPr>
          <w:p>
            <w:r>
              <w:rPr>
                <w:sz w:val="18"/>
              </w:rPr>
              <w:t>QC</w:t>
            </w:r>
          </w:p>
        </w:tc>
        <w:tc>
          <w:tcPr>
            <w:tcW w:type="dxa" w:w="4677"/>
          </w:tcPr>
          <w:p>
            <w:r>
              <w:rPr>
                <w:sz w:val="18"/>
              </w:rPr>
              <w:t>Quality Control (giám sát/kiểm soát chất lượng)</w:t>
            </w:r>
          </w:p>
        </w:tc>
      </w:tr>
      <w:tr>
        <w:tc>
          <w:tcPr>
            <w:tcW w:type="dxa" w:w="4677"/>
          </w:tcPr>
          <w:p>
            <w:r>
              <w:rPr>
                <w:sz w:val="18"/>
              </w:rPr>
              <w:t>QĐ</w:t>
            </w:r>
          </w:p>
        </w:tc>
        <w:tc>
          <w:tcPr>
            <w:tcW w:type="dxa" w:w="4677"/>
          </w:tcPr>
          <w:p>
            <w:r>
              <w:rPr>
                <w:sz w:val="18"/>
              </w:rPr>
              <w:t>Quyết định</w:t>
            </w:r>
          </w:p>
        </w:tc>
      </w:tr>
      <w:tr>
        <w:tc>
          <w:tcPr>
            <w:tcW w:type="dxa" w:w="4677"/>
          </w:tcPr>
          <w:p>
            <w:r>
              <w:rPr>
                <w:sz w:val="18"/>
              </w:rPr>
              <w:t>QH</w:t>
            </w:r>
          </w:p>
        </w:tc>
        <w:tc>
          <w:tcPr>
            <w:tcW w:type="dxa" w:w="4677"/>
          </w:tcPr>
          <w:p>
            <w:r>
              <w:rPr>
                <w:sz w:val="18"/>
              </w:rPr>
              <w:t>Quốc hội</w:t>
            </w:r>
          </w:p>
        </w:tc>
      </w:tr>
      <w:tr>
        <w:tc>
          <w:tcPr>
            <w:tcW w:type="dxa" w:w="4677"/>
          </w:tcPr>
          <w:p>
            <w:r>
              <w:rPr>
                <w:sz w:val="18"/>
              </w:rPr>
              <w:t>RACI</w:t>
            </w:r>
          </w:p>
        </w:tc>
        <w:tc>
          <w:tcPr>
            <w:tcW w:type="dxa" w:w="4677"/>
          </w:tcPr>
          <w:p>
            <w:r>
              <w:rPr>
                <w:sz w:val="18"/>
              </w:rPr>
              <w:t>Responsible-Accountable-Consulted-Informed</w:t>
            </w:r>
          </w:p>
        </w:tc>
      </w:tr>
      <w:tr>
        <w:tc>
          <w:tcPr>
            <w:tcW w:type="dxa" w:w="4677"/>
          </w:tcPr>
          <w:p>
            <w:r>
              <w:rPr>
                <w:sz w:val="18"/>
              </w:rPr>
              <w:t>SAP</w:t>
            </w:r>
          </w:p>
        </w:tc>
        <w:tc>
          <w:tcPr>
            <w:tcW w:type="dxa" w:w="4677"/>
          </w:tcPr>
          <w:p>
            <w:r>
              <w:rPr>
                <w:sz w:val="18"/>
              </w:rPr>
              <w:t>Statistical Analysis Plan (kế hoạch phân tích thống kê)</w:t>
            </w:r>
          </w:p>
        </w:tc>
      </w:tr>
      <w:tr>
        <w:tc>
          <w:tcPr>
            <w:tcW w:type="dxa" w:w="4677"/>
          </w:tcPr>
          <w:p>
            <w:r>
              <w:rPr>
                <w:sz w:val="18"/>
              </w:rPr>
              <w:t>SD</w:t>
            </w:r>
          </w:p>
        </w:tc>
        <w:tc>
          <w:tcPr>
            <w:tcW w:type="dxa" w:w="4677"/>
          </w:tcPr>
          <w:p>
            <w:r>
              <w:rPr>
                <w:sz w:val="18"/>
              </w:rPr>
              <w:t>Standard Deviation (độ lệch chuẩn)</w:t>
            </w:r>
          </w:p>
        </w:tc>
      </w:tr>
      <w:tr>
        <w:tc>
          <w:tcPr>
            <w:tcW w:type="dxa" w:w="4677"/>
          </w:tcPr>
          <w:p>
            <w:r>
              <w:rPr>
                <w:sz w:val="18"/>
              </w:rPr>
              <w:t>SERVQUAL</w:t>
            </w:r>
          </w:p>
        </w:tc>
        <w:tc>
          <w:tcPr>
            <w:tcW w:type="dxa" w:w="4677"/>
          </w:tcPr>
          <w:p>
            <w:r>
              <w:rPr>
                <w:sz w:val="18"/>
              </w:rPr>
              <w:t>Service Quality (mô hình đo chất lượng dịch vụ)</w:t>
            </w:r>
          </w:p>
        </w:tc>
      </w:tr>
      <w:tr>
        <w:tc>
          <w:tcPr>
            <w:tcW w:type="dxa" w:w="4677"/>
          </w:tcPr>
          <w:p>
            <w:r>
              <w:rPr>
                <w:sz w:val="18"/>
              </w:rPr>
              <w:t>STROBE</w:t>
            </w:r>
          </w:p>
        </w:tc>
        <w:tc>
          <w:tcPr>
            <w:tcW w:type="dxa" w:w="4677"/>
          </w:tcPr>
          <w:p>
            <w:r>
              <w:rPr>
                <w:sz w:val="18"/>
              </w:rPr>
              <w:t>STrengthening the Reporting of OBservational studies in Epidemiology</w:t>
            </w:r>
          </w:p>
        </w:tc>
      </w:tr>
      <w:tr>
        <w:tc>
          <w:tcPr>
            <w:tcW w:type="dxa" w:w="4677"/>
          </w:tcPr>
          <w:p>
            <w:r>
              <w:rPr>
                <w:sz w:val="18"/>
              </w:rPr>
              <w:t>TT</w:t>
            </w:r>
          </w:p>
        </w:tc>
        <w:tc>
          <w:tcPr>
            <w:tcW w:type="dxa" w:w="4677"/>
          </w:tcPr>
          <w:p>
            <w:r>
              <w:rPr>
                <w:sz w:val="18"/>
              </w:rPr>
              <w:t>Thông tư</w:t>
            </w:r>
          </w:p>
        </w:tc>
      </w:tr>
      <w:tr>
        <w:tc>
          <w:tcPr>
            <w:tcW w:type="dxa" w:w="4677"/>
          </w:tcPr>
          <w:p>
            <w:r>
              <w:rPr>
                <w:sz w:val="18"/>
              </w:rPr>
              <w:t>VIF/GVIF</w:t>
            </w:r>
          </w:p>
        </w:tc>
        <w:tc>
          <w:tcPr>
            <w:tcW w:type="dxa" w:w="4677"/>
          </w:tcPr>
          <w:p>
            <w:r>
              <w:rPr>
                <w:sz w:val="18"/>
              </w:rPr>
              <w:t>Variance/Generalized Variance Inflation Factor</w:t>
            </w:r>
          </w:p>
        </w:tc>
      </w:tr>
      <w:tr>
        <w:tc>
          <w:tcPr>
            <w:tcW w:type="dxa" w:w="4677"/>
          </w:tcPr>
          <w:p>
            <w:r>
              <w:rPr>
                <w:sz w:val="18"/>
              </w:rPr>
              <w:t>WHO</w:t>
            </w:r>
          </w:p>
        </w:tc>
        <w:tc>
          <w:tcPr>
            <w:tcW w:type="dxa" w:w="4677"/>
          </w:tcPr>
          <w:p>
            <w:r>
              <w:rPr>
                <w:sz w:val="18"/>
              </w:rPr>
              <w:t>World Health Organization</w:t>
            </w:r>
          </w:p>
        </w:tc>
      </w:tr>
      <w:tr>
        <w:tc>
          <w:tcPr>
            <w:tcW w:type="dxa" w:w="4677"/>
          </w:tcPr>
          <w:p>
            <w:r>
              <w:rPr>
                <w:sz w:val="18"/>
              </w:rPr>
              <w:t>WMA</w:t>
            </w:r>
          </w:p>
        </w:tc>
        <w:tc>
          <w:tcPr>
            <w:tcW w:type="dxa" w:w="4677"/>
          </w:tcPr>
          <w:p>
            <w:r>
              <w:rPr>
                <w:sz w:val="18"/>
              </w:rPr>
              <w:t>World Medical Association</w:t>
            </w:r>
          </w:p>
        </w:tc>
      </w:tr>
    </w:tbl>
    <w:p/>
    <w:p>
      <w:pPr>
        <w:pStyle w:val="Heading1"/>
      </w:pPr>
      <w:r>
        <w:t>1. ĐẶT VẤN ĐỀ</w:t>
      </w:r>
    </w:p>
    <w:p>
      <w: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 một bệnh viện quân y tuyến cuối tại Thành phố Hồ Chí Minh –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và không có lĩnh vực riêng cho khía cạnh chi phí dịch vụ theo yêu cầu; nhóm nghiên cứu vì vậy xây dựng một bộ câu hỏi riêng, phù hợp với đặc thù khối theo yêu cầu tại Khoa C1a (chi tiết và so sánh với khung của Bộ Y tế ở mục 3.2 và 4.5).</w:t>
      </w:r>
    </w:p>
    <w:p>
      <w: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pStyle w:val="Heading1"/>
      </w:pPr>
      <w:r>
        <w:t>2. MỤC TIÊU NGHIÊN CỨU</w:t>
      </w:r>
    </w:p>
    <w:p>
      <w:r>
        <w:rPr>
          <w:b/>
        </w:rPr>
        <w:t>Mục tiêu 1 (mô tả):</w:t>
      </w:r>
      <w:r>
        <w:t xml:space="preserve"> Xác định mức độ hài lòng của bệnh nhân trong hoạt động khám chữa bệnh tại Khoa Khám bệnh C1a, Trung tâm Khám bệnh và Điều trị theo yêu cầu C1, Bệnh viện Quân y 175.</w:t>
      </w:r>
    </w:p>
    <w:p>
      <w:r>
        <w:rPr>
          <w:b/>
        </w:rPr>
        <w:t>Mục tiêu 2 (phân tích):</w:t>
      </w:r>
      <w:r>
        <w:t xml:space="preserve"> Đánh giá một số yếu tố liên quan đến mức độ hài lòng của bệnh nhân trong hoạt động khám chữa bệnh tại Khoa Khám bệnh C1a.</w:t>
      </w:r>
    </w:p>
    <w:p>
      <w:r>
        <w:rPr>
          <w:i/>
        </w:rPr>
        <w:t>Do đây là nghiên cứu quan sát cắt ngang, Mục tiêu 2 chỉ nhằm xác định các mối liên quan, không nhằm và không cho phép suy diễn quan hệ nhân quả.</w:t>
      </w:r>
    </w:p>
    <w:p>
      <w:pPr>
        <w:pStyle w:val="Heading1"/>
      </w:pPr>
      <w:r>
        <w:t>3. TỔNG QUAN TÀI LIỆU</w:t>
      </w:r>
    </w:p>
    <w:p>
      <w:pPr>
        <w:pStyle w:val="Heading2"/>
      </w:pPr>
      <w:r>
        <w:t>3.1. Khái niệm hài lòng người bệnh và vai trò của nó như một chỉ số chất lượng</w:t>
      </w:r>
    </w:p>
    <w:p>
      <w: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 một tín hiệu trực tiếp liên quan đến bối cảnh của Khoa C1a.[1] Một nghiên cứu trên hệ thống chăm sóc ban đầu toàn quốc cho thấy tỷ lệ hài lòng nhìn chung cao (khoảng 85% ở trạm y tế và 73% ở bệnh viện huyện) và thời gian chờ dài đi kèm mức hài lòng thấp hơn.[2] Nghiên cứu trên người bệnh nội – ngoại trú tại một bệnh viện chuyên khoa ở Hà Nội cũng ghi nhận nhóm ngoại trú hài lòng thấp hơn nội trú, với miền "thời gian chờ" có điểm thấp nhất ở nhóm ngoại trú.[3] Các nghiên cứu về cấp phát thuốc bảo hiểm y tế ngoại trú[4] và về phòng khám ngoại trú điều trị ARV[5]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pStyle w:val="Heading2"/>
      </w:pPr>
      <w:r>
        <w:t>3.2. Các bộ công cụ đo lường sự hài lòng người bệnh ngoại trú</w:t>
      </w:r>
    </w:p>
    <w:p>
      <w:pPr>
        <w:pStyle w:val="Heading3"/>
      </w:pPr>
      <w:r>
        <w:t>3.2.1. Khung tham chiếu của Bộ Y tế Việt Nam — cập nhật văn bản hiện hành, dùng làm nền khái niệm để đối chiếu</w:t>
      </w:r>
    </w:p>
    <w:p>
      <w:r>
        <w:t xml:space="preserve">Quyết định 3869/QĐ-BYT ngày 28/8/2019 (ban hành bộ mẫu phiếu và hướng dẫn khảo sát sự hài lòng người bệnh và nhân viên y tế, trong đó có phiếu khảo sát ý kiến người bệnh ngoại trú) hiện </w:t>
      </w:r>
      <w:r>
        <w:rPr>
          <w:b/>
        </w:rPr>
        <w:t>không còn là văn bản hiện hành</w:t>
      </w:r>
      <w:r>
        <w:t xml:space="preserve">: Quyết định này – cụ thể là các mẫu phiếu nội trú và ngoại trú – đã bị thay thế. Văn bản thay thế là </w:t>
      </w:r>
      <w:r>
        <w:rPr>
          <w:b/>
        </w:rPr>
        <w:t>Quyết định 56/QĐ-BYT ngày 08/01/2024</w:t>
      </w:r>
      <w: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trú).[V1][V2]</w:t>
      </w:r>
    </w:p>
    <w:p>
      <w:r>
        <w:t xml:space="preserve">Các đặc điểm của Mẫu số 2 (phiếu ngoại trú, Quyết định 56/QĐ-BYT 2024), nêu ở đây </w:t>
      </w:r>
      <w:r>
        <w:rPr>
          <w:b/>
        </w:rPr>
        <w:t>thuần túy làm khung khái niệm tham chiếu</w:t>
      </w:r>
      <w:r>
        <w:t>:</w:t>
      </w:r>
    </w:p>
    <w:p>
      <w:pPr>
        <w:pStyle w:val="ListBullet"/>
      </w:pPr>
      <w:r>
        <w:rPr>
          <w:b/>
        </w:rPr>
        <w:t>Đối tượng khảo sát:</w:t>
      </w:r>
      <w:r>
        <w:t xml:space="preserve"> người bệnh ngoại trú từ đủ 18 tuổi trở lên (bao gồm cả phụ nữ mang thai), đủ sức khỏe và tỉnh táo để trả lời, được khảo sát </w:t>
      </w:r>
      <w:r>
        <w:rPr>
          <w:b/>
        </w:rPr>
        <w:t>sau khi đã cơ bản hoàn thành quy trình khám</w:t>
      </w:r>
      <w:r>
        <w:t>, và đồng ý tham gia.</w:t>
      </w:r>
    </w:p>
    <w:p>
      <w:pPr>
        <w:pStyle w:val="ListBullet"/>
      </w:pPr>
      <w:r>
        <w:rPr>
          <w:b/>
        </w:rPr>
        <w:t>Các lĩnh vực khảo sát:</w:t>
      </w:r>
      <w: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pPr>
      <w:r>
        <w:rPr>
          <w:b/>
        </w:rPr>
        <w:t>Thang trả lời:</w:t>
      </w:r>
      <w:r>
        <w:t xml:space="preserve"> thang Likert 5 mức.</w:t>
      </w:r>
    </w:p>
    <w:p>
      <w:r>
        <w:rPr>
          <w:b/>
        </w:rPr>
        <w:t>Đề tài này KHÔNG dùng nguyên văn Mẫu số 2 làm công cụ thu thập.</w:t>
      </w:r>
      <w:r>
        <w:t xml:space="preserve"> Nhóm nghiên cứu đã tự xây dựng một </w:t>
      </w:r>
      <w:r>
        <w:rPr>
          <w:b/>
        </w:rPr>
        <w:t>bộ câu hỏi riêng</w:t>
      </w:r>
      <w: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b/>
        </w:rPr>
        <w:t>chi phí dịch vụ</w:t>
      </w:r>
      <w:r>
        <w:t xml:space="preserve"> (lĩnh vực F) — phù hợp đặc thù khối khám theo yêu cầu/tự chi trả tại Khoa C1a mà khung chung của Bộ Y tế không tách riêng; và (b) một </w:t>
      </w:r>
      <w:r>
        <w:rPr>
          <w:b/>
        </w:rPr>
        <w:t>mục hài lòng chung độc lập</w:t>
      </w:r>
      <w:r>
        <w:t xml:space="preserve">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w:t>
      </w:r>
      <w:r>
        <w:rPr>
          <w:b/>
        </w:rPr>
        <w:t>đối chiếu khái niệm và tương thích chính sách</w:t>
      </w:r>
      <w:r>
        <w:t xml:space="preserve">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pStyle w:val="Heading3"/>
      </w:pPr>
      <w:r>
        <w:t>3.2.2. Các thang đo quốc tế để so sánh: SERVQUAL và PSQ-18</w:t>
      </w:r>
    </w:p>
    <w:p>
      <w:r>
        <w:t>Bên cạnh công cụ của Bộ Y tế, hai họ công cụ quốc tế thường được viện dẫn khi đo hài lòng ngoại trú.</w:t>
      </w:r>
    </w:p>
    <w:p>
      <w:r>
        <w:rPr>
          <w:b/>
        </w:rPr>
        <w:t>SERVQUAL</w:t>
      </w:r>
      <w: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Nam.[4] Đặc điểm của SERVQUAL là hỏi hai lượt (kỳ vọng và cảm nhận), do đó dài và phức tạp hơn khi tự điền tại một phòng khám đông – cần cân nhắc gánh nặng trả lời.</w:t>
      </w:r>
    </w:p>
    <w:p>
      <w:r>
        <w:rPr>
          <w:b/>
        </w:rPr>
        <w:t>PSQ-18</w:t>
      </w:r>
      <w: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nhau.[6][7][8]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r>
        <w:t xml:space="preserve">SERVQUAL và PSQ-18 được trình bày ở đây </w:t>
      </w:r>
      <w:r>
        <w:rPr>
          <w:b/>
        </w:rPr>
        <w:t>thuần túy với vai trò tài liệu tham khảo trong Tổng quan</w:t>
      </w:r>
      <w:r>
        <w:t xml:space="preserve">, làm khung khái niệm để đối chiếu và bàn luận khi so sánh kết quả của đề tài với y văn quốc tế về sau. Hai công cụ này </w:t>
      </w:r>
      <w:r>
        <w:rPr>
          <w:b/>
        </w:rPr>
        <w:t>không</w:t>
      </w:r>
      <w:r>
        <w:t xml:space="preserve"> được sử dụng làm công cụ thu thập của đề tài và </w:t>
      </w:r>
      <w:r>
        <w:rPr>
          <w:b/>
        </w:rPr>
        <w:t>không</w:t>
      </w:r>
      <w: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pStyle w:val="Heading2"/>
      </w:pPr>
      <w:r>
        <w:t>3.3. Các yếu tố liên quan đến sự hài lòng đã được ghi nhận trong y văn</w:t>
      </w:r>
    </w:p>
    <w:p>
      <w:r>
        <w:t>Y văn có nguồn đã ghi nhận một số yếu tố liên quan đến mức độ hài lòng của người bệnh ngoại trú, cung cấp cơ sở lý thuyết để chọn biến độc lập cho Mục tiêu 2:</w:t>
      </w:r>
    </w:p>
    <w:p>
      <w:pPr>
        <w:pStyle w:val="ListBullet"/>
      </w:pPr>
      <w:r>
        <w:rPr>
          <w:b/>
        </w:rPr>
        <w:t>Thời gian chờ:</w:t>
      </w:r>
      <w:r>
        <w:t xml:space="preserve"> thời gian chờ dài hơn đi kèm mức hài lòng thấp hơn, một cách khá nhất quán.[2][9][10]</w:t>
      </w:r>
    </w:p>
    <w:p>
      <w:pPr>
        <w:pStyle w:val="ListBullet"/>
      </w:pPr>
      <w:r>
        <w:rPr>
          <w:b/>
        </w:rPr>
        <w:t>Nơi cư trú/khoảng cách:</w:t>
      </w:r>
      <w:r>
        <w:t xml:space="preserve"> người bệnh ở tỉnh khác, hoặc khoảng cách đến cơ sở xa hơn, có xu hướng hài lòng thấp hơn.[1][10]</w:t>
      </w:r>
    </w:p>
    <w:p>
      <w:pPr>
        <w:pStyle w:val="ListBullet"/>
      </w:pPr>
      <w:r>
        <w:rPr>
          <w:b/>
        </w:rPr>
        <w:t>Nhóm đối tượng và hình thức chi trả:</w:t>
      </w:r>
      <w:r>
        <w:t xml:space="preserve"> nhóm sử dụng dịch vụ theo yêu cầu có thể hài lòng thấp hơn.[1]</w:t>
      </w:r>
    </w:p>
    <w:p>
      <w:pPr>
        <w:pStyle w:val="ListBullet"/>
      </w:pPr>
      <w:r>
        <w:rPr>
          <w:b/>
        </w:rPr>
        <w:t>Học vấn:</w:t>
      </w:r>
      <w:r>
        <w:t xml:space="preserve"> chiều liên quan giữa học vấn và hài lòng không nhất quán giữa các nghiên cứu, nên cần để ngỏ cả hai chiều.[9][10]</w:t>
      </w:r>
    </w:p>
    <w:p>
      <w:r>
        <w:t xml:space="preserve">Trên cơ sở tham chiếu phương pháp, một nghiên cứu cắt ngang tại </w:t>
      </w:r>
      <w:r>
        <w:rPr>
          <w:b/>
        </w:rPr>
        <w:t>Sierra Leone</w:t>
      </w:r>
      <w:r>
        <w:t xml:space="preserve">[10] đã sử dụng hồi quy logistic nhị phân đa biến để xác định các yếu tố liên quan, ghi nhận học vấn, khoảng cách và thời gian chờ có liên quan tới hài lòng. Nghiên cứu này được viện dẫn </w:t>
      </w:r>
      <w:r>
        <w:rPr>
          <w:b/>
        </w:rPr>
        <w:t>thuần túy như một tham chiếu về danh mục biến ứng viên và cách tiếp cận phân tích đa biến</w:t>
      </w:r>
      <w:r>
        <w:t xml:space="preserve">, và </w:t>
      </w:r>
      <w:r>
        <w:rPr>
          <w:b/>
        </w:rPr>
        <w:t>không</w:t>
      </w:r>
      <w:r>
        <w:t xml:space="preserve"> thuộc nhóm nghiên cứu tại Việt Nam.</w:t>
      </w:r>
    </w:p>
    <w:p>
      <w:pPr>
        <w:pStyle w:val="Heading2"/>
      </w:pPr>
      <w:r>
        <w:t>3.4. Bối cảnh khám theo yêu cầu và môi trường quân y</w:t>
      </w:r>
    </w:p>
    <w:p>
      <w:r>
        <w:t xml:space="preserve">Khối khám theo yêu cầu/dịch vụ đã được nghiên cứu ở một số cơ sở tại Việt Nam. Do đó, khoảng trống của đề tài này </w:t>
      </w:r>
      <w:r>
        <w:rPr>
          <w:b/>
        </w:rPr>
        <w:t>không phải</w:t>
      </w:r>
      <w: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pStyle w:val="Heading2"/>
      </w:pPr>
      <w:r>
        <w:t>3.5. Khoảng trống nghiên cứu và tính mới</w:t>
      </w:r>
    </w:p>
    <w:p>
      <w: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t xml:space="preserve">Vì vậy, tính mới của đề tài nằm ở việc </w:t>
      </w:r>
      <w:r>
        <w:rPr>
          <w:b/>
        </w:rPr>
        <w:t>mở rộng/nhân rộng vào một bối cảnh mới</w:t>
      </w:r>
      <w:r>
        <w:t xml:space="preserve">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pPr>
        <w:pStyle w:val="Heading1"/>
      </w:pPr>
      <w:r>
        <w:t>4. ĐỐI TƯỢNG VÀ PHƯƠNG PHÁP NGHIÊN CỨU</w:t>
      </w:r>
    </w:p>
    <w:p>
      <w:pPr>
        <w:pStyle w:val="Heading2"/>
      </w:pPr>
      <w:r>
        <w:t>4.1. Thiết kế nghiên cứu</w:t>
      </w:r>
    </w:p>
    <w:p>
      <w:r>
        <w:t xml:space="preserve">Nghiên cứu </w:t>
      </w:r>
      <w:r>
        <w:rPr>
          <w:b/>
        </w:rPr>
        <w:t>mô tả cắt ngang có phân tích</w:t>
      </w:r>
      <w:r>
        <w:t xml:space="preserve"> (analytical cross-sectional), báo cáo theo chuẩn </w:t>
      </w:r>
      <w:r>
        <w:rPr>
          <w:b/>
        </w:rPr>
        <w:t>STROBE</w:t>
      </w:r>
      <w:r>
        <w:t xml:space="preserve"> phiên bản cross-sectional (checklist 22 mục).[11]</w:t>
      </w:r>
    </w:p>
    <w:p>
      <w: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b/>
        </w:rPr>
        <w:t>không cho phép suy diễn nhân quả</w:t>
      </w:r>
      <w: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quan).[1][4][9][10]</w:t>
      </w:r>
    </w:p>
    <w:p>
      <w:r>
        <w:t>Đề tài đã cân nhắc và loại các thiết kế thay thế: đoàn hệ tiến cứu (vượt nhu cầu câu hỏi hiện tại vốn là mức hài lòng hiện tại, và không khả thi về nguồn lực trong phạm vi một khoa), bệnh–chứng (không phù hợp cho câu hỏi ước lượng tỷ lệ; hài lòng là kết cục phổ biến nên không có lợi thế), và cấu phần định tính (chỉ bổ trợ, không thay được cắt ngang; không bắt buộc trong đề tài này).</w:t>
      </w:r>
    </w:p>
    <w:p>
      <w:r>
        <w:t>Vì là nghiên cứu quan sát không can thiệp, không áp dụng khung estimand ICH E9(R1).</w:t>
      </w:r>
    </w:p>
    <w:p>
      <w:r>
        <w:t>Ba giới hạn của thiết kế được ghi nhận trước và cần được lưu ý khi diễn giải kết quả: (a) không suy nhân quả; (b) thiên kiến "người còn lui tới" –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pStyle w:val="Heading2"/>
      </w:pPr>
      <w:r>
        <w:t>4.2. Địa điểm và thời gian nghiên cứu</w:t>
      </w:r>
    </w:p>
    <w:p>
      <w:r>
        <w:rPr>
          <w:b/>
        </w:rPr>
        <w:t>Địa điểm:</w:t>
      </w:r>
      <w:r>
        <w:t xml:space="preserve"> Khoa Khám bệnh C1a, Trung tâm Khám bệnh và Điều trị theo yêu cầu C1, Bệnh viện Quân y 175 (Thành phố Hồ Chí Minh) – đơn vị khám ngoại trú theo yêu cầu (dịch vụ).</w:t>
      </w:r>
    </w:p>
    <w:p>
      <w:r>
        <w:rPr>
          <w:b/>
        </w:rPr>
        <w:t>Thời gian:</w:t>
      </w:r>
      <w: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b/>
        </w:rPr>
        <w:t>sau khi</w:t>
      </w:r>
      <w:r>
        <w:t xml:space="preserve"> được Hội đồng Đạo đức và lãnh đạo Bệnh viện Quân y 175 phê duyệt.</w:t>
      </w:r>
    </w:p>
    <w:p>
      <w:pPr>
        <w:pStyle w:val="Heading2"/>
      </w:pPr>
      <w:r>
        <w:t>4.3. Đối tượng nghiên cứu</w:t>
      </w:r>
    </w:p>
    <w:p>
      <w:r>
        <w:rPr>
          <w:b/>
        </w:rPr>
        <w:t>Quần thể đích:</w:t>
      </w:r>
      <w:r>
        <w:t xml:space="preserve"> người bệnh khám chữa bệnh ngoại trú theo yêu cầu (dịch vụ) tại các cơ sở tương tự.</w:t>
      </w:r>
    </w:p>
    <w:p>
      <w:r>
        <w:rPr>
          <w:b/>
        </w:rPr>
        <w:t>Quần thể nghiên cứu:</w:t>
      </w:r>
      <w:r>
        <w:t xml:space="preserve"> người bệnh đến khám tại Khoa C1a trong khung thời gian thu thập, thỏa mãn tiêu chuẩn chọn/loại.</w:t>
      </w:r>
    </w:p>
    <w:p>
      <w:r>
        <w:rPr>
          <w:b/>
        </w:rPr>
        <w:t>Đơn vị quan sát:</w:t>
      </w:r>
      <w:r>
        <w:t xml:space="preserve"> một lượt khám của một người bệnh; mỗi đối tượng chỉ vào nghiên cứu một lần.</w:t>
      </w:r>
    </w:p>
    <w:p>
      <w:pPr>
        <w:pStyle w:val="Heading3"/>
      </w:pPr>
      <w:r>
        <w:t>4.3.1. Tiêu chuẩn chọn vào</w:t>
      </w:r>
    </w:p>
    <w:p>
      <w:r>
        <w:t>Do nhóm nghiên cứu tự ấn định (tương thích khái niệm với tiêu chuẩn đối tượng của Mẫu số 2 — Quyết định 56/QĐ-BYT 2024 — mục 3.2.1, nhưng là quyết định của đề tài, không phải yêu cầu bắt buộc của văn bản đó vì công cụ thu thập là bộ câu hỏi tự xây dựng):</w:t>
      </w:r>
    </w:p>
    <w:p>
      <w:pPr>
        <w:pStyle w:val="ListBullet"/>
      </w:pPr>
      <w:r>
        <w:t xml:space="preserve">Người bệnh ngoại trú </w:t>
      </w:r>
      <w:r>
        <w:rPr>
          <w:b/>
        </w:rPr>
        <w:t>từ đủ 18 tuổi trở lên</w:t>
      </w:r>
      <w:r>
        <w:t xml:space="preserve"> (bao gồm cả phụ nữ mang thai);</w:t>
      </w:r>
    </w:p>
    <w:p>
      <w:pPr>
        <w:pStyle w:val="ListBullet"/>
      </w:pPr>
      <w:r>
        <w:t>Đủ sức khỏe, tỉnh táo và đủ năng lực (nhận thức/ngôn ngữ) để trả lời;</w:t>
      </w:r>
    </w:p>
    <w:p>
      <w:pPr>
        <w:pStyle w:val="ListBullet"/>
      </w:pPr>
      <w:r>
        <w:t xml:space="preserve">Đã </w:t>
      </w:r>
      <w:r>
        <w:rPr>
          <w:b/>
        </w:rPr>
        <w:t>cơ bản hoàn thành quy trình khám</w:t>
      </w:r>
      <w:r>
        <w:t xml:space="preserve"> tại Khoa C1a (đang chờ thanh toán/nhận thuốc/nhận lại thẻ bảo hiểm y tế), để phản ánh trọn trải nghiệm lần khám;</w:t>
      </w:r>
    </w:p>
    <w:p>
      <w:pPr>
        <w:pStyle w:val="ListBullet"/>
      </w:pPr>
      <w:r>
        <w:rPr>
          <w:b/>
        </w:rPr>
        <w:t>Đồng ý tham gia</w:t>
      </w:r>
      <w:r>
        <w:t xml:space="preserve"> một cách tự nguyện sau khi được giải thích.</w:t>
      </w:r>
    </w:p>
    <w:p>
      <w:pPr>
        <w:pStyle w:val="Heading3"/>
      </w:pPr>
      <w:r>
        <w:t>4.3.2. Tiêu chuẩn loại trừ</w:t>
      </w:r>
    </w:p>
    <w:p>
      <w:pPr>
        <w:pStyle w:val="ListBullet"/>
      </w:pPr>
      <w:r>
        <w:t>Từ chối tham gia;</w:t>
      </w:r>
    </w:p>
    <w:p>
      <w:pPr>
        <w:pStyle w:val="ListBullet"/>
      </w:pPr>
      <w:r>
        <w:t>Không đủ năng lực trả lời (tình trạng cấp cứu, suy giảm nhận thức, rào cản ngôn ngữ không khắc phục được);</w:t>
      </w:r>
    </w:p>
    <w:p>
      <w:pPr>
        <w:pStyle w:val="ListBullet"/>
      </w:pPr>
      <w:r>
        <w:t>Nhân viên y tế của chính khoa/bệnh viện đi khám (nguy cơ xung đột/thiên lệch đánh giá);</w:t>
      </w:r>
    </w:p>
    <w:p>
      <w:pPr>
        <w:pStyle w:val="ListBullet"/>
      </w:pPr>
      <w:r>
        <w:t>Đã tham gia nghiên cứu này ở lượt trước trong cùng kỳ (chống trùng);</w:t>
      </w:r>
    </w:p>
    <w:p>
      <w:pPr>
        <w:pStyle w:val="ListBullet"/>
      </w:pPr>
      <w:r>
        <w:t>Phiếu khuyết dữ liệu vượt ngưỡng cho phép (loại phiếu nếu tỷ lệ mục bỏ trống trên toàn phiếu vượt ngưỡng khóa tại SAP).</w:t>
      </w:r>
    </w:p>
    <w:p>
      <w:pPr>
        <w:pStyle w:val="Heading2"/>
      </w:pPr>
      <w:r>
        <w:t>4.4. Cỡ mẫu và phương pháp chọn mẫu</w:t>
      </w:r>
    </w:p>
    <w:p>
      <w:pPr>
        <w:pStyle w:val="Heading3"/>
      </w:pPr>
      <w:r>
        <w:t>4.4.1. Cỡ mẫu</w:t>
      </w:r>
    </w:p>
    <w:p>
      <w:r>
        <w:rPr>
          <w:b/>
        </w:rPr>
        <w:t>Cỡ mẫu nghiên cứu là 1000, do Hội đồng ấn định.</w:t>
      </w:r>
      <w:r>
        <w:t xml:space="preserve"> Con số này được biện minh về mặt phương pháp như sau. Kết cục phân tích chính của Mục tiêu 2 là G1 — một biến </w:t>
      </w:r>
      <w:r>
        <w:rPr>
          <w:b/>
        </w:rPr>
        <w:t>thứ hạng (ordinal) 5 mức</w:t>
      </w:r>
      <w:r>
        <w:t xml:space="preserve">, phân tích bằng </w:t>
      </w:r>
      <w:r>
        <w:rPr>
          <w:b/>
        </w:rPr>
        <w:t>hồi quy logistic thứ tự proportional odds</w:t>
      </w:r>
      <w:r>
        <w:t xml:space="preserve"> (mục 4.5.2, 4.10); phần lớn lập luận cỡ mẫu cho Mục tiêu 2 dưới đây được trình bày theo </w:t>
      </w:r>
      <w:r>
        <w:rPr>
          <w:b/>
        </w:rPr>
        <w:t>số tham số (bậc tự do) của mô hình</w:t>
      </w:r>
      <w:r>
        <w:t xml:space="preserve">, chứ không theo "số biến"; mỗi biến hạng mục có </w:t>
      </w:r>
      <w:r>
        <w:rPr>
          <w:i/>
        </w:rPr>
        <w:t>k</w:t>
      </w:r>
      <w:r>
        <w:t xml:space="preserve"> mức đóng góp (</w:t>
      </w:r>
      <w:r>
        <w:rPr>
          <w:i/>
        </w:rPr>
        <w:t>k</w:t>
      </w:r>
      <w:r>
        <w:t xml:space="preserve"> − 1) tham số, mỗi biến liên tục đóng góp 1 tham số, và mỗi số hạng tương tác đóng góp thêm tham số.</w:t>
      </w:r>
    </w:p>
    <w:p>
      <w:r>
        <w:rPr>
          <w:b/>
        </w:rPr>
        <w:t>Cỡ mẫu tối thiểu cho Mục tiêu 1 (ước lượng một tỷ lệ theo độ chính xác)</w:t>
      </w:r>
      <w:r>
        <w:t xml:space="preserve"> áp dụng công thức của Lwanga &amp; Lemeshow (WHO, 1991):</w:t>
      </w:r>
    </w:p>
    <w:p>
      <w:r>
        <w:t>n₀ = Z²₁₋α/₂ · p(1 − p) / d²</w:t>
      </w:r>
    </w:p>
    <w:p>
      <w:r>
        <w:t>với Z₁₋α/₂ = 1,96 (α = 0,05 hai đuôi), tỷ lệ hài lòng kỳ vọng p = 0,50 (giá trị thận trọng cho cỡ mẫu tối đa vì p(1 − p) đạt cực đại tại p = 0,5, khi chưa có số liệu pilot), và sai số tuyệt đối d = 0,05. Kết quả:</w:t>
      </w:r>
    </w:p>
    <w:p>
      <w:r>
        <w:t xml:space="preserve">n₀ = 1,96² × 0,50 × 0,50 / 0,05² = 384,16 → </w:t>
      </w:r>
      <w:r>
        <w:rPr>
          <w:b/>
        </w:rPr>
        <w:t>n₁ = 385</w:t>
      </w:r>
      <w:r>
        <w:t xml:space="preserve"> (chưa bù không trả lời). Dự phòng tỷ lệ không trả lời/phiếu lỗi 15%, cỡ mẫu cho riêng Mục tiêu 1 ≈ 385 / (1 − 0,15) ≈ </w:t>
      </w:r>
      <w:r>
        <w:rPr>
          <w:b/>
        </w:rPr>
        <w:t>453</w:t>
      </w:r>
      <w:r>
        <w:t>.</w:t>
      </w:r>
    </w:p>
    <w:p>
      <w:r>
        <w:rPr>
          <w:b/>
        </w:rPr>
        <w:t>Cỡ mẫu tối thiểu cho Mục tiêu 2 — mô hình chính (hồi quy logistic thứ tự proportional odds trên G1).</w:t>
      </w:r>
      <w:r>
        <w:t xml:space="preserve"> Chưa có một công thức đơn giản, được đồng thuận rộng rãi cho cỡ mẫu của hồi quy logistic thứ tự (khác với hồi quy tuyến tính hay logistic nhị phân). Quy tắc thực dụng được đề tài áp dụng là </w:t>
      </w:r>
      <w:r>
        <w:rPr>
          <w:b/>
        </w:rPr>
        <w:t>mở rộng quy tắc events-per-parameter (EPV ≥ 10) của hồi quy logistic nhị phân</w:t>
      </w:r>
      <w:r>
        <w:t xml:space="preserve">[12] sang mô hình thứ tự, theo hướng dẫn practical của Bender &amp; Grouven về hồi quy logistic thứ tự trong nghiên cứu y học:[20] coi mô hình proportional odds như một họ các so sánh nhị phân lồng nhau tại từng ranh giới cắt (cut-point) giữa các mức của G1, và ràng buộc chặt nhất rơi vào </w:t>
      </w:r>
      <w:r>
        <w:rPr>
          <w:b/>
        </w:rPr>
        <w:t>mức ít gặp nhất trong 5 mức của G1</w:t>
      </w:r>
      <w:r>
        <w:t xml:space="preserve"> (nhiều khả năng là mức 1 "Rất không hài lòng", do hiệu ứng trần điểm dự kiến — mục 4.8). Với tổng số tham số dự kiến </w:t>
      </w:r>
      <w:r>
        <w:rPr>
          <w:i/>
        </w:rPr>
        <w:t>p</w:t>
      </w:r>
      <w:r>
        <w:t xml:space="preserve"> của mô hình chính ước khoảng 15–25 (tùy danh mục biến và không có số hạng tương tác định trước — mục 4.6.2, 4.10), quy tắc EPV ≥ 10 áp cho mức ít gặp nhất đòi hỏi khoảng 150–250 quan sát ở đúng mức đó; đây là ràng buộc cần được rà lại bằng dữ liệu mô tả thật (Bảng 5.2) ngay khi có, và là một trong các lý do khiến n = 1000 (thay vì n tối thiểu theo lý thuyết) là một biên độ an toàn hợp lý cho outcome thứ hạng có khả năng lệch phân bố.</w:t>
      </w:r>
    </w:p>
    <w:p>
      <w:r>
        <w:rPr>
          <w:b/>
        </w:rPr>
        <w:t>Cỡ mẫu cho phân tích nhạy cảm (hồi quy tuyến tính robust HC3 trên G1 coi là liên tục).</w:t>
      </w:r>
      <w:r>
        <w:t xml:space="preserve"> Phân tích nhạy cảm dùng hồi quy tuyến tính đa biến (mục 4.10) áp quy tắc kinh điển cho hồi quy tuyến tính: để kiểm định từng hệ số cần tối thiểu khoảng </w:t>
      </w:r>
      <w:r>
        <w:rPr>
          <w:i/>
        </w:rPr>
        <w:t>n</w:t>
      </w:r>
      <w:r>
        <w:t xml:space="preserve"> ≥ 104 + </w:t>
      </w:r>
      <w:r>
        <w:rPr>
          <w:i/>
        </w:rPr>
        <w:t>p</w:t>
      </w:r>
      <w:r>
        <w:t xml:space="preserve"> (với </w:t>
      </w:r>
      <w:r>
        <w:rPr>
          <w:i/>
        </w:rPr>
        <w:t>p</w:t>
      </w:r>
      <w:r>
        <w:t xml:space="preserve"> là tổng số tham số dự báo trong mô hình),[19]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i/>
        </w:rPr>
        <w:t>p</w:t>
      </w:r>
      <w:r>
        <w:t xml:space="preserve"> ước khoảng 15–25, quy tắc này cho cỡ mẫu tối thiểu thấp hơn nhiều so với n = 1000 — đây là phân tích nhạy cảm, không phải mô hình chi phối quyết định cỡ mẫu.</w:t>
      </w:r>
    </w:p>
    <w:p>
      <w: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10).[12] Cần lưu ý một nghịch lý phương pháp: khi tỷ lệ hài lòng cao (theo y văn ngoại trú Việt Nam thường 73–85%),[2]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r>
        <w:rPr>
          <w:b/>
        </w:rPr>
        <w:t>Kết luận về cỡ mẫu:</w:t>
      </w:r>
      <w: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 chặt hơn mức thường quy ±5%.</w:t>
      </w:r>
    </w:p>
    <w:p>
      <w:r>
        <w:t>Bảng độ nhạy dưới đây minh họa các giả định chi phối cỡ mẫu để làm rõ vì sao n = 1000 là dư an toàn.</w:t>
      </w:r>
    </w:p>
    <w:p>
      <w:r>
        <w:rPr>
          <w:i/>
        </w:rPr>
        <w:t>Bảng 4.1. Cỡ mẫu tối thiểu cho Mục tiêu 1 theo p và d (chưa bù không trả lời).</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p (tỷ lệ hài lòng kỳ vọng)</w:t>
            </w:r>
          </w:p>
        </w:tc>
        <w:tc>
          <w:tcPr>
            <w:tcW w:type="dxa" w:w="2339"/>
          </w:tcPr>
          <w:p>
            <w:r>
              <w:rPr>
                <w:b/>
                <w:sz w:val="18"/>
              </w:rPr>
              <w:t>d = 0,03</w:t>
            </w:r>
          </w:p>
        </w:tc>
        <w:tc>
          <w:tcPr>
            <w:tcW w:type="dxa" w:w="2339"/>
          </w:tcPr>
          <w:p>
            <w:r>
              <w:rPr>
                <w:b/>
                <w:sz w:val="18"/>
              </w:rPr>
              <w:t>d = 0,04</w:t>
            </w:r>
          </w:p>
        </w:tc>
        <w:tc>
          <w:tcPr>
            <w:tcW w:type="dxa" w:w="2339"/>
          </w:tcPr>
          <w:p>
            <w:r>
              <w:rPr>
                <w:b/>
                <w:sz w:val="18"/>
              </w:rPr>
              <w:t>d = 0,05</w:t>
            </w:r>
          </w:p>
        </w:tc>
      </w:tr>
      <w:tr>
        <w:tc>
          <w:tcPr>
            <w:tcW w:type="dxa" w:w="2339"/>
          </w:tcPr>
          <w:p>
            <w:r>
              <w:rPr>
                <w:sz w:val="18"/>
              </w:rPr>
              <w:t>0,50 (thận trọng)</w:t>
            </w:r>
          </w:p>
        </w:tc>
        <w:tc>
          <w:tcPr>
            <w:tcW w:type="dxa" w:w="2339"/>
          </w:tcPr>
          <w:p>
            <w:r>
              <w:rPr>
                <w:sz w:val="18"/>
              </w:rPr>
              <w:t>1068</w:t>
            </w:r>
          </w:p>
        </w:tc>
        <w:tc>
          <w:tcPr>
            <w:tcW w:type="dxa" w:w="2339"/>
          </w:tcPr>
          <w:p>
            <w:r>
              <w:rPr>
                <w:sz w:val="18"/>
              </w:rPr>
              <w:t>601</w:t>
            </w:r>
          </w:p>
        </w:tc>
        <w:tc>
          <w:tcPr>
            <w:tcW w:type="dxa" w:w="2339"/>
          </w:tcPr>
          <w:p>
            <w:r>
              <w:rPr>
                <w:sz w:val="18"/>
              </w:rPr>
              <w:t>385</w:t>
            </w:r>
          </w:p>
        </w:tc>
      </w:tr>
      <w:tr>
        <w:tc>
          <w:tcPr>
            <w:tcW w:type="dxa" w:w="2339"/>
          </w:tcPr>
          <w:p>
            <w:r>
              <w:rPr>
                <w:sz w:val="18"/>
              </w:rPr>
              <w:t>0,734 (VHFA Việt Nam[2])</w:t>
            </w:r>
          </w:p>
        </w:tc>
        <w:tc>
          <w:tcPr>
            <w:tcW w:type="dxa" w:w="2339"/>
          </w:tcPr>
          <w:p>
            <w:r>
              <w:rPr>
                <w:sz w:val="18"/>
              </w:rPr>
              <w:t>834</w:t>
            </w:r>
          </w:p>
        </w:tc>
        <w:tc>
          <w:tcPr>
            <w:tcW w:type="dxa" w:w="2339"/>
          </w:tcPr>
          <w:p>
            <w:r>
              <w:rPr>
                <w:sz w:val="18"/>
              </w:rPr>
              <w:t>469</w:t>
            </w:r>
          </w:p>
        </w:tc>
        <w:tc>
          <w:tcPr>
            <w:tcW w:type="dxa" w:w="2339"/>
          </w:tcPr>
          <w:p>
            <w:r>
              <w:rPr>
                <w:sz w:val="18"/>
              </w:rPr>
              <w:t>301</w:t>
            </w:r>
          </w:p>
        </w:tc>
      </w:tr>
      <w:tr>
        <w:tc>
          <w:tcPr>
            <w:tcW w:type="dxa" w:w="2339"/>
          </w:tcPr>
          <w:p>
            <w:r>
              <w:rPr>
                <w:sz w:val="18"/>
              </w:rPr>
              <w:t>0,85 (mục tiêu QĐ 56 đến 2025)</w:t>
            </w:r>
          </w:p>
        </w:tc>
        <w:tc>
          <w:tcPr>
            <w:tcW w:type="dxa" w:w="2339"/>
          </w:tcPr>
          <w:p>
            <w:r>
              <w:rPr>
                <w:sz w:val="18"/>
              </w:rPr>
              <w:t>545</w:t>
            </w:r>
          </w:p>
        </w:tc>
        <w:tc>
          <w:tcPr>
            <w:tcW w:type="dxa" w:w="2339"/>
          </w:tcPr>
          <w:p>
            <w:r>
              <w:rPr>
                <w:sz w:val="18"/>
              </w:rPr>
              <w:t>307</w:t>
            </w:r>
          </w:p>
        </w:tc>
        <w:tc>
          <w:tcPr>
            <w:tcW w:type="dxa" w:w="2339"/>
          </w:tcPr>
          <w:p>
            <w:r>
              <w:rPr>
                <w:sz w:val="18"/>
              </w:rPr>
              <w:t>196</w:t>
            </w:r>
          </w:p>
        </w:tc>
      </w:tr>
      <w:tr>
        <w:tc>
          <w:tcPr>
            <w:tcW w:type="dxa" w:w="2339"/>
          </w:tcPr>
          <w:p>
            <w:r>
              <w:rPr>
                <w:sz w:val="18"/>
              </w:rPr>
              <w:t>0,90 (mục tiêu QĐ 56 đến 2030)</w:t>
            </w:r>
          </w:p>
        </w:tc>
        <w:tc>
          <w:tcPr>
            <w:tcW w:type="dxa" w:w="2339"/>
          </w:tcPr>
          <w:p>
            <w:r>
              <w:rPr>
                <w:sz w:val="18"/>
              </w:rPr>
              <w:t>385</w:t>
            </w:r>
          </w:p>
        </w:tc>
        <w:tc>
          <w:tcPr>
            <w:tcW w:type="dxa" w:w="2339"/>
          </w:tcPr>
          <w:p>
            <w:r>
              <w:rPr>
                <w:sz w:val="18"/>
              </w:rPr>
              <w:t>217</w:t>
            </w:r>
          </w:p>
        </w:tc>
        <w:tc>
          <w:tcPr>
            <w:tcW w:type="dxa" w:w="2339"/>
          </w:tcPr>
          <w:p>
            <w:r>
              <w:rPr>
                <w:sz w:val="18"/>
              </w:rPr>
              <w:t>139</w:t>
            </w:r>
          </w:p>
        </w:tc>
      </w:tr>
    </w:tbl>
    <w:p/>
    <w:p>
      <w:r>
        <w:rPr>
          <w:i/>
        </w:rPr>
        <w:t>Bảng 4.2. Cỡ mẫu tối thiểu cho kết cục nhị phân thứ cấp (hồi quy logistic) theo số tham số của mô hình và tỷ lệ "chưa hài lòng" (10 biến cố/tham số).</w:t>
      </w:r>
    </w:p>
    <w:tbl>
      <w:tblPr>
        <w:tblStyle w:val="LightGrid-Accent1"/>
        <w:tblW w:type="auto" w:w="0"/>
        <w:tblLook w:firstColumn="1" w:firstRow="1" w:lastColumn="0" w:lastRow="0" w:noHBand="0" w:noVBand="1" w:val="04A0"/>
      </w:tblPr>
      <w:tblGrid>
        <w:gridCol w:w="1559"/>
        <w:gridCol w:w="1559"/>
        <w:gridCol w:w="1559"/>
        <w:gridCol w:w="1559"/>
        <w:gridCol w:w="1559"/>
        <w:gridCol w:w="1559"/>
      </w:tblGrid>
      <w:tr>
        <w:tc>
          <w:tcPr>
            <w:tcW w:type="dxa" w:w="1559"/>
          </w:tcPr>
          <w:p>
            <w:r>
              <w:rPr>
                <w:b/>
                <w:sz w:val="18"/>
              </w:rPr>
              <w:t>Tỷ lệ "chưa hài lòng"</w:t>
            </w:r>
          </w:p>
        </w:tc>
        <w:tc>
          <w:tcPr>
            <w:tcW w:type="dxa" w:w="1559"/>
          </w:tcPr>
          <w:p>
            <w:r>
              <w:rPr>
                <w:b/>
                <w:sz w:val="18"/>
              </w:rPr>
              <w:t>5 tham số</w:t>
            </w:r>
          </w:p>
        </w:tc>
        <w:tc>
          <w:tcPr>
            <w:tcW w:type="dxa" w:w="1559"/>
          </w:tcPr>
          <w:p>
            <w:r>
              <w:rPr>
                <w:b/>
                <w:sz w:val="18"/>
              </w:rPr>
              <w:t>8 tham số</w:t>
            </w:r>
          </w:p>
        </w:tc>
        <w:tc>
          <w:tcPr>
            <w:tcW w:type="dxa" w:w="1559"/>
          </w:tcPr>
          <w:p>
            <w:r>
              <w:rPr>
                <w:b/>
                <w:sz w:val="18"/>
              </w:rPr>
              <w:t>10 tham số</w:t>
            </w:r>
          </w:p>
        </w:tc>
        <w:tc>
          <w:tcPr>
            <w:tcW w:type="dxa" w:w="1559"/>
          </w:tcPr>
          <w:p>
            <w:r>
              <w:rPr>
                <w:b/>
                <w:sz w:val="18"/>
              </w:rPr>
              <w:t>12 tham số</w:t>
            </w:r>
          </w:p>
        </w:tc>
        <w:tc>
          <w:tcPr>
            <w:tcW w:type="dxa" w:w="1559"/>
          </w:tcPr>
          <w:p>
            <w:r>
              <w:rPr>
                <w:b/>
                <w:sz w:val="18"/>
              </w:rPr>
              <w:t>15 tham số</w:t>
            </w:r>
          </w:p>
        </w:tc>
      </w:tr>
      <w:tr>
        <w:tc>
          <w:tcPr>
            <w:tcW w:type="dxa" w:w="1559"/>
          </w:tcPr>
          <w:p>
            <w:r>
              <w:rPr>
                <w:sz w:val="18"/>
              </w:rPr>
              <w:t>0,10 (nếu hài lòng ≈ 90%)</w:t>
            </w:r>
          </w:p>
        </w:tc>
        <w:tc>
          <w:tcPr>
            <w:tcW w:type="dxa" w:w="1559"/>
          </w:tcPr>
          <w:p>
            <w:r>
              <w:rPr>
                <w:sz w:val="18"/>
              </w:rPr>
              <w:t>500</w:t>
            </w:r>
          </w:p>
        </w:tc>
        <w:tc>
          <w:tcPr>
            <w:tcW w:type="dxa" w:w="1559"/>
          </w:tcPr>
          <w:p>
            <w:r>
              <w:rPr>
                <w:sz w:val="18"/>
              </w:rPr>
              <w:t>800</w:t>
            </w:r>
          </w:p>
        </w:tc>
        <w:tc>
          <w:tcPr>
            <w:tcW w:type="dxa" w:w="1559"/>
          </w:tcPr>
          <w:p>
            <w:r>
              <w:rPr>
                <w:sz w:val="18"/>
              </w:rPr>
              <w:t>1000</w:t>
            </w:r>
          </w:p>
        </w:tc>
        <w:tc>
          <w:tcPr>
            <w:tcW w:type="dxa" w:w="1559"/>
          </w:tcPr>
          <w:p>
            <w:r>
              <w:rPr>
                <w:sz w:val="18"/>
              </w:rPr>
              <w:t>1200</w:t>
            </w:r>
          </w:p>
        </w:tc>
        <w:tc>
          <w:tcPr>
            <w:tcW w:type="dxa" w:w="1559"/>
          </w:tcPr>
          <w:p>
            <w:r>
              <w:rPr>
                <w:sz w:val="18"/>
              </w:rPr>
              <w:t>1500</w:t>
            </w:r>
          </w:p>
        </w:tc>
      </w:tr>
      <w:tr>
        <w:tc>
          <w:tcPr>
            <w:tcW w:type="dxa" w:w="1559"/>
          </w:tcPr>
          <w:p>
            <w:r>
              <w:rPr>
                <w:sz w:val="18"/>
              </w:rPr>
              <w:t>0,15 (nếu hài lòng ≈ 85%)</w:t>
            </w:r>
          </w:p>
        </w:tc>
        <w:tc>
          <w:tcPr>
            <w:tcW w:type="dxa" w:w="1559"/>
          </w:tcPr>
          <w:p>
            <w:r>
              <w:rPr>
                <w:sz w:val="18"/>
              </w:rPr>
              <w:t>334</w:t>
            </w:r>
          </w:p>
        </w:tc>
        <w:tc>
          <w:tcPr>
            <w:tcW w:type="dxa" w:w="1559"/>
          </w:tcPr>
          <w:p>
            <w:r>
              <w:rPr>
                <w:sz w:val="18"/>
              </w:rPr>
              <w:t>534</w:t>
            </w:r>
          </w:p>
        </w:tc>
        <w:tc>
          <w:tcPr>
            <w:tcW w:type="dxa" w:w="1559"/>
          </w:tcPr>
          <w:p>
            <w:r>
              <w:rPr>
                <w:sz w:val="18"/>
              </w:rPr>
              <w:t>667</w:t>
            </w:r>
          </w:p>
        </w:tc>
        <w:tc>
          <w:tcPr>
            <w:tcW w:type="dxa" w:w="1559"/>
          </w:tcPr>
          <w:p>
            <w:r>
              <w:rPr>
                <w:sz w:val="18"/>
              </w:rPr>
              <w:t>800</w:t>
            </w:r>
          </w:p>
        </w:tc>
        <w:tc>
          <w:tcPr>
            <w:tcW w:type="dxa" w:w="1559"/>
          </w:tcPr>
          <w:p>
            <w:r>
              <w:rPr>
                <w:sz w:val="18"/>
              </w:rPr>
              <w:t>1000</w:t>
            </w:r>
          </w:p>
        </w:tc>
      </w:tr>
      <w:tr>
        <w:tc>
          <w:tcPr>
            <w:tcW w:type="dxa" w:w="1559"/>
          </w:tcPr>
          <w:p>
            <w:r>
              <w:rPr>
                <w:sz w:val="18"/>
              </w:rPr>
              <w:t>0,266 (nếu hài lòng ≈ 73,4%[2])</w:t>
            </w:r>
          </w:p>
        </w:tc>
        <w:tc>
          <w:tcPr>
            <w:tcW w:type="dxa" w:w="1559"/>
          </w:tcPr>
          <w:p>
            <w:r>
              <w:rPr>
                <w:sz w:val="18"/>
              </w:rPr>
              <w:t>188</w:t>
            </w:r>
          </w:p>
        </w:tc>
        <w:tc>
          <w:tcPr>
            <w:tcW w:type="dxa" w:w="1559"/>
          </w:tcPr>
          <w:p>
            <w:r>
              <w:rPr>
                <w:sz w:val="18"/>
              </w:rPr>
              <w:t>301</w:t>
            </w:r>
          </w:p>
        </w:tc>
        <w:tc>
          <w:tcPr>
            <w:tcW w:type="dxa" w:w="1559"/>
          </w:tcPr>
          <w:p>
            <w:r>
              <w:rPr>
                <w:sz w:val="18"/>
              </w:rPr>
              <w:t>376</w:t>
            </w:r>
          </w:p>
        </w:tc>
        <w:tc>
          <w:tcPr>
            <w:tcW w:type="dxa" w:w="1559"/>
          </w:tcPr>
          <w:p>
            <w:r>
              <w:rPr>
                <w:sz w:val="18"/>
              </w:rPr>
              <w:t>452</w:t>
            </w:r>
          </w:p>
        </w:tc>
        <w:tc>
          <w:tcPr>
            <w:tcW w:type="dxa" w:w="1559"/>
          </w:tcPr>
          <w:p>
            <w:r>
              <w:rPr>
                <w:sz w:val="18"/>
              </w:rPr>
              <w:t>564</w:t>
            </w:r>
          </w:p>
        </w:tc>
      </w:tr>
      <w:tr>
        <w:tc>
          <w:tcPr>
            <w:tcW w:type="dxa" w:w="1559"/>
          </w:tcPr>
          <w:p>
            <w:r>
              <w:rPr>
                <w:sz w:val="18"/>
              </w:rPr>
              <w:t>0,50 (cân bằng)</w:t>
            </w:r>
          </w:p>
        </w:tc>
        <w:tc>
          <w:tcPr>
            <w:tcW w:type="dxa" w:w="1559"/>
          </w:tcPr>
          <w:p>
            <w:r>
              <w:rPr>
                <w:sz w:val="18"/>
              </w:rPr>
              <w:t>100</w:t>
            </w:r>
          </w:p>
        </w:tc>
        <w:tc>
          <w:tcPr>
            <w:tcW w:type="dxa" w:w="1559"/>
          </w:tcPr>
          <w:p>
            <w:r>
              <w:rPr>
                <w:sz w:val="18"/>
              </w:rPr>
              <w:t>160</w:t>
            </w:r>
          </w:p>
        </w:tc>
        <w:tc>
          <w:tcPr>
            <w:tcW w:type="dxa" w:w="1559"/>
          </w:tcPr>
          <w:p>
            <w:r>
              <w:rPr>
                <w:sz w:val="18"/>
              </w:rPr>
              <w:t>200</w:t>
            </w:r>
          </w:p>
        </w:tc>
        <w:tc>
          <w:tcPr>
            <w:tcW w:type="dxa" w:w="1559"/>
          </w:tcPr>
          <w:p>
            <w:r>
              <w:rPr>
                <w:sz w:val="18"/>
              </w:rPr>
              <w:t>240</w:t>
            </w:r>
          </w:p>
        </w:tc>
        <w:tc>
          <w:tcPr>
            <w:tcW w:type="dxa" w:w="1559"/>
          </w:tcPr>
          <w:p>
            <w:r>
              <w:rPr>
                <w:sz w:val="18"/>
              </w:rPr>
              <w:t>300</w:t>
            </w:r>
          </w:p>
        </w:tc>
      </w:tr>
    </w:tbl>
    <w:p/>
    <w:p>
      <w: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i/>
        </w:rPr>
        <w:t>p</w:t>
      </w:r>
      <w:r>
        <w:t xml:space="preserve"> và tỷ lệ biến cố) được khóa ở SAP (Phụ lục A); các lựa chọn này chỉ ảnh hưởng đến diễn giải chi tiết, không thay đổi cỡ mẫu đã ấn định n = 1000.</w:t>
      </w:r>
    </w:p>
    <w:p>
      <w:pPr>
        <w:pStyle w:val="Heading3"/>
      </w:pPr>
      <w:r>
        <w:t>4.4.2. Phương pháp chọn mẫu</w:t>
      </w:r>
    </w:p>
    <w:p>
      <w:r>
        <w:t xml:space="preserve">Áp dụng </w:t>
      </w:r>
      <w:r>
        <w:rPr>
          <w:b/>
        </w:rPr>
        <w:t>chọn mẫu hệ thống PHÂN TẦNG</w:t>
      </w:r>
      <w:r>
        <w:t xml:space="preserve"> (stratified systematic sampling) trên dòng người bệnh hoàn tất lượt khám tại Khoa C1a, phân tầng theo </w:t>
      </w:r>
      <w:r>
        <w:rPr>
          <w:b/>
        </w:rPr>
        <w:t>ngày trong tuần × khung giờ khám</w:t>
      </w:r>
      <w:r>
        <w:t>.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 việc điều tra viên "tự chọn" đối tượng dễ tính.</w:t>
      </w:r>
    </w:p>
    <w:p>
      <w:r>
        <w:rPr>
          <w:i/>
        </w:rPr>
        <w:t>Bảng 4.2b. Tham số quy đổi cỡ mẫu cần tiếp cận.</w:t>
      </w:r>
    </w:p>
    <w:tbl>
      <w:tblPr>
        <w:tblStyle w:val="LightGrid-Accent1"/>
        <w:tblW w:type="auto" w:w="0"/>
        <w:tblLook w:firstColumn="1" w:firstRow="1" w:lastColumn="0" w:lastRow="0" w:noHBand="0" w:noVBand="1" w:val="04A0"/>
      </w:tblPr>
      <w:tblGrid>
        <w:gridCol w:w="4677"/>
        <w:gridCol w:w="4677"/>
      </w:tblGrid>
      <w:tr>
        <w:tc>
          <w:tcPr>
            <w:tcW w:type="dxa" w:w="4677"/>
          </w:tcPr>
          <w:p>
            <w:r>
              <w:rPr>
                <w:b/>
                <w:sz w:val="18"/>
              </w:rPr>
              <w:t>Tham số</w:t>
            </w:r>
          </w:p>
        </w:tc>
        <w:tc>
          <w:tcPr>
            <w:tcW w:type="dxa" w:w="4677"/>
          </w:tcPr>
          <w:p>
            <w:r>
              <w:rPr>
                <w:b/>
                <w:sz w:val="18"/>
              </w:rPr>
              <w:t>Giá trị</w:t>
            </w:r>
          </w:p>
        </w:tc>
      </w:tr>
      <w:tr>
        <w:tc>
          <w:tcPr>
            <w:tcW w:type="dxa" w:w="4677"/>
          </w:tcPr>
          <w:p>
            <w:r>
              <w:rPr>
                <w:sz w:val="18"/>
              </w:rPr>
              <w:t>Cỡ mẫu cần phân tích</w:t>
            </w:r>
          </w:p>
        </w:tc>
        <w:tc>
          <w:tcPr>
            <w:tcW w:type="dxa" w:w="4677"/>
          </w:tcPr>
          <w:p>
            <w:r>
              <w:rPr>
                <w:sz w:val="18"/>
              </w:rPr>
              <w:t>1000</w:t>
            </w:r>
          </w:p>
        </w:tc>
      </w:tr>
      <w:tr>
        <w:tc>
          <w:tcPr>
            <w:tcW w:type="dxa" w:w="4677"/>
          </w:tcPr>
          <w:p>
            <w:r>
              <w:rPr>
                <w:sz w:val="18"/>
              </w:rPr>
              <w:t>Tỷ lệ không đáp ứng/phiếu lỗi dự kiến</w:t>
            </w:r>
          </w:p>
        </w:tc>
        <w:tc>
          <w:tcPr>
            <w:tcW w:type="dxa" w:w="4677"/>
          </w:tcPr>
          <w:p>
            <w:r>
              <w:rPr>
                <w:sz w:val="18"/>
              </w:rPr>
              <w:t>15%</w:t>
            </w:r>
          </w:p>
        </w:tc>
      </w:tr>
      <w:tr>
        <w:tc>
          <w:tcPr>
            <w:tcW w:type="dxa" w:w="4677"/>
          </w:tcPr>
          <w:p>
            <w:r>
              <w:rPr>
                <w:sz w:val="18"/>
              </w:rPr>
              <w:t>Số người cần mời tối thiểu (n cần mời, toàn kỳ)</w:t>
            </w:r>
          </w:p>
        </w:tc>
        <w:tc>
          <w:tcPr>
            <w:tcW w:type="dxa" w:w="4677"/>
          </w:tcPr>
          <w:p>
            <w:r>
              <w:rPr>
                <w:sz w:val="18"/>
              </w:rPr>
              <w:t>1177 (= 1000 / 0,85)</w:t>
            </w:r>
          </w:p>
        </w:tc>
      </w:tr>
      <w:tr>
        <w:tc>
          <w:tcPr>
            <w:tcW w:type="dxa" w:w="4677"/>
          </w:tcPr>
          <w:p>
            <w:r>
              <w:rPr>
                <w:sz w:val="18"/>
              </w:rPr>
              <w:t>Số làm tròn nên tiếp cận (toàn kỳ)</w:t>
            </w:r>
          </w:p>
        </w:tc>
        <w:tc>
          <w:tcPr>
            <w:tcW w:type="dxa" w:w="4677"/>
          </w:tcPr>
          <w:p>
            <w:r>
              <w:rPr>
                <w:sz w:val="18"/>
              </w:rPr>
              <w:t>1180–1250</w:t>
            </w:r>
          </w:p>
        </w:tc>
      </w:tr>
    </w:tbl>
    <w:p/>
    <w:p>
      <w:r>
        <w:rPr>
          <w:b/>
        </w:rPr>
        <w:t>Công thức bước nhảy theo tầng (đã sửa hướng công thức so với bản trước, đối chiếu phản biện độc lập 07/07/2026).</w:t>
      </w:r>
      <w:r>
        <w:t xml:space="preserve"> Với mỗi tầng </w:t>
      </w:r>
      <w:r>
        <w:rPr>
          <w:i/>
        </w:rPr>
        <w:t>h</w:t>
      </w:r>
      <w:r>
        <w:t xml:space="preserve"> = (ngày trong tuần) × (khung giờ khám, mục 4.6.2: sáng sớm/cuối sáng/đầu chiều/cuối chiều):</w:t>
      </w:r>
    </w:p>
    <w:p>
      <w:pPr>
        <w:pStyle w:val="ListBullet"/>
      </w:pPr>
      <w:r>
        <w:rPr>
          <w:b/>
        </w:rPr>
        <w:t>N_h</w:t>
      </w:r>
      <w:r>
        <w:t xml:space="preserve"> = số người bệnh </w:t>
      </w:r>
      <w:r>
        <w:rPr>
          <w:b/>
        </w:rPr>
        <w:t>đủ điều kiện dự kiến</w:t>
      </w:r>
      <w:r>
        <w:t xml:space="preserve"> trong tầng </w:t>
      </w:r>
      <w:r>
        <w:rPr>
          <w:i/>
        </w:rPr>
        <w:t>h</w:t>
      </w:r>
      <w:r>
        <w:t xml:space="preserve"> (ước lượng từ lưu lượng khám lịch sử của Khoa C1a — số vận hành, ấn định trong kế hoạch triển khai);</w:t>
      </w:r>
    </w:p>
    <w:p>
      <w:pPr>
        <w:pStyle w:val="ListBullet"/>
      </w:pPr>
      <w:r>
        <w:rPr>
          <w:b/>
        </w:rPr>
        <w:t>n_h</w:t>
      </w:r>
      <w:r>
        <w:t xml:space="preserve"> = số người </w:t>
      </w:r>
      <w:r>
        <w:rPr>
          <w:b/>
        </w:rPr>
        <w:t>cần mời</w:t>
      </w:r>
      <w:r>
        <w:t xml:space="preserve"> trong tầng </w:t>
      </w:r>
      <w:r>
        <w:rPr>
          <w:i/>
        </w:rPr>
        <w:t>h</w:t>
      </w:r>
      <w:r>
        <w:t>, phân bổ theo tỷ lệ lưu lượng của tầng đó trên tổng số cần mời toàn kỳ (1180–1250, xem bảng trên);</w:t>
      </w:r>
    </w:p>
    <w:p>
      <w:pPr>
        <w:pStyle w:val="ListBullet"/>
      </w:pPr>
      <w:r>
        <w:rPr>
          <w:b/>
        </w:rPr>
        <w:t>Bước nhảy k_h = N_h / n_h</w:t>
      </w:r>
      <w:r>
        <w:t xml:space="preserve"> — số đủ điều kiện dự kiến </w:t>
      </w:r>
      <w:r>
        <w:rPr>
          <w:b/>
        </w:rPr>
        <w:t>chia cho</w:t>
      </w:r>
      <w:r>
        <w:t xml:space="preserve"> số cần mời (không phải chiều ngược lại). Bước nhảy chỉ vận hành được khi </w:t>
      </w:r>
      <w:r>
        <w:rPr>
          <w:b/>
        </w:rPr>
        <w:t>k_h ≥ 1</w:t>
      </w:r>
      <w:r>
        <w:t xml:space="preserve">; nếu một tầng có N_h &lt; n_h (lưu lượng tầng thấp hơn số cần mời được phân bổ), tầng đó được khảo sát </w:t>
      </w:r>
      <w:r>
        <w:rPr>
          <w:b/>
        </w:rPr>
        <w:t>toàn bộ</w:t>
      </w:r>
      <w:r>
        <w:t xml:space="preserve"> người đủ điều kiện (k_h = 1, không bỏ sót ai) và phần thiếu hụt còn lại được phân bổ lại cho các tầng khác còn dư lưu lượng;</w:t>
      </w:r>
    </w:p>
    <w:p>
      <w:pPr>
        <w:pStyle w:val="ListBullet"/>
      </w:pPr>
      <w:r>
        <w:rPr>
          <w:b/>
        </w:rPr>
        <w:t>Điểm khởi đầu ngẫu nhiên</w:t>
      </w:r>
      <w:r>
        <w:t xml:space="preserve"> riêng cho từng tầng, trong khoảng [1, k_h] (bốc số/bảng số ngẫu nhiên).</w:t>
      </w:r>
    </w:p>
    <w:p>
      <w:r>
        <w:t xml:space="preserve">Bảng tính N_h/n_h/k_h theo từng tầng cụ thể (dựa trên số liệu lưu lượng thực tế của Khoa C1a) được lập thành </w:t>
      </w:r>
      <w:r>
        <w:rPr>
          <w:b/>
        </w:rPr>
        <w:t>SOP chọn mẫu</w:t>
      </w:r>
      <w:r>
        <w:t xml:space="preserve"> vận hành, hoàn tất và kiểm tra qua dry-run (xem dưới) </w:t>
      </w:r>
      <w:r>
        <w:rPr>
          <w:b/>
        </w:rPr>
        <w:t>trước khi</w:t>
      </w:r>
      <w:r>
        <w:t xml:space="preserve"> thu thập chính thức.</w:t>
      </w:r>
    </w:p>
    <w:p>
      <w:r>
        <w:rPr>
          <w:b/>
        </w:rPr>
        <w:t>Sổ nhật ký chọn mẫu và tỷ lệ đáp ứng.</w:t>
      </w:r>
      <w:r>
        <w:t xml:space="preserve"> Điều tra viên ghi </w:t>
      </w:r>
      <w:r>
        <w:rPr>
          <w:b/>
        </w:rPr>
        <w:t>sổ nhật ký</w:t>
      </w:r>
      <w:r>
        <w:t xml:space="preserve"> số người được mời, số đồng ý và số từ chối để tính và mô tả tỷ lệ đáp ứng (STROBE mục 13).</w:t>
      </w:r>
    </w:p>
    <w:p>
      <w:r>
        <w:rPr>
          <w:b/>
        </w:rPr>
        <w:t>Quy tắc thay thế khi từ chối/không đủ tiêu chuẩn (không dịch chuyển điểm tham chiếu).</w:t>
      </w:r>
      <w:r>
        <w:t xml:space="preserve"> Nếu người bệnh được chọn theo thứ tự hệ thống (người thứ </w:t>
      </w:r>
      <w:r>
        <w:rPr>
          <w:i/>
        </w:rPr>
        <w:t>k</w:t>
      </w:r>
      <w:r>
        <w:t xml:space="preserve">) từ chối hoặc không đủ tiêu chuẩn chọn vào, điều tra viên </w:t>
      </w:r>
      <w:r>
        <w:rPr>
          <w:b/>
        </w:rPr>
        <w:t>ghi nhận lý do vào sổ nhật ký</w:t>
      </w:r>
      <w:r>
        <w:t xml:space="preserve"> và </w:t>
      </w:r>
      <w:r>
        <w:rPr>
          <w:b/>
        </w:rPr>
        <w:t>không</w:t>
      </w:r>
      <w:r>
        <w:t xml:space="preserve"> thay thế ngay bằng người liền kề. Người tiếp theo được chọn </w:t>
      </w:r>
      <w:r>
        <w:rPr>
          <w:b/>
        </w:rPr>
        <w:t>vẫn là người thứ *k* tính từ vị trí đã chọn trước đó</w:t>
      </w:r>
      <w: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r>
        <w:rPr>
          <w:b/>
        </w:rPr>
        <w:t>Chống trùng.</w:t>
      </w:r>
      <w:r>
        <w:t xml:space="preserve"> Mỗi người bệnh chỉ tham gia </w:t>
      </w:r>
      <w:r>
        <w:rPr>
          <w:b/>
        </w:rPr>
        <w:t>một lần</w:t>
      </w:r>
      <w:r>
        <w:t xml:space="preserve"> trong cả kỳ thu thập. Trước khi phát phiếu, điều tra viên hỏi nhanh người bệnh "đã tham gia khảo sát này trong đợt chưa"; nếu đã tham gia thì bỏ qua và chuyển sang người kế tiếp đủ tiêu chuẩn.</w:t>
      </w:r>
    </w:p>
    <w:p>
      <w:r>
        <w:rPr>
          <w:b/>
        </w:rPr>
        <w:t>Bảo đảm tính khả thi của chọn mẫu hệ thống — tập huấn và phân công.</w:t>
      </w:r>
      <w:r>
        <w:t xml:space="preserve"> Để chọn mẫu hệ thống phân tầng chạy được khi phòng khám đông, phân công </w:t>
      </w:r>
      <w:r>
        <w:rPr>
          <w:b/>
        </w:rPr>
        <w:t>một người chuyên trách theo dõi số thứ tự dòng người bệnh trong từng tầng</w:t>
      </w:r>
      <w:r>
        <w:t xml:space="preserve"> (đếm và xác định đúng người thứ </w:t>
      </w:r>
      <w:r>
        <w:rPr>
          <w:i/>
        </w:rPr>
        <w:t>k_h</w:t>
      </w:r>
      <w:r>
        <w:t xml:space="preserve">), </w:t>
      </w:r>
      <w:r>
        <w:rPr>
          <w:b/>
        </w:rPr>
        <w:t>không kiêm nhiệm</w:t>
      </w:r>
      <w:r>
        <w:t xml:space="preserve"> việc phát/thu phiếu; việc phát phiếu và hỗ trợ đọc do điều tra viên khác đảm nhận. Toàn bộ điều tra viên được </w:t>
      </w:r>
      <w:r>
        <w:rPr>
          <w:b/>
        </w:rPr>
        <w:t>tập huấn chuẩn hóa</w:t>
      </w:r>
      <w:r>
        <w:t xml:space="preserve"> theo kịch bản mời và quy tắc bước </w:t>
      </w:r>
      <w:r>
        <w:rPr>
          <w:i/>
        </w:rPr>
        <w:t>k_h</w:t>
      </w:r>
      <w:r>
        <w:t>/thay thế/chống trùng.</w:t>
      </w:r>
    </w:p>
    <w:p>
      <w:r>
        <w:rPr>
          <w:b/>
        </w:rPr>
        <w:t>Dry-run là CỔNG QUYẾT ĐỊNH tính khả thi (feasibility gate), không phải chỉ diễn tập vận hành.</w:t>
      </w:r>
      <w:r>
        <w:t xml:space="preserve"> Một buổi dry-run quy trình đầy đủ (chọn mẫu phân tầng, mời tham gia, phát–thu phiếu, quản hòm phiếu và ghép dữ liệu thời gian chờ) được tổ chức tại khu vực khảo sát </w:t>
      </w:r>
      <w:r>
        <w:rPr>
          <w:b/>
        </w:rPr>
        <w:t>trước ngày thu thập chính thức</w:t>
      </w:r>
      <w:r>
        <w:t xml:space="preserve">, trong điều kiện lưu lượng thực, với hai vai trò: (a) kiểm tra tính khả thi vận hành của việc xác định đúng người thứ </w:t>
      </w:r>
      <w:r>
        <w:rPr>
          <w:i/>
        </w:rPr>
        <w:t>k_h</w:t>
      </w:r>
      <w:r>
        <w:t xml:space="preserve"> theo từng tầng; và (b) vì đây là bộ câu hỏi tự xây dựng (mục 4.5.1, gắn với pha phát triển công cụ ở mục 4.5.3/4.9), đối chiếu độ rõ ràng/dễ hiểu của câu chữ.</w:t>
      </w:r>
    </w:p>
    <w:p>
      <w:r>
        <w:rPr>
          <w:b/>
        </w:rPr>
        <w:t>Nếu dry-run cho thấy chọn mẫu hệ thống phân tầng KHÔNG khả thi</w:t>
      </w:r>
      <w:r>
        <w:t xml:space="preserve"> (điều tra viên không xác định/tiếp cận đúng được người thứ </w:t>
      </w:r>
      <w:r>
        <w:rPr>
          <w:i/>
        </w:rPr>
        <w:t>k_h</w:t>
      </w:r>
      <w:r>
        <w:t xml:space="preserve"> ở phần lớn các tầng đã thử, hoặc lưu lượng vượt xa khả năng theo dõi thủ công): đề tài </w:t>
      </w:r>
      <w:r>
        <w:rPr>
          <w:b/>
        </w:rPr>
        <w:t>DỪNG trước khi thu thập chính thức</w:t>
      </w:r>
      <w:r>
        <w:t xml:space="preserve">. Đề tài </w:t>
      </w:r>
      <w:r>
        <w:rPr>
          <w:b/>
        </w:rPr>
        <w:t>không</w:t>
      </w:r>
      <w:r>
        <w:t xml:space="preserve"> tự động/âm thầm chuyển sang một thiết kế lấy mẫu khác ngay giữa lúc đang thu thập chính thức —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b/>
        </w:rPr>
        <w:t>sau khi</w:t>
      </w:r>
      <w:r>
        <w:t xml:space="preserve"> có phê duyệt đạo đức hoặc theo quyết định của Hội đồng.</w:t>
      </w:r>
    </w:p>
    <w:p>
      <w:pPr>
        <w:pStyle w:val="Heading2"/>
      </w:pPr>
      <w:r>
        <w:t>4.5. Công cụ đo lường</w:t>
      </w:r>
    </w:p>
    <w:p>
      <w:pPr>
        <w:pStyle w:val="Heading3"/>
      </w:pPr>
      <w:r>
        <w:t>4.5.1. Công cụ nền</w:t>
      </w:r>
    </w:p>
    <w:p>
      <w:r>
        <w:t xml:space="preserve">Công cụ thu thập là </w:t>
      </w:r>
      <w:r>
        <w:rPr>
          <w:b/>
        </w:rPr>
        <w:t>"Phiếu khảo sát ý kiến người bệnh ngoại trú"</w:t>
      </w:r>
      <w:r>
        <w:t xml:space="preserve"> — một bộ câu hỏi </w:t>
      </w:r>
      <w:r>
        <w:rPr>
          <w:b/>
        </w:rPr>
        <w:t>do nhóm nghiên cứu tự xây dựng riêng cho đề tài này</w:t>
      </w:r>
      <w:r>
        <w:t xml:space="preserve">, KHÔNG phải bản sao nguyên vẹn của Mẫu số 2 (Quyết định 56/QĐ-BYT 2024). Phiếu gồm </w:t>
      </w:r>
      <w:r>
        <w:rPr>
          <w:b/>
        </w:rPr>
        <w:t>bốn phần</w:t>
      </w:r>
      <w:r>
        <w:t xml:space="preserve"> (đối chiếu phản biện độc lập 07/07/2026 — P0-9: đã bỏ phần xác nhận đồng thuận ra khỏi phiếu, chuyển thành tài liệu ICF riêng ở Phụ lục B, mục 4.11):</w:t>
      </w:r>
    </w:p>
    <w:p>
      <w:pPr>
        <w:pStyle w:val="ListBullet"/>
      </w:pPr>
      <w:r>
        <w:rPr>
          <w:b/>
        </w:rPr>
        <w:t>Phần 1 — Thông tin chung</w:t>
      </w:r>
      <w:r>
        <w:t xml:space="preserve"> (14 mục): cách hoàn thành phiếu (</w:t>
      </w:r>
      <w:r>
        <w:rPr>
          <w:rFonts w:ascii="Consolas" w:hAnsi="Consolas"/>
        </w:rPr>
        <w:t>mode_tra_loi</w:t>
      </w:r>
      <w:r>
        <w:t>), tuổi, giới tính, học vấn, nghề nghiệp, tình trạng hôn nhân, nơi cư trú, thu nhập hộ gia đình, tình trạng thẻ BHYT, lý do khám lần này, số lần khám 12 tháng qua, khoảng cách nhà–viện, phương tiện di chuyển, nguồn thông tin biết đến viện.</w:t>
      </w:r>
    </w:p>
    <w:p>
      <w:pPr>
        <w:pStyle w:val="ListBullet"/>
      </w:pPr>
      <w:r>
        <w:rPr>
          <w:b/>
        </w:rPr>
        <w:t>Phần 2 — Đánh giá mức độ hài lòng theo lĩnh vực</w:t>
      </w:r>
      <w:r>
        <w:t xml:space="preserve">, thang Likert 5 mức (1 = Rất không hài lòng … 5 = Rất hài lòng), </w:t>
      </w:r>
      <w:r>
        <w:rPr>
          <w:b/>
        </w:rPr>
        <w:t>6 lĩnh vực, 30 mục</w:t>
      </w:r>
      <w:r>
        <w:t xml:space="preserve">: </w:t>
      </w:r>
      <w:r>
        <w:rPr>
          <w:b/>
        </w:rPr>
        <w:t>A. Khả năng tiếp cận dịch vụ</w:t>
      </w:r>
      <w:r>
        <w:t xml:space="preserve"> (A1–A6); </w:t>
      </w:r>
      <w:r>
        <w:rPr>
          <w:b/>
        </w:rPr>
        <w:t>B. Cơ sở vật chất và phương tiện phục vụ</w:t>
      </w:r>
      <w:r>
        <w:t xml:space="preserve"> (B1–B8); </w:t>
      </w:r>
      <w:r>
        <w:rPr>
          <w:b/>
        </w:rPr>
        <w:t>C. Thái độ ứng xử và năng lực chuyên môn của nhân viên y tế</w:t>
      </w:r>
      <w:r>
        <w:t xml:space="preserve"> (C1–C10); </w:t>
      </w:r>
      <w:r>
        <w:rPr>
          <w:b/>
        </w:rPr>
        <w:t>D. Minh bạch thông tin và thủ tục khám bệnh</w:t>
      </w:r>
      <w:r>
        <w:t xml:space="preserve"> (D1–D3); </w:t>
      </w:r>
      <w:r>
        <w:rPr>
          <w:b/>
        </w:rPr>
        <w:t>E. Kết quả cung cấp dịch vụ</w:t>
      </w:r>
      <w:r>
        <w:t xml:space="preserve"> (E1–E2); </w:t>
      </w:r>
      <w:r>
        <w:rPr>
          <w:b/>
        </w:rPr>
        <w:t>F. Chi phí dịch vụ</w:t>
      </w:r>
      <w:r>
        <w:t xml:space="preserve"> (F1).</w:t>
      </w:r>
    </w:p>
    <w:p>
      <w:pPr>
        <w:pStyle w:val="ListBullet"/>
      </w:pPr>
      <w:r>
        <w:rPr>
          <w:b/>
        </w:rPr>
        <w:t>Phần 3 — Đánh giá sự hài lòng chung</w:t>
      </w:r>
      <w:r>
        <w:t xml:space="preserve"> (1 mục, </w:t>
      </w:r>
      <w:r>
        <w:rPr>
          <w:b/>
        </w:rPr>
        <w:t>G1</w:t>
      </w:r>
      <w:r>
        <w:t xml:space="preserve">): một mục hỏi </w:t>
      </w:r>
      <w:r>
        <w:rPr>
          <w:b/>
        </w:rPr>
        <w:t>trực tiếp, độc lập</w:t>
      </w:r>
      <w:r>
        <w:t xml:space="preserve"> với các lĩnh vực A–F — "Nói chung, Ông/Bà hài lòng ở mức độ nào với tất cả các dịch vụ đã nhận được tại Khoa Khám bệnh trong lần khám này?".</w:t>
      </w:r>
    </w:p>
    <w:p>
      <w:pPr>
        <w:pStyle w:val="ListBullet"/>
      </w:pPr>
      <w:r>
        <w:rPr>
          <w:b/>
        </w:rPr>
        <w:t>Phần 4 — Ý kiến đóng góp khác</w:t>
      </w:r>
      <w:r>
        <w:t xml:space="preserve"> (1 mục mở).</w:t>
      </w:r>
    </w:p>
    <w:p>
      <w:r>
        <w:t xml:space="preserve">Phiếu chỉ mang một </w:t>
      </w:r>
      <w:r>
        <w:rPr>
          <w:b/>
        </w:rPr>
        <w:t>mã nghiên cứu</w:t>
      </w:r>
      <w:r>
        <w:t xml:space="preserve"> (không phải số thứ tự khám công khai), không có mục tên/chữ ký/xác nhận đồng thuận nào. Đồng thuận tham gia là một </w:t>
      </w:r>
      <w:r>
        <w:rPr>
          <w:b/>
        </w:rPr>
        <w:t>tài liệu giấy riêng, độc lập</w:t>
      </w:r>
      <w:r>
        <w:t xml:space="preserve"> (ICF — Phụ lục B), không phải một phần của phiếu khảo sát này (mục 4.11).</w:t>
      </w:r>
    </w:p>
    <w:p>
      <w:r>
        <w:t xml:space="preserve">Toàn văn đầy đủ của bộ câu hỏi (từng lĩnh vực, từng mục, đúng số thứ tự A1–F1/G1) được đính kèm ở </w:t>
      </w:r>
      <w:r>
        <w:rPr>
          <w:b/>
        </w:rPr>
        <w:t>Phụ lục C</w:t>
      </w:r>
      <w:r>
        <w:t>; không còn khoảng trống chờ bổ sung toàn văn công cụ như các bản trước.</w:t>
      </w:r>
    </w:p>
    <w:p>
      <w:r>
        <w:rPr>
          <w:b/>
        </w:rPr>
        <w:t>So sánh với khung của Bộ Y tế (mục 3.2.1):</w:t>
      </w:r>
      <w: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b/>
        </w:rPr>
        <w:t>không</w:t>
      </w:r>
      <w:r>
        <w:t xml:space="preserve"> lồng thêm SERVQUAL/PSQ-18 vào phiếu (mục 3.2.2) — hai công cụ này chỉ dùng để đối chiếu ở phần Tổng quan/Bàn luận.</w:t>
      </w:r>
    </w:p>
    <w:p>
      <w:r>
        <w:rPr>
          <w:b/>
        </w:rPr>
        <w:t>Vì là bộ câu hỏi tự xây dựng (không phải thang chuẩn quốc gia dùng nguyên trạng), đề tài áp dụng đầy đủ hơn quy trình mô tả đặc tính đo lường trong mẫu (mục 4.5.3)</w:t>
      </w:r>
      <w:r>
        <w:t xml:space="preserve"> so với trường hợp dùng nguyên văn một thang đã được kiểm định sẵn.</w:t>
      </w:r>
    </w:p>
    <w:p>
      <w:r>
        <w:rPr>
          <w:b/>
        </w:rPr>
        <w:t>Nguồn gốc xây dựng bộ câu hỏi và pha phát triển công cụ (đã khóa — đối chiếu phản biện độc lập 07/07/2026).</w:t>
      </w:r>
      <w:r>
        <w:t xml:space="preserve"> Đề cương này mô tả đúng cấu trúc/nội dung thật của bộ câu hỏi (lấy từ file phiếu đã hoàn chỉnh và codebook do chủ nhiệm cung cấp; toàn văn ở Phụ lục C). Vì đây là bộ câu hỏi </w:t>
      </w:r>
      <w:r>
        <w:rPr>
          <w:b/>
        </w:rPr>
        <w:t>tự xây dựng, sử dụng lần đầu tiên</w:t>
      </w:r>
      <w:r>
        <w:t xml:space="preserve"> (không phải một thang chuẩn quốc gia dùng nguyên trạng), đề tài </w:t>
      </w:r>
      <w:r>
        <w:rPr>
          <w:b/>
        </w:rPr>
        <w:t>KHÔNG</w:t>
      </w:r>
      <w:r>
        <w:t xml:space="preserve"> dùng Cronbach's α/EFA trên mẫu chính (mục 4.5.3) làm bằng chứng giá trị nội dung duy nhất — một pha phát triển và kiểm định công cụ đầy đủ được thực hiện </w:t>
      </w:r>
      <w:r>
        <w:rPr>
          <w:b/>
        </w:rPr>
        <w:t>TRƯỚC khi thu thập mẫu chính n = 1000</w:t>
      </w:r>
      <w:r>
        <w:t>, gồm bốn bước bắt buộc theo trình tự:</w:t>
      </w:r>
    </w:p>
    <w:p>
      <w:pPr>
        <w:pStyle w:val="ListNumber"/>
      </w:pPr>
      <w:r>
        <w:rPr>
          <w:b/>
        </w:rPr>
        <w:t>Bảng truy xuất nguồn gốc từng item (item-traceability table)</w:t>
      </w:r>
      <w:r>
        <w:t>: với mỗi mục trong 30 mục A–F + G1, ghi rõ nguồn gốc (tương thích khái niệm với lĩnh vực nào của Mẫu số 2 — mục 3.2.1; hay là mục bổ sung riêng của đề tài, ví dụ lĩnh vực F chi phí) và lý do đưa vào phiếu. Tài liệu này do chủ nhiệm/nhóm nghiên cứu lập, lưu trong hồ sơ nội bộ.</w:t>
      </w:r>
    </w:p>
    <w:p>
      <w:pPr>
        <w:pStyle w:val="ListNumber"/>
      </w:pPr>
      <w:r>
        <w:rPr>
          <w:b/>
        </w:rPr>
        <w:t>Hội đồng chuyên gia và chỉ số giá trị nội dung</w:t>
      </w:r>
      <w:r>
        <w:t xml:space="preserve">: mời </w:t>
      </w:r>
      <w:r>
        <w:rPr>
          <w:b/>
        </w:rPr>
        <w:t>tối thiểu 5–7 chuyên gia</w:t>
      </w:r>
      <w:r>
        <w:t xml:space="preserve"> (lâm sàng/quản lý chất lượng bệnh viện/phương pháp nghiên cứu) chấm từng item theo thang liên quan 4 điểm, tính </w:t>
      </w:r>
      <w:r>
        <w:rPr>
          <w:b/>
        </w:rPr>
        <w:t>I-CVI (item-level content validity index) ≥ 0,78</w:t>
      </w:r>
      <w:r>
        <w:t xml:space="preserve"> và </w:t>
      </w:r>
      <w:r>
        <w:rPr>
          <w:b/>
        </w:rPr>
        <w:t>S-CVI/Ave (scale-level, trung bình I-CVI) ≥ 0,90</w:t>
      </w:r>
      <w:r>
        <w:t xml:space="preserve"> theo phương pháp Polit &amp; Beck.[15] Item không đạt ngưỡng được sửa hoặc loại trước bước kế tiếp.</w:t>
      </w:r>
    </w:p>
    <w:p>
      <w:pPr>
        <w:pStyle w:val="ListNumber"/>
      </w:pPr>
      <w:r>
        <w:rPr>
          <w:b/>
        </w:rPr>
        <w:t>Cognitive interview</w:t>
      </w:r>
      <w:r>
        <w:t xml:space="preserve">: phỏng vấn nhận thức (think-aloud/probing) trên </w:t>
      </w:r>
      <w:r>
        <w:rPr>
          <w:b/>
        </w:rPr>
        <w:t>10–15 người bệnh</w:t>
      </w:r>
      <w: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pPr>
      <w:r>
        <w:rPr>
          <w:b/>
        </w:rPr>
        <w:t>Pilot thực địa</w:t>
      </w:r>
      <w:r>
        <w:t xml:space="preserve">: khảo sát thử trên một mẫu nhỏ (đề xuất </w:t>
      </w:r>
      <w:r>
        <w:rPr>
          <w:b/>
        </w:rPr>
        <w:t>n ≈ 50–100</w:t>
      </w:r>
      <w:r>
        <w:t>, độc lập với mẫu chính n = 1000, không gộp vào phân tích chính) tại chính Khoa C1a, dùng để rà một lần nữa độ rõ ràng câu chữ trong điều kiện thực và ước lượng sơ bộ phân bố điểm/tỷ lệ sàn-trần.</w:t>
      </w:r>
    </w:p>
    <w:p>
      <w:r>
        <w:t xml:space="preserve">Chỉ sau khi hoàn tất cả bốn bước và </w:t>
      </w:r>
      <w:r>
        <w:rPr>
          <w:b/>
        </w:rPr>
        <w:t>khóa phiên bản cuối (vFinal)</w:t>
      </w:r>
      <w:r>
        <w:t xml:space="preserve"> của bộ câu hỏi, nhóm nghiên cứu mới bắt đầu thu thập mẫu chính n = 1000 với phiên bản đã khóa (không sửa câu chữ giữa chừng mẫu chính). Bốn bước này là một </w:t>
      </w:r>
      <w:r>
        <w:rPr>
          <w:b/>
        </w:rPr>
        <w:t>giai đoạn chính thức của quy trình nghiên cứu</w:t>
      </w:r>
      <w:r>
        <w:t xml:space="preserve">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pStyle w:val="Heading3"/>
      </w:pPr>
      <w:r>
        <w:t>4.5.2. Cách tính điểm và định nghĩa "hài lòng"</w:t>
      </w:r>
    </w:p>
    <w:p>
      <w:r>
        <w:t xml:space="preserve">Bộ câu hỏi có sẵn hai cách đo "hài lòng chung", cả hai đều đã được đặc tả trong bộ biến/codebook nghiên cứu; đề tài khóa vai trò của từng cách như sau — quyết định này </w:t>
      </w:r>
      <w:r>
        <w:rPr>
          <w:b/>
        </w:rPr>
        <w:t>phải khóa trong SAP (Phụ lục A) trước khi thu thập số liệu</w:t>
      </w:r>
      <w:r>
        <w:t>:</w:t>
      </w:r>
    </w:p>
    <w:p>
      <w:pPr>
        <w:pStyle w:val="ListBullet"/>
      </w:pPr>
      <w:r>
        <w:rPr>
          <w:b/>
        </w:rPr>
        <w:t>Điểm miền</w:t>
      </w:r>
      <w:r>
        <w:t xml:space="preserve"> (</w:t>
      </w:r>
      <w:r>
        <w:rPr>
          <w:rFonts w:ascii="Consolas" w:hAnsi="Consolas"/>
        </w:rPr>
        <w:t>A_Mean</w:t>
      </w:r>
      <w:r>
        <w:t>…</w:t>
      </w:r>
      <w:r>
        <w:rPr>
          <w:rFonts w:ascii="Consolas" w:hAnsi="Consolas"/>
        </w:rPr>
        <w:t>F_Mean</w:t>
      </w:r>
      <w:r>
        <w:t xml:space="preserve">) = trung bình các mục </w:t>
      </w:r>
      <w:r>
        <w:rPr>
          <w:b/>
        </w:rPr>
        <w:t>có điểm hợp lệ (1–5)</w:t>
      </w:r>
      <w:r>
        <w:t xml:space="preserve"> thuộc lĩnh vực đó (giữ thang 1–5); mẫu số là </w:t>
      </w:r>
      <w:r>
        <w:rPr>
          <w:b/>
        </w:rPr>
        <w:t>số mục ÁP DỤNG cho người trả lời đó</w:t>
      </w:r>
      <w:r>
        <w:t xml:space="preserve"> trong lĩnh vực — loại trừ mục mang mã </w:t>
      </w:r>
      <w:r>
        <w:rPr>
          <w:b/>
        </w:rPr>
        <w:t>7 = không áp dụng/không sử dụng dịch vụ này</w:t>
      </w:r>
      <w:r>
        <w:t xml:space="preserve"> khỏi cả tử số và mẫu số ngay từ đầu (không dùng mẫu số cố định bằng tổng số mục danh nghĩa của lĩnh vực, mục 4.6.1 nêu chi tiết ba mã thiếu 7/8/9). Chỉ tính điểm miền khi </w:t>
      </w:r>
      <w:r>
        <w:rPr>
          <w:b/>
        </w:rPr>
        <w:t>≥ 80% số mục ÁP DỤNG của lĩnh vực đó có điểm hợp lệ</w:t>
      </w:r>
      <w:r>
        <w:t xml:space="preserve"> (dưới ngưỡng này, lĩnh vực coi là thiếu — mục 4.10); mã </w:t>
      </w:r>
      <w:r>
        <w:rPr>
          <w:b/>
        </w:rPr>
        <w:t>8 = không biết/không nhớ</w:t>
      </w:r>
      <w:r>
        <w:t xml:space="preserve"> và mã </w:t>
      </w:r>
      <w:r>
        <w:rPr>
          <w:b/>
        </w:rPr>
        <w:t>9 = không trả lời/từ chối</w:t>
      </w:r>
      <w:r>
        <w:t xml:space="preserve"> đều được loại khỏi tử số và tính là "thiếu" khi áp dụng ngưỡng 80% này. Lưu ý: lĩnh vực </w:t>
      </w:r>
      <w:r>
        <w:rPr>
          <w:b/>
        </w:rPr>
        <w:t>F chỉ có 1 mục (F1)</w:t>
      </w:r>
      <w:r>
        <w:t xml:space="preserve"> nên </w:t>
      </w:r>
      <w:r>
        <w:rPr>
          <w:rFonts w:ascii="Consolas" w:hAnsi="Consolas"/>
        </w:rPr>
        <w:t>F_Mean</w:t>
      </w:r>
      <w:r>
        <w:t xml:space="preserve"> = F1, là một </w:t>
      </w:r>
      <w:r>
        <w:rPr>
          <w:b/>
        </w:rPr>
        <w:t>chỉ số đơn mục</w:t>
      </w:r>
      <w:r>
        <w:t xml:space="preserve"> (không phải một "thang đo" có thể tính độ nhất quán nội tại); lĩnh vực </w:t>
      </w:r>
      <w:r>
        <w:rPr>
          <w:b/>
        </w:rPr>
        <w:t>E chỉ có 2 mục</w:t>
      </w:r>
      <w:r>
        <w:t xml:space="preserve"> nên Cronbach's α của E kém ổn định, cần diễn giải thận trọng (mục 4.5.3).</w:t>
      </w:r>
    </w:p>
    <w:p>
      <w:pPr>
        <w:pStyle w:val="ListBullet"/>
      </w:pPr>
      <w:r>
        <w:rPr>
          <w:b/>
        </w:rPr>
        <w:t>Kết cục chính (thứ hạng/ordinal, đã khóa)</w:t>
      </w:r>
      <w:r>
        <w:t xml:space="preserve"> = </w:t>
      </w:r>
      <w:r>
        <w:rPr>
          <w:b/>
        </w:rPr>
        <w:t>G1 — mục hài lòng chung, hỏi trực tiếp</w:t>
      </w:r>
      <w:r>
        <w:t xml:space="preserve"> (biến </w:t>
      </w:r>
      <w:r>
        <w:rPr>
          <w:rFonts w:ascii="Consolas" w:hAnsi="Consolas"/>
        </w:rPr>
        <w:t>SHLNBChung_TrucTiep</w:t>
      </w:r>
      <w:r>
        <w:t xml:space="preserve"> trong codebook), giữ nguyên thang thứ hạng 1–5, </w:t>
      </w:r>
      <w:r>
        <w:rPr>
          <w:b/>
        </w:rPr>
        <w:t>không</w:t>
      </w:r>
      <w: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w:t>
      </w:r>
      <w:r>
        <w:rPr>
          <w:b/>
        </w:rPr>
        <w:t>thiên lệch phần-toàn thể (part-whole bias)</w:t>
      </w:r>
      <w:r>
        <w:t xml:space="preserve"> —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b/>
        </w:rPr>
        <w:t>G1 là biến thứ hạng 5 mức với khả năng hiệu ứng trần điểm (mục 4.8)</w:t>
      </w:r>
      <w:r>
        <w:t xml:space="preserve">, nên kết cục chính được phân tích bằng </w:t>
      </w:r>
      <w:r>
        <w:rPr>
          <w:b/>
        </w:rPr>
        <w:t>hồi quy logistic thứ tự (ordinal/proportional odds) đa biến</w:t>
      </w:r>
      <w:r>
        <w:t xml:space="preserve"> —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b/>
        </w:rPr>
        <w:t>Không</w:t>
      </w:r>
      <w:r>
        <w:t xml:space="preserve"> gọi G1 là biến liên tục trong mô hình chính. Hồi quy tuyến tính đa biến robust HC3 trên G1 (coi là liên tục) được giữ lại làm </w:t>
      </w:r>
      <w:r>
        <w:rPr>
          <w:b/>
        </w:rPr>
        <w:t>phân tích nhạy cảm</w:t>
      </w:r>
      <w:r>
        <w:t xml:space="preserve"> (Bảng 5.5), không phải mô hình chi phối kết luận chính.</w:t>
      </w:r>
    </w:p>
    <w:p>
      <w:pPr>
        <w:pStyle w:val="ListBullet"/>
      </w:pPr>
      <w:r>
        <w:rPr>
          <w:b/>
        </w:rPr>
        <w:t>Điểm tính toán tổng hợp (`SHLNBChung_TinhToan`)</w:t>
      </w:r>
      <w:r>
        <w:t xml:space="preserve"> = trung bình cộng của toàn bộ mục </w:t>
      </w:r>
      <w:r>
        <w:rPr>
          <w:b/>
        </w:rPr>
        <w:t>có điểm hợp lệ (1–5)</w:t>
      </w:r>
      <w:r>
        <w:t xml:space="preserve"> trong 30 mục thuộc sáu lĩnh vực A–F (loại trừ mã 7 = không áp dụng, mã 8 = không biết, mã 9 = từ chối/không trả lời — mục 4.6.1). Đây là </w:t>
      </w:r>
      <w:r>
        <w:rPr>
          <w:b/>
        </w:rPr>
        <w:t>kết cục đối chiếu/thứ cấp</w:t>
      </w:r>
      <w:r>
        <w:t xml:space="preserve">, dùng để (i) kiểm tra giá trị hội tụ với G1 (tương quan Pearson/Spearman giữa G1 và </w:t>
      </w:r>
      <w:r>
        <w:rPr>
          <w:rFonts w:ascii="Consolas" w:hAnsi="Consolas"/>
        </w:rPr>
        <w:t>SHLNBChung_TinhToan</w:t>
      </w:r>
      <w:r>
        <w:t xml:space="preserve"> — báo cáo ở Bảng 5.5) và (ii) làm phân tích nhạy cảm độ vững của kết luận chính. </w:t>
      </w:r>
      <w:r>
        <w:rPr>
          <w:b/>
        </w:rPr>
        <w:t>Không</w:t>
      </w:r>
      <w:r>
        <w:t xml:space="preserve"> dùng </w:t>
      </w:r>
      <w:r>
        <w:rPr>
          <w:rFonts w:ascii="Consolas" w:hAnsi="Consolas"/>
        </w:rPr>
        <w:t>SHLNBChung_TinhToan</w:t>
      </w:r>
      <w:r>
        <w:t xml:space="preserve"> làm kết cục chính.</w:t>
      </w:r>
    </w:p>
    <w:p>
      <w:pPr>
        <w:pStyle w:val="ListBullet"/>
      </w:pPr>
      <w:r>
        <w:rPr>
          <w:b/>
        </w:rPr>
        <w:t>Kết cục nhị phân thứ cấp "hài lòng/chưa hài lòng"</w:t>
      </w:r>
      <w:r>
        <w:t xml:space="preserve"> (biến </w:t>
      </w:r>
      <w:r>
        <w:rPr>
          <w:rFonts w:ascii="Consolas" w:hAnsi="Consolas"/>
        </w:rPr>
        <w:t>SHLNBChung_NhiPhan</w:t>
      </w:r>
      <w:r>
        <w:t xml:space="preserve">) được định nghĩa </w:t>
      </w:r>
      <w:r>
        <w:rPr>
          <w:b/>
        </w:rPr>
        <w:t>từ chính G1</w:t>
      </w:r>
      <w:r>
        <w:t>: hài lòng = G1 đạt từ 4/5 trở lên. Vì đây là MỘT mục đơn (không phải trung bình nhiều mục), ngưỡng "G1 ≥ 4" tương đương với việc chọn mức 4 hoặc 5 trên chính mục đó (top-two-box của G1) —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pPr>
      <w:r>
        <w:t xml:space="preserve">Loại trừ khỏi mọi điểm tổng hợp: câu hành chính (Phần 1), câu hỏi mở (Phần 4). </w:t>
      </w:r>
      <w:r>
        <w:rPr>
          <w:i/>
        </w:rPr>
        <w:t>(Phiếu khảo sát không còn phần xác nhận đồng thuận — đó là tài liệu ICF riêng, Phụ lục B.)</w:t>
      </w:r>
    </w:p>
    <w:p>
      <w:pPr>
        <w:pStyle w:val="Heading3"/>
      </w:pPr>
      <w:r>
        <w:t>4.5.3. Mô tả đặc tính đo lường trong mẫu</w:t>
      </w:r>
    </w:p>
    <w:p>
      <w:r>
        <w:t xml:space="preserve">Vì đây là bộ câu hỏi </w:t>
      </w:r>
      <w:r>
        <w:rPr>
          <w:b/>
        </w:rPr>
        <w:t>tự xây dựng, sử dụng lần đầu</w:t>
      </w:r>
      <w:r>
        <w:t xml:space="preserve"> (không phải thang chuẩn quốc gia dùng nguyên trạng), đề tài mô tả đặc tính đo lường trong mẫu C1a đầy đủ hơn mức tối thiểu, gồm bốn nội dung:</w:t>
      </w:r>
    </w:p>
    <w:p>
      <w:r>
        <w:t xml:space="preserve">(i) </w:t>
      </w:r>
      <w:r>
        <w:rPr>
          <w:b/>
        </w:rPr>
        <w:t>Mô tả phân bố điểm</w:t>
      </w:r>
      <w:r>
        <w:t xml:space="preserve"> của từng lĩnh vực, của G1 và của </w:t>
      </w:r>
      <w:r>
        <w:rPr>
          <w:rFonts w:ascii="Consolas" w:hAnsi="Consolas"/>
        </w:rPr>
        <w:t>SHLNBChung_TinhToan</w:t>
      </w:r>
      <w:r>
        <w:t xml:space="preserve"> (trung bình ± SD, trung vị [IQR], độ lệch/độ nhọn, biểu đồ phân bố);</w:t>
      </w:r>
    </w:p>
    <w:p>
      <w:r>
        <w:t xml:space="preserve">(ii) </w:t>
      </w:r>
      <w:r>
        <w:rPr>
          <w:b/>
        </w:rPr>
        <w:t>Tính nhất quán nội tại theo lĩnh vực</w:t>
      </w:r>
      <w:r>
        <w:t xml:space="preserve"> bằng Cronbach's α — tính cho các lĩnh vực A, B, C, D (≥ 3 mục); lĩnh vực E (2 mục) báo α kèm cảnh báo khoảng tin cậy rộng, ưu tiên bổ sung tương quan Spearman giữa E1–E2; lĩnh vực F (1 mục) </w:t>
      </w:r>
      <w:r>
        <w:rPr>
          <w:b/>
        </w:rPr>
        <w:t>không</w:t>
      </w:r>
      <w:r>
        <w:t xml:space="preserve"> tính α — báo cáo là chỉ số đơn mục;</w:t>
      </w:r>
    </w:p>
    <w:p>
      <w:r>
        <w:t xml:space="preserve">(iii) </w:t>
      </w:r>
      <w:r>
        <w:rPr>
          <w:b/>
        </w:rPr>
        <w:t>Tỷ lệ hiệu ứng sàn/trần (floor/ceiling)</w:t>
      </w:r>
      <w:r>
        <w:t xml:space="preserve"> của mỗi lĩnh vực và của G1 (phần trăm đạt điểm cực tiểu/cực đại);</w:t>
      </w:r>
    </w:p>
    <w:p>
      <w:r>
        <w:t xml:space="preserve">(iv) </w:t>
      </w:r>
      <w:r>
        <w:rPr>
          <w:b/>
        </w:rPr>
        <w:t>Giá trị cấu trúc (structural validity)</w:t>
      </w:r>
      <w:r>
        <w:t xml:space="preserve"> bằng </w:t>
      </w:r>
      <w:r>
        <w:rPr>
          <w:b/>
        </w:rPr>
        <w:t>phân tích nhân tố khám phá (EFA)</w:t>
      </w:r>
      <w:r>
        <w:t xml:space="preserve"> trên </w:t>
      </w:r>
      <w:r>
        <w:rPr>
          <w:b/>
        </w:rPr>
        <w:t>29 mục thứ hạng thuộc năm lĩnh vực A–E</w:t>
      </w:r>
      <w:r>
        <w:t xml:space="preserve"> (loại </w:t>
      </w:r>
      <w:r>
        <w:rPr>
          <w:b/>
        </w:rPr>
        <w:t>F1</w:t>
      </w:r>
      <w:r>
        <w:t xml:space="preserve"> khỏi EFA vì lĩnh vực F chỉ có một mục —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w:t>
      </w:r>
      <w:r>
        <w:rPr>
          <w:b/>
        </w:rPr>
        <w:t>ma trận tương quan polychoric</w:t>
      </w:r>
      <w:r>
        <w:t xml:space="preserve"> (không dùng Pearson trên dữ liệu thứ hạng), xác định số nhân tố bằng </w:t>
      </w:r>
      <w:r>
        <w:rPr>
          <w:b/>
        </w:rPr>
        <w:t>parallel analysis</w:t>
      </w:r>
      <w:r>
        <w:t xml:space="preserve"> (không chỉ dùng tiêu chí Kaiser/eigenvalue &gt; 1), và phép xoay </w:t>
      </w:r>
      <w:r>
        <w:rPr>
          <w:b/>
        </w:rPr>
        <w:t>xiên (oblique, ví dụ promax/oblimin)</w:t>
      </w:r>
      <w:r>
        <w:t xml:space="preserve"> vì các lĩnh vực hài lòng được kỳ vọng có tương quan với nhau, không trực giao. n = 1000 vượt xa ngưỡng kinh nghiệm tối thiểu cho EFA (khoảng 5–10 quan sát/mục, tức ≥ 145–290 cho 29 mục) nên khả thi. </w:t>
      </w:r>
      <w:r>
        <w:rPr>
          <w:b/>
        </w:rPr>
        <w:t>EFA đơn thuần không thay thế cho việc tuyên bố công cụ "đã được chuẩn hóa"</w:t>
      </w:r>
      <w:r>
        <w:t xml:space="preserve"> — kết quả EFA chỉ là một bằng chứng cấu trúc bổ sung cho pha phát triển công cụ (mục 4.5.1); nếu về sau nhóm nghiên cứu muốn xác nhận cấu trúc một cách chặt chẽ hơn, cần thiết kế </w:t>
      </w:r>
      <w:r>
        <w:rPr>
          <w:b/>
        </w:rPr>
        <w:t>split-sample EFA/CFA</w:t>
      </w:r>
      <w:r>
        <w:t xml:space="preserve"> (chia mẫu ngẫu nhiên, EFA trên một nửa rồi CFA xác nhận trên nửa còn lại) hoặc một nghiên cứu kiểm định riêng — ngoài phạm vi bắt buộc của đề tài này.</w:t>
      </w:r>
    </w:p>
    <w:p>
      <w:r>
        <w:t xml:space="preserve">Quy trình kiểm định đầy đủ hơn theo COSMIN[13] (ngưỡng "đạt" neo theo tiêu chí Terwee[14] và chỉ số giá trị nội dung của Polit &amp; Beck[15]) — gồm cả </w:t>
      </w:r>
      <w:r>
        <w:rPr>
          <w:b/>
        </w:rPr>
        <w:t>giá trị nội dung</w:t>
      </w:r>
      <w:r>
        <w:t xml:space="preserve"> (content validity), thực hiện qua pha phát triển công cụ bốn bước đã khóa ở mục 4.5.1 (bảng truy xuất item, hội đồng chuyên gia I-CVI/S-CVI, cognitive interview, pilot) — </w:t>
      </w:r>
      <w:r>
        <w:rPr>
          <w:b/>
        </w:rPr>
        <w:t>trước</w:t>
      </w:r>
      <w:r>
        <w:t xml:space="preserve"> khi thu thập mẫu chính, không phải bằng chứng bổ sung sau. Test–retest/ICC, SEM/SDC, known-groups và MCID </w:t>
      </w:r>
      <w:r>
        <w:rPr>
          <w:b/>
        </w:rPr>
        <w:t>không</w:t>
      </w:r>
      <w: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pStyle w:val="Heading2"/>
      </w:pPr>
      <w:r>
        <w:t>4.6. Biến số nghiên cứu</w:t>
      </w:r>
    </w:p>
    <w:p>
      <w:r>
        <w:t xml:space="preserve">Bộ biến số của phiếu khảo sát </w:t>
      </w:r>
      <w:r>
        <w:rPr>
          <w:b/>
        </w:rPr>
        <w:t>không có ô tên, căn cước công dân, số thẻ bảo hiểm y tế, số điện thoại hay địa chỉ</w:t>
      </w:r>
      <w:r>
        <w:t xml:space="preserve">. Đề tài đo trải nghiệm dịch vụ, không đo bệnh lý, nên không thu thập biến bệnh nền/lâm sàng/cận lâm sàng; cũng không có biến sống còn hay biến cố an toàn. </w:t>
      </w:r>
      <w:r>
        <w:rPr>
          <w:b/>
        </w:rPr>
        <w:t>Trường `MaSoBenhNhan` (mã hồ sơ bệnh án) đã được rút hoàn toàn khỏi bộ dữ liệu và hệ thống nhập liệu của nhóm nghiên cứu</w:t>
      </w:r>
      <w:r>
        <w:t xml:space="preserve"> (đối chiếu phản biện độc lập 07/07/2026 — siết chặt hơn thiết kế trước, khi trường này còn tạm thời nằm trong codebook nội bộ trước khi tách): việc đối soát/chống trùng đối tượng dùng </w:t>
      </w:r>
      <w:r>
        <w:rPr>
          <w:rFonts w:ascii="Consolas" w:hAnsi="Consolas"/>
        </w:rPr>
        <w:t>MaSoBenhNhan</w:t>
      </w:r>
      <w:r>
        <w:t xml:space="preserve"> </w:t>
      </w:r>
      <w:r>
        <w:rPr>
          <w:b/>
        </w:rPr>
        <w:t>do Phòng CNTT/QLCL bệnh viện thực hiện riêng, ngoài phạm vi hệ thống của nhóm nghiên cứu</w:t>
      </w:r>
      <w:r>
        <w:t xml:space="preserve"> (mục 6.5); nhóm nghiên cứu chỉ nhận và chỉ nhập </w:t>
      </w:r>
      <w:r>
        <w:rPr>
          <w:rFonts w:ascii="Consolas" w:hAnsi="Consolas"/>
        </w:rPr>
        <w:t>ID</w:t>
      </w:r>
      <w:r>
        <w:t xml:space="preserve"> (mã số phiếu) làm định danh duy nhất. Bộ biến số dưới đây khớp với 63 trường của codebook nghiên cứu (</w:t>
      </w:r>
      <w:r>
        <w:rPr>
          <w:rFonts w:ascii="Consolas" w:hAnsi="Consolas"/>
        </w:rPr>
        <w:t>.sav</w:t>
      </w:r>
      <w:r>
        <w:t xml:space="preserve">) do nhóm nghiên cứu đã dựng sẵn cho phiếu khảo sát này; </w:t>
      </w:r>
      <w:r>
        <w:rPr>
          <w:rFonts w:ascii="Consolas" w:hAnsi="Consolas"/>
        </w:rPr>
        <w:t>MaSoBenhNhan</w:t>
      </w:r>
      <w:r>
        <w:t xml:space="preserve"> từng có trong bản codebook nội bộ ban đầu nhưng </w:t>
      </w:r>
      <w:r>
        <w:rPr>
          <w:b/>
        </w:rPr>
        <w:t>không</w:t>
      </w:r>
      <w:r>
        <w:t xml:space="preserve"> còn nằm trong bộ dữ liệu/hệ thống mà nhóm nghiên cứu vận hành.</w:t>
      </w:r>
    </w:p>
    <w:p>
      <w:pPr>
        <w:pStyle w:val="Heading3"/>
      </w:pPr>
      <w:r>
        <w:t>4.6.1. Biến kết cục (phụ thuộc)</w:t>
      </w:r>
    </w:p>
    <w:p>
      <w:r>
        <w:rPr>
          <w:i/>
        </w:rPr>
        <w:t>Bảng 4.3. Biến kết cục.</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Tên biến</w:t>
            </w:r>
          </w:p>
        </w:tc>
        <w:tc>
          <w:tcPr>
            <w:tcW w:type="dxa" w:w="2339"/>
          </w:tcPr>
          <w:p>
            <w:r>
              <w:rPr>
                <w:b/>
                <w:sz w:val="18"/>
              </w:rPr>
              <w:t>Nhãn</w:t>
            </w:r>
          </w:p>
        </w:tc>
        <w:tc>
          <w:tcPr>
            <w:tcW w:type="dxa" w:w="2339"/>
          </w:tcPr>
          <w:p>
            <w:r>
              <w:rPr>
                <w:b/>
                <w:sz w:val="18"/>
              </w:rPr>
              <w:t>Loại đo</w:t>
            </w:r>
          </w:p>
        </w:tc>
        <w:tc>
          <w:tcPr>
            <w:tcW w:type="dxa" w:w="2339"/>
          </w:tcPr>
          <w:p>
            <w:r>
              <w:rPr>
                <w:b/>
                <w:sz w:val="18"/>
              </w:rPr>
              <w:t>Cách đo/mã hóa</w:t>
            </w:r>
          </w:p>
        </w:tc>
      </w:tr>
      <w:tr>
        <w:tc>
          <w:tcPr>
            <w:tcW w:type="dxa" w:w="2339"/>
          </w:tcPr>
          <w:p>
            <w:r>
              <w:rPr>
                <w:rFonts w:ascii="Consolas" w:hAnsi="Consolas"/>
                <w:sz w:val="18"/>
              </w:rPr>
              <w:t>A1</w:t>
            </w:r>
            <w:r>
              <w:rPr>
                <w:sz w:val="18"/>
              </w:rPr>
              <w:t>…</w:t>
            </w:r>
            <w:r>
              <w:rPr>
                <w:rFonts w:ascii="Consolas" w:hAnsi="Consolas"/>
                <w:sz w:val="18"/>
              </w:rPr>
              <w:t>A6</w:t>
            </w:r>
            <w:r>
              <w:rPr>
                <w:sz w:val="18"/>
              </w:rPr>
              <w:t xml:space="preserve">, </w:t>
            </w:r>
            <w:r>
              <w:rPr>
                <w:rFonts w:ascii="Consolas" w:hAnsi="Consolas"/>
                <w:sz w:val="18"/>
              </w:rPr>
              <w:t>B1</w:t>
            </w:r>
            <w:r>
              <w:rPr>
                <w:sz w:val="18"/>
              </w:rPr>
              <w:t>…</w:t>
            </w:r>
            <w:r>
              <w:rPr>
                <w:rFonts w:ascii="Consolas" w:hAnsi="Consolas"/>
                <w:sz w:val="18"/>
              </w:rPr>
              <w:t>B8</w:t>
            </w:r>
            <w:r>
              <w:rPr>
                <w:sz w:val="18"/>
              </w:rPr>
              <w:t xml:space="preserve">, </w:t>
            </w:r>
            <w:r>
              <w:rPr>
                <w:rFonts w:ascii="Consolas" w:hAnsi="Consolas"/>
                <w:sz w:val="18"/>
              </w:rPr>
              <w:t>C1</w:t>
            </w:r>
            <w:r>
              <w:rPr>
                <w:sz w:val="18"/>
              </w:rPr>
              <w:t>…</w:t>
            </w:r>
            <w:r>
              <w:rPr>
                <w:rFonts w:ascii="Consolas" w:hAnsi="Consolas"/>
                <w:sz w:val="18"/>
              </w:rPr>
              <w:t>C10</w:t>
            </w:r>
            <w:r>
              <w:rPr>
                <w:sz w:val="18"/>
              </w:rPr>
              <w:t xml:space="preserve">, </w:t>
            </w:r>
            <w:r>
              <w:rPr>
                <w:rFonts w:ascii="Consolas" w:hAnsi="Consolas"/>
                <w:sz w:val="18"/>
              </w:rPr>
              <w:t>D1</w:t>
            </w:r>
            <w:r>
              <w:rPr>
                <w:sz w:val="18"/>
              </w:rPr>
              <w:t>…</w:t>
            </w:r>
            <w:r>
              <w:rPr>
                <w:rFonts w:ascii="Consolas" w:hAnsi="Consolas"/>
                <w:sz w:val="18"/>
              </w:rPr>
              <w:t>D3</w:t>
            </w:r>
            <w:r>
              <w:rPr>
                <w:sz w:val="18"/>
              </w:rPr>
              <w:t xml:space="preserve">, </w:t>
            </w:r>
            <w:r>
              <w:rPr>
                <w:rFonts w:ascii="Consolas" w:hAnsi="Consolas"/>
                <w:sz w:val="18"/>
              </w:rPr>
              <w:t>E1</w:t>
            </w:r>
            <w:r>
              <w:rPr>
                <w:sz w:val="18"/>
              </w:rPr>
              <w:t>,</w:t>
            </w:r>
            <w:r>
              <w:rPr>
                <w:rFonts w:ascii="Consolas" w:hAnsi="Consolas"/>
                <w:sz w:val="18"/>
              </w:rPr>
              <w:t>E2</w:t>
            </w:r>
            <w:r>
              <w:rPr>
                <w:sz w:val="18"/>
              </w:rPr>
              <w:t xml:space="preserve">, </w:t>
            </w:r>
            <w:r>
              <w:rPr>
                <w:rFonts w:ascii="Consolas" w:hAnsi="Consolas"/>
                <w:sz w:val="18"/>
              </w:rPr>
              <w:t>F1</w:t>
            </w:r>
          </w:p>
        </w:tc>
        <w:tc>
          <w:tcPr>
            <w:tcW w:type="dxa" w:w="2339"/>
          </w:tcPr>
          <w:p>
            <w:r>
              <w:rPr>
                <w:sz w:val="18"/>
              </w:rPr>
              <w:t>Điểm từng mục theo lĩnh vực (30 mục, Phần 2 phiếu)</w:t>
            </w:r>
          </w:p>
        </w:tc>
        <w:tc>
          <w:tcPr>
            <w:tcW w:type="dxa" w:w="2339"/>
          </w:tcPr>
          <w:p>
            <w:r>
              <w:rPr>
                <w:sz w:val="18"/>
              </w:rPr>
              <w:t>Thứ hạng (Likert)</w:t>
            </w:r>
          </w:p>
        </w:tc>
        <w:tc>
          <w:tcPr>
            <w:tcW w:type="dxa" w:w="2339"/>
          </w:tcPr>
          <w:p>
            <w:r>
              <w:rPr>
                <w:sz w:val="18"/>
              </w:rPr>
              <w:t xml:space="preserve">Điểm 1–5, nhập trực tiếp. Ba mã thiếu </w:t>
            </w:r>
            <w:r>
              <w:rPr>
                <w:b/>
                <w:sz w:val="18"/>
              </w:rPr>
              <w:t>tách riêng</w:t>
            </w:r>
            <w:r>
              <w:rPr>
                <w:sz w:val="18"/>
              </w:rPr>
              <w:t xml:space="preserve"> (đối chiếu phản biện độc lập 07/07/2026 — không còn gộp chung một mã 9): </w:t>
            </w:r>
            <w:r>
              <w:rPr>
                <w:b/>
                <w:sz w:val="18"/>
              </w:rPr>
              <w:t>7 = không áp dụng/không sử dụng dịch vụ này</w:t>
            </w:r>
            <w:r>
              <w:rPr>
                <w:sz w:val="18"/>
              </w:rPr>
              <w:t xml:space="preserve"> (chỉ hợp lệ ở các mục điều kiện: A3, A4 — cận lâm sàng; D2 — giải thích chi phí nếu có thắc mắc; D3 — hướng dẫn dùng thuốc; C8 — thủ thuật/y lệnh, xem Phụ lục C.5); </w:t>
            </w:r>
            <w:r>
              <w:rPr>
                <w:b/>
                <w:sz w:val="18"/>
              </w:rPr>
              <w:t>8 = không biết/không nhớ</w:t>
            </w:r>
            <w:r>
              <w:rPr>
                <w:sz w:val="18"/>
              </w:rPr>
              <w:t xml:space="preserve">; </w:t>
            </w:r>
            <w:r>
              <w:rPr>
                <w:b/>
                <w:sz w:val="18"/>
              </w:rPr>
              <w:t>9 = không trả lời/từ chối</w:t>
            </w:r>
            <w:r>
              <w:rPr>
                <w:sz w:val="18"/>
              </w:rPr>
              <w:t>. Cả ba đều loại khỏi tử số khi tính điểm miền; riêng mã 7 còn loại khỏi mẫu số (mục 4.5.2)</w:t>
            </w:r>
          </w:p>
        </w:tc>
      </w:tr>
      <w:tr>
        <w:tc>
          <w:tcPr>
            <w:tcW w:type="dxa" w:w="2339"/>
          </w:tcPr>
          <w:p>
            <w:r>
              <w:rPr>
                <w:rFonts w:ascii="Consolas" w:hAnsi="Consolas"/>
                <w:sz w:val="18"/>
              </w:rPr>
              <w:t>A_Mean</w:t>
            </w:r>
            <w:r>
              <w:rPr>
                <w:sz w:val="18"/>
              </w:rPr>
              <w:t>…</w:t>
            </w:r>
            <w:r>
              <w:rPr>
                <w:rFonts w:ascii="Consolas" w:hAnsi="Consolas"/>
                <w:sz w:val="18"/>
              </w:rPr>
              <w:t>F_Mean</w:t>
            </w:r>
          </w:p>
        </w:tc>
        <w:tc>
          <w:tcPr>
            <w:tcW w:type="dxa" w:w="2339"/>
          </w:tcPr>
          <w:p>
            <w:r>
              <w:rPr>
                <w:sz w:val="18"/>
              </w:rPr>
              <w:t>Điểm trung bình lĩnh vực</w:t>
            </w:r>
          </w:p>
        </w:tc>
        <w:tc>
          <w:tcPr>
            <w:tcW w:type="dxa" w:w="2339"/>
          </w:tcPr>
          <w:p>
            <w:r>
              <w:rPr>
                <w:sz w:val="18"/>
              </w:rPr>
              <w:t>Liên tục (phái sinh)</w:t>
            </w:r>
          </w:p>
        </w:tc>
        <w:tc>
          <w:tcPr>
            <w:tcW w:type="dxa" w:w="2339"/>
          </w:tcPr>
          <w:p>
            <w:r>
              <w:rPr>
                <w:sz w:val="18"/>
              </w:rPr>
              <w:t xml:space="preserve">= trung bình các mục có điểm hợp lệ 1–5 của lĩnh vực (loại mã 7/8/9); mẫu số = số mục ÁP DỤNG (đã loại mã 7); chỉ tính khi ≥ 80% mục áp dụng của lĩnh vực có điểm hợp lệ (mục 4.5.2). </w:t>
            </w:r>
            <w:r>
              <w:rPr>
                <w:rFonts w:ascii="Consolas" w:hAnsi="Consolas"/>
                <w:sz w:val="18"/>
              </w:rPr>
              <w:t>F_Mean</w:t>
            </w:r>
            <w:r>
              <w:rPr>
                <w:sz w:val="18"/>
              </w:rPr>
              <w:t xml:space="preserve"> = F1 (lĩnh vực có 1 mục — chỉ số đơn mục, không phải thang đo); </w:t>
            </w:r>
            <w:r>
              <w:rPr>
                <w:rFonts w:ascii="Consolas" w:hAnsi="Consolas"/>
                <w:sz w:val="18"/>
              </w:rPr>
              <w:t>E_Mean</w:t>
            </w:r>
            <w:r>
              <w:rPr>
                <w:sz w:val="18"/>
              </w:rPr>
              <w:t xml:space="preserve"> từ 2 mục — diễn giải thận trọng (mục 4.5.3)</w:t>
            </w:r>
          </w:p>
        </w:tc>
      </w:tr>
      <w:tr>
        <w:tc>
          <w:tcPr>
            <w:tcW w:type="dxa" w:w="2339"/>
          </w:tcPr>
          <w:p>
            <w:r>
              <w:rPr>
                <w:rFonts w:ascii="Consolas" w:hAnsi="Consolas"/>
                <w:sz w:val="18"/>
              </w:rPr>
              <w:t>G1</w:t>
            </w:r>
            <w:r>
              <w:rPr>
                <w:sz w:val="18"/>
              </w:rPr>
              <w:t xml:space="preserve"> (= </w:t>
            </w:r>
            <w:r>
              <w:rPr>
                <w:rFonts w:ascii="Consolas" w:hAnsi="Consolas"/>
                <w:sz w:val="18"/>
              </w:rPr>
              <w:t>SHLNBChung_TrucTiep</w:t>
            </w:r>
            <w:r>
              <w:rPr>
                <w:sz w:val="18"/>
              </w:rPr>
              <w:t>)</w:t>
            </w:r>
          </w:p>
        </w:tc>
        <w:tc>
          <w:tcPr>
            <w:tcW w:type="dxa" w:w="2339"/>
          </w:tcPr>
          <w:p>
            <w:r>
              <w:rPr>
                <w:sz w:val="18"/>
              </w:rPr>
              <w:t>Hài lòng chung — hỏi trực tiếp, Phần 3 (</w:t>
            </w:r>
            <w:r>
              <w:rPr>
                <w:b/>
                <w:sz w:val="18"/>
              </w:rPr>
              <w:t>kết cục chính MT1 &amp; MT2</w:t>
            </w:r>
            <w:r>
              <w:rPr>
                <w:sz w:val="18"/>
              </w:rPr>
              <w:t>)</w:t>
            </w:r>
          </w:p>
        </w:tc>
        <w:tc>
          <w:tcPr>
            <w:tcW w:type="dxa" w:w="2339"/>
          </w:tcPr>
          <w:p>
            <w:r>
              <w:rPr>
                <w:sz w:val="18"/>
              </w:rPr>
              <w:t xml:space="preserve">Thứ hạng (Likert 1–5); giữ </w:t>
            </w:r>
            <w:r>
              <w:rPr>
                <w:b/>
                <w:sz w:val="18"/>
              </w:rPr>
              <w:t>thứ hạng</w:t>
            </w:r>
            <w:r>
              <w:rPr>
                <w:sz w:val="18"/>
              </w:rPr>
              <w:t xml:space="preserve"> trong mô hình chính (logistic thứ tự); coi </w:t>
            </w:r>
            <w:r>
              <w:rPr>
                <w:b/>
                <w:sz w:val="18"/>
              </w:rPr>
              <w:t>liên tục</w:t>
            </w:r>
            <w:r>
              <w:rPr>
                <w:sz w:val="18"/>
              </w:rPr>
              <w:t xml:space="preserve"> chỉ trong phân tích nhạy cảm (hồi quy tuyến tính)</w:t>
            </w:r>
          </w:p>
        </w:tc>
        <w:tc>
          <w:tcPr>
            <w:tcW w:type="dxa" w:w="2339"/>
          </w:tcPr>
          <w:p>
            <w:r>
              <w:rPr>
                <w:sz w:val="18"/>
              </w:rPr>
              <w:t>Điểm 1–5, nhập trực tiếp, không tính từ lĩnh vực khác</w:t>
            </w:r>
          </w:p>
        </w:tc>
      </w:tr>
      <w:tr>
        <w:tc>
          <w:tcPr>
            <w:tcW w:type="dxa" w:w="2339"/>
          </w:tcPr>
          <w:p>
            <w:r>
              <w:rPr>
                <w:rFonts w:ascii="Consolas" w:hAnsi="Consolas"/>
                <w:sz w:val="18"/>
              </w:rPr>
              <w:t>SHLNBChung_TinhToan</w:t>
            </w:r>
          </w:p>
        </w:tc>
        <w:tc>
          <w:tcPr>
            <w:tcW w:type="dxa" w:w="2339"/>
          </w:tcPr>
          <w:p>
            <w:r>
              <w:rPr>
                <w:sz w:val="18"/>
              </w:rPr>
              <w:t xml:space="preserve">Điểm hài lòng chung tính toán (kết cục </w:t>
            </w:r>
            <w:r>
              <w:rPr>
                <w:b/>
                <w:sz w:val="18"/>
              </w:rPr>
              <w:t>đối chiếu/thứ cấp</w:t>
            </w:r>
            <w:r>
              <w:rPr>
                <w:sz w:val="18"/>
              </w:rPr>
              <w:t>)</w:t>
            </w:r>
          </w:p>
        </w:tc>
        <w:tc>
          <w:tcPr>
            <w:tcW w:type="dxa" w:w="2339"/>
          </w:tcPr>
          <w:p>
            <w:r>
              <w:rPr>
                <w:sz w:val="18"/>
              </w:rPr>
              <w:t>Liên tục (phái sinh)</w:t>
            </w:r>
          </w:p>
        </w:tc>
        <w:tc>
          <w:tcPr>
            <w:tcW w:type="dxa" w:w="2339"/>
          </w:tcPr>
          <w:p>
            <w:r>
              <w:rPr>
                <w:sz w:val="18"/>
              </w:rPr>
              <w:t xml:space="preserve">= trung bình cộng các mục có điểm hợp lệ trong 30 mục A1–F1 (loại mã 7/8/9); dùng đối chiếu hội tụ với G1 và làm phân tích nhạy cảm — </w:t>
            </w:r>
            <w:r>
              <w:rPr>
                <w:b/>
                <w:sz w:val="18"/>
              </w:rPr>
              <w:t>không</w:t>
            </w:r>
            <w:r>
              <w:rPr>
                <w:sz w:val="18"/>
              </w:rPr>
              <w:t xml:space="preserve"> phải kết cục chính</w:t>
            </w:r>
          </w:p>
        </w:tc>
      </w:tr>
      <w:tr>
        <w:tc>
          <w:tcPr>
            <w:tcW w:type="dxa" w:w="2339"/>
          </w:tcPr>
          <w:p>
            <w:r>
              <w:rPr>
                <w:rFonts w:ascii="Consolas" w:hAnsi="Consolas"/>
                <w:sz w:val="18"/>
              </w:rPr>
              <w:t>SHLNBChung_NhiPhan</w:t>
            </w:r>
          </w:p>
        </w:tc>
        <w:tc>
          <w:tcPr>
            <w:tcW w:type="dxa" w:w="2339"/>
          </w:tcPr>
          <w:p>
            <w:r>
              <w:rPr>
                <w:sz w:val="18"/>
              </w:rPr>
              <w:t xml:space="preserve">Tình trạng hài lòng chung (kết cục </w:t>
            </w:r>
            <w:r>
              <w:rPr>
                <w:b/>
                <w:sz w:val="18"/>
              </w:rPr>
              <w:t>thứ cấp/mô tả</w:t>
            </w:r>
            <w:r>
              <w:rPr>
                <w:sz w:val="18"/>
              </w:rPr>
              <w:t>)</w:t>
            </w:r>
          </w:p>
        </w:tc>
        <w:tc>
          <w:tcPr>
            <w:tcW w:type="dxa" w:w="2339"/>
          </w:tcPr>
          <w:p>
            <w:r>
              <w:rPr>
                <w:sz w:val="18"/>
              </w:rPr>
              <w:t>Nhị phân</w:t>
            </w:r>
          </w:p>
        </w:tc>
        <w:tc>
          <w:tcPr>
            <w:tcW w:type="dxa" w:w="2339"/>
          </w:tcPr>
          <w:p>
            <w:r>
              <w:rPr>
                <w:sz w:val="18"/>
              </w:rPr>
              <w:t xml:space="preserve">1 = Hài lòng (G1 ≥ 4/5) · 0 = Chưa hài lòng; định nghĩa </w:t>
            </w:r>
            <w:r>
              <w:rPr>
                <w:b/>
                <w:sz w:val="18"/>
              </w:rPr>
              <w:t>từ G1</w:t>
            </w:r>
            <w:r>
              <w:rPr>
                <w:sz w:val="18"/>
              </w:rPr>
              <w:t xml:space="preserve"> (không phải từ điểm trung bình lĩnh vực); ngưỡng cố định khóa ở SAP</w:t>
            </w:r>
          </w:p>
        </w:tc>
      </w:tr>
      <w:tr>
        <w:tc>
          <w:tcPr>
            <w:tcW w:type="dxa" w:w="2339"/>
          </w:tcPr>
          <w:p>
            <w:r>
              <w:rPr>
                <w:rFonts w:ascii="Consolas" w:hAnsi="Consolas"/>
                <w:sz w:val="18"/>
              </w:rPr>
              <w:t>Ykiendonggop</w:t>
            </w:r>
          </w:p>
        </w:tc>
        <w:tc>
          <w:tcPr>
            <w:tcW w:type="dxa" w:w="2339"/>
          </w:tcPr>
          <w:p>
            <w:r>
              <w:rPr>
                <w:sz w:val="18"/>
              </w:rPr>
              <w:t>Ý kiến đóng góp mở (Phần 4)</w:t>
            </w:r>
          </w:p>
        </w:tc>
        <w:tc>
          <w:tcPr>
            <w:tcW w:type="dxa" w:w="2339"/>
          </w:tcPr>
          <w:p>
            <w:r>
              <w:rPr>
                <w:sz w:val="18"/>
              </w:rPr>
              <w:t>Định tính (văn bản tự do)</w:t>
            </w:r>
          </w:p>
        </w:tc>
        <w:tc>
          <w:tcPr>
            <w:tcW w:type="dxa" w:w="2339"/>
          </w:tcPr>
          <w:p>
            <w:r>
              <w:rPr>
                <w:sz w:val="18"/>
              </w:rPr>
              <w:t>Mã hóa chủ đề bằng hai người độc lập + hòa giải bất đồng (mục 4.10); tổng hợp mô tả/theo chủ đề kèm trích dẫn đã khử định danh, không lượng hóa vào kết cục</w:t>
            </w:r>
          </w:p>
        </w:tc>
      </w:tr>
      <w:tr>
        <w:tc>
          <w:tcPr>
            <w:tcW w:type="dxa" w:w="2339"/>
          </w:tcPr>
          <w:p>
            <w:r>
              <w:rPr>
                <w:rFonts w:ascii="Consolas" w:hAnsi="Consolas"/>
                <w:sz w:val="18"/>
              </w:rPr>
              <w:t>PhieuHopLe</w:t>
            </w:r>
          </w:p>
        </w:tc>
        <w:tc>
          <w:tcPr>
            <w:tcW w:type="dxa" w:w="2339"/>
          </w:tcPr>
          <w:p>
            <w:r>
              <w:rPr>
                <w:sz w:val="18"/>
              </w:rPr>
              <w:t>Đánh giá phiếu hợp lệ sau kiểm tra dữ liệu</w:t>
            </w:r>
          </w:p>
        </w:tc>
        <w:tc>
          <w:tcPr>
            <w:tcW w:type="dxa" w:w="2339"/>
          </w:tcPr>
          <w:p>
            <w:r>
              <w:rPr>
                <w:sz w:val="18"/>
              </w:rPr>
              <w:t>Nhị phân/danh định</w:t>
            </w:r>
          </w:p>
        </w:tc>
        <w:tc>
          <w:tcPr>
            <w:tcW w:type="dxa" w:w="2339"/>
          </w:tcPr>
          <w:p>
            <w:r>
              <w:rPr>
                <w:sz w:val="18"/>
              </w:rPr>
              <w:t>Áp dụng tiêu chuẩn loại trừ "phiếu khuyết dữ liệu vượt ngưỡng" (mục 4.3.2, 4.9)</w:t>
            </w:r>
          </w:p>
        </w:tc>
      </w:tr>
    </w:tbl>
    <w:p/>
    <w:p>
      <w:r>
        <w:t>Các biến phái sinh (</w:t>
      </w:r>
      <w:r>
        <w:rPr>
          <w:rFonts w:ascii="Consolas" w:hAnsi="Consolas"/>
        </w:rPr>
        <w:t>A_Mean</w:t>
      </w:r>
      <w:r>
        <w:t>…</w:t>
      </w:r>
      <w:r>
        <w:rPr>
          <w:rFonts w:ascii="Consolas" w:hAnsi="Consolas"/>
        </w:rPr>
        <w:t>F_Mean</w:t>
      </w:r>
      <w:r>
        <w:t xml:space="preserve">, </w:t>
      </w:r>
      <w:r>
        <w:rPr>
          <w:rFonts w:ascii="Consolas" w:hAnsi="Consolas"/>
        </w:rPr>
        <w:t>SHLNBChung_TinhToan</w:t>
      </w:r>
      <w:r>
        <w:t xml:space="preserve">, </w:t>
      </w:r>
      <w:r>
        <w:rPr>
          <w:rFonts w:ascii="Consolas" w:hAnsi="Consolas"/>
        </w:rPr>
        <w:t>SHLNBChung_NhiPhan</w:t>
      </w:r>
      <w:r>
        <w:t>) được dựng bằng trường tính toán (calc field) từ 30 mục A1–F1, không nhập tay.</w:t>
      </w:r>
    </w:p>
    <w:p>
      <w:pPr>
        <w:pStyle w:val="Heading3"/>
      </w:pPr>
      <w:r>
        <w:t>4.6.2. Biến độc lập (yếu tố liên quan – Mục tiêu 2)</w:t>
      </w:r>
    </w:p>
    <w:p>
      <w:r>
        <w:rPr>
          <w:i/>
        </w:rPr>
        <w:t>Bảng 4.4. Biến độc lập.</w:t>
      </w:r>
    </w:p>
    <w:tbl>
      <w:tblPr>
        <w:tblStyle w:val="LightGrid-Accent1"/>
        <w:tblW w:type="auto" w:w="0"/>
        <w:tblLook w:firstColumn="1" w:firstRow="1" w:lastColumn="0" w:lastRow="0" w:noHBand="0" w:noVBand="1" w:val="04A0"/>
      </w:tblPr>
      <w:tblGrid>
        <w:gridCol w:w="1871"/>
        <w:gridCol w:w="1871"/>
        <w:gridCol w:w="1871"/>
        <w:gridCol w:w="1871"/>
        <w:gridCol w:w="1871"/>
      </w:tblGrid>
      <w:tr>
        <w:tc>
          <w:tcPr>
            <w:tcW w:type="dxa" w:w="1871"/>
          </w:tcPr>
          <w:p>
            <w:r>
              <w:rPr>
                <w:b/>
                <w:sz w:val="18"/>
              </w:rPr>
              <w:t>Nhóm</w:t>
            </w:r>
          </w:p>
        </w:tc>
        <w:tc>
          <w:tcPr>
            <w:tcW w:type="dxa" w:w="1871"/>
          </w:tcPr>
          <w:p>
            <w:r>
              <w:rPr>
                <w:b/>
                <w:sz w:val="18"/>
              </w:rPr>
              <w:t>Tên biến</w:t>
            </w:r>
          </w:p>
        </w:tc>
        <w:tc>
          <w:tcPr>
            <w:tcW w:type="dxa" w:w="1871"/>
          </w:tcPr>
          <w:p>
            <w:r>
              <w:rPr>
                <w:b/>
                <w:sz w:val="18"/>
              </w:rPr>
              <w:t>Nhãn</w:t>
            </w:r>
          </w:p>
        </w:tc>
        <w:tc>
          <w:tcPr>
            <w:tcW w:type="dxa" w:w="1871"/>
          </w:tcPr>
          <w:p>
            <w:r>
              <w:rPr>
                <w:b/>
                <w:sz w:val="18"/>
              </w:rPr>
              <w:t>Loại đo</w:t>
            </w:r>
          </w:p>
        </w:tc>
        <w:tc>
          <w:tcPr>
            <w:tcW w:type="dxa" w:w="1871"/>
          </w:tcPr>
          <w:p>
            <w:r>
              <w:rPr>
                <w:b/>
                <w:sz w:val="18"/>
              </w:rPr>
              <w:t>Mã hóa/đơn vị</w:t>
            </w:r>
          </w:p>
        </w:tc>
      </w:tr>
      <w:tr>
        <w:tc>
          <w:tcPr>
            <w:tcW w:type="dxa" w:w="1871"/>
          </w:tcPr>
          <w:p>
            <w:r>
              <w:rPr>
                <w:sz w:val="18"/>
              </w:rPr>
              <w:t>Nhân khẩu (Phần 1 phiếu)</w:t>
            </w:r>
          </w:p>
        </w:tc>
        <w:tc>
          <w:tcPr>
            <w:tcW w:type="dxa" w:w="1871"/>
          </w:tcPr>
          <w:p>
            <w:r>
              <w:rPr>
                <w:rFonts w:ascii="Consolas" w:hAnsi="Consolas"/>
                <w:sz w:val="18"/>
              </w:rPr>
              <w:t>Tuoi</w:t>
            </w:r>
          </w:p>
        </w:tc>
        <w:tc>
          <w:tcPr>
            <w:tcW w:type="dxa" w:w="1871"/>
          </w:tcPr>
          <w:p>
            <w:r>
              <w:rPr>
                <w:sz w:val="18"/>
              </w:rPr>
              <w:t>Tuổi</w:t>
            </w:r>
          </w:p>
        </w:tc>
        <w:tc>
          <w:tcPr>
            <w:tcW w:type="dxa" w:w="1871"/>
          </w:tcPr>
          <w:p>
            <w:r>
              <w:rPr>
                <w:sz w:val="18"/>
              </w:rPr>
              <w:t>Liên tục</w:t>
            </w:r>
          </w:p>
        </w:tc>
        <w:tc>
          <w:tcPr>
            <w:tcW w:type="dxa" w:w="1871"/>
          </w:tcPr>
          <w:p>
            <w:r>
              <w:rPr>
                <w:sz w:val="18"/>
              </w:rPr>
              <w:t xml:space="preserve">năm (giữ liên tục trong mô hình; </w:t>
            </w:r>
            <w:r>
              <w:rPr>
                <w:rFonts w:ascii="Consolas" w:hAnsi="Consolas"/>
                <w:sz w:val="18"/>
              </w:rPr>
              <w:t>NhomTuoi</w:t>
            </w:r>
            <w:r>
              <w:rPr>
                <w:sz w:val="18"/>
              </w:rPr>
              <w:t xml:space="preserve"> chỉ dùng mô tả)</w:t>
            </w:r>
          </w:p>
        </w:tc>
      </w:tr>
      <w:tr>
        <w:tc>
          <w:tcPr>
            <w:tcW w:type="dxa" w:w="1871"/>
          </w:tcPr>
          <w:p/>
        </w:tc>
        <w:tc>
          <w:tcPr>
            <w:tcW w:type="dxa" w:w="1871"/>
          </w:tcPr>
          <w:p>
            <w:r>
              <w:rPr>
                <w:rFonts w:ascii="Consolas" w:hAnsi="Consolas"/>
                <w:sz w:val="18"/>
              </w:rPr>
              <w:t>GioiTinh</w:t>
            </w:r>
          </w:p>
        </w:tc>
        <w:tc>
          <w:tcPr>
            <w:tcW w:type="dxa" w:w="1871"/>
          </w:tcPr>
          <w:p>
            <w:r>
              <w:rPr>
                <w:sz w:val="18"/>
              </w:rPr>
              <w:t>Giới tính</w:t>
            </w:r>
          </w:p>
        </w:tc>
        <w:tc>
          <w:tcPr>
            <w:tcW w:type="dxa" w:w="1871"/>
          </w:tcPr>
          <w:p>
            <w:r>
              <w:rPr>
                <w:sz w:val="18"/>
              </w:rPr>
              <w:t>Danh định</w:t>
            </w:r>
          </w:p>
        </w:tc>
        <w:tc>
          <w:tcPr>
            <w:tcW w:type="dxa" w:w="1871"/>
          </w:tcPr>
          <w:p>
            <w:r>
              <w:rPr>
                <w:sz w:val="18"/>
              </w:rPr>
              <w:t>1=Nam · 2=Nữ (phiếu không có lựa chọn thứ ba)</w:t>
            </w:r>
          </w:p>
        </w:tc>
      </w:tr>
      <w:tr>
        <w:tc>
          <w:tcPr>
            <w:tcW w:type="dxa" w:w="1871"/>
          </w:tcPr>
          <w:p/>
        </w:tc>
        <w:tc>
          <w:tcPr>
            <w:tcW w:type="dxa" w:w="1871"/>
          </w:tcPr>
          <w:p>
            <w:r>
              <w:rPr>
                <w:rFonts w:ascii="Consolas" w:hAnsi="Consolas"/>
                <w:sz w:val="18"/>
              </w:rPr>
              <w:t>TrinhDoHocVan</w:t>
            </w:r>
          </w:p>
        </w:tc>
        <w:tc>
          <w:tcPr>
            <w:tcW w:type="dxa" w:w="1871"/>
          </w:tcPr>
          <w:p>
            <w:r>
              <w:rPr>
                <w:sz w:val="18"/>
              </w:rPr>
              <w:t>Học vấn</w:t>
            </w:r>
          </w:p>
        </w:tc>
        <w:tc>
          <w:tcPr>
            <w:tcW w:type="dxa" w:w="1871"/>
          </w:tcPr>
          <w:p>
            <w:r>
              <w:rPr>
                <w:sz w:val="18"/>
              </w:rPr>
              <w:t>Thứ hạng</w:t>
            </w:r>
          </w:p>
        </w:tc>
        <w:tc>
          <w:tcPr>
            <w:tcW w:type="dxa" w:w="1871"/>
          </w:tcPr>
          <w:p>
            <w:r>
              <w:rPr>
                <w:sz w:val="18"/>
              </w:rPr>
              <w:t>1=Mù chữ/chưa đi học · 2=Tiểu học · 3=THCS · 4=THPT · 5=TC/CĐ · 6=ĐH · 7=Sau ĐH</w:t>
            </w:r>
          </w:p>
        </w:tc>
      </w:tr>
      <w:tr>
        <w:tc>
          <w:tcPr>
            <w:tcW w:type="dxa" w:w="1871"/>
          </w:tcPr>
          <w:p/>
        </w:tc>
        <w:tc>
          <w:tcPr>
            <w:tcW w:type="dxa" w:w="1871"/>
          </w:tcPr>
          <w:p>
            <w:r>
              <w:rPr>
                <w:rFonts w:ascii="Consolas" w:hAnsi="Consolas"/>
                <w:sz w:val="18"/>
              </w:rPr>
              <w:t>NgheNghiep</w:t>
            </w:r>
            <w:r>
              <w:rPr>
                <w:sz w:val="18"/>
              </w:rPr>
              <w:t xml:space="preserve"> (+ </w:t>
            </w:r>
            <w:r>
              <w:rPr>
                <w:rFonts w:ascii="Consolas" w:hAnsi="Consolas"/>
                <w:sz w:val="18"/>
              </w:rPr>
              <w:t>Nghenghiepkhac</w:t>
            </w:r>
            <w:r>
              <w:rPr>
                <w:sz w:val="18"/>
              </w:rPr>
              <w:t>)</w:t>
            </w:r>
          </w:p>
        </w:tc>
        <w:tc>
          <w:tcPr>
            <w:tcW w:type="dxa" w:w="1871"/>
          </w:tcPr>
          <w:p>
            <w:r>
              <w:rPr>
                <w:sz w:val="18"/>
              </w:rPr>
              <w:t>Nghề nghiệp</w:t>
            </w:r>
          </w:p>
        </w:tc>
        <w:tc>
          <w:tcPr>
            <w:tcW w:type="dxa" w:w="1871"/>
          </w:tcPr>
          <w:p>
            <w:r>
              <w:rPr>
                <w:sz w:val="18"/>
              </w:rPr>
              <w:t>Danh định</w:t>
            </w:r>
          </w:p>
        </w:tc>
        <w:tc>
          <w:tcPr>
            <w:tcW w:type="dxa" w:w="1871"/>
          </w:tcPr>
          <w:p>
            <w:r>
              <w:rPr>
                <w:sz w:val="18"/>
              </w:rPr>
              <w:t>1=CBCC/viên chức · 2=Nông/Lâm/Ngư · 3=Công nhân/LĐ chân tay · 4=LĐ tự do/KD nhỏ · 5=Hưu trí · 6=Nội trợ · 7=HS/SV · 8=Thất nghiệp · 9=Khác (ghi rõ)</w:t>
            </w:r>
          </w:p>
        </w:tc>
      </w:tr>
      <w:tr>
        <w:tc>
          <w:tcPr>
            <w:tcW w:type="dxa" w:w="1871"/>
          </w:tcPr>
          <w:p/>
        </w:tc>
        <w:tc>
          <w:tcPr>
            <w:tcW w:type="dxa" w:w="1871"/>
          </w:tcPr>
          <w:p>
            <w:r>
              <w:rPr>
                <w:rFonts w:ascii="Consolas" w:hAnsi="Consolas"/>
                <w:sz w:val="18"/>
              </w:rPr>
              <w:t>TinhTrangHonNhan</w:t>
            </w:r>
          </w:p>
        </w:tc>
        <w:tc>
          <w:tcPr>
            <w:tcW w:type="dxa" w:w="1871"/>
          </w:tcPr>
          <w:p>
            <w:r>
              <w:rPr>
                <w:sz w:val="18"/>
              </w:rPr>
              <w:t>Tình trạng hôn nhân</w:t>
            </w:r>
          </w:p>
        </w:tc>
        <w:tc>
          <w:tcPr>
            <w:tcW w:type="dxa" w:w="1871"/>
          </w:tcPr>
          <w:p>
            <w:r>
              <w:rPr>
                <w:sz w:val="18"/>
              </w:rPr>
              <w:t>Danh định</w:t>
            </w:r>
          </w:p>
        </w:tc>
        <w:tc>
          <w:tcPr>
            <w:tcW w:type="dxa" w:w="1871"/>
          </w:tcPr>
          <w:p>
            <w:r>
              <w:rPr>
                <w:sz w:val="18"/>
              </w:rPr>
              <w:t>1=Độc thân · 2=Đã kết hôn/chung sống · 3=Ly hôn/ly thân · 4=Góa</w:t>
            </w:r>
          </w:p>
        </w:tc>
      </w:tr>
      <w:tr>
        <w:tc>
          <w:tcPr>
            <w:tcW w:type="dxa" w:w="1871"/>
          </w:tcPr>
          <w:p/>
        </w:tc>
        <w:tc>
          <w:tcPr>
            <w:tcW w:type="dxa" w:w="1871"/>
          </w:tcPr>
          <w:p>
            <w:r>
              <w:rPr>
                <w:rFonts w:ascii="Consolas" w:hAnsi="Consolas"/>
                <w:sz w:val="18"/>
              </w:rPr>
              <w:t>NoiCuTru</w:t>
            </w:r>
          </w:p>
        </w:tc>
        <w:tc>
          <w:tcPr>
            <w:tcW w:type="dxa" w:w="1871"/>
          </w:tcPr>
          <w:p>
            <w:r>
              <w:rPr>
                <w:sz w:val="18"/>
              </w:rPr>
              <w:t>Nơi cư trú</w:t>
            </w:r>
          </w:p>
        </w:tc>
        <w:tc>
          <w:tcPr>
            <w:tcW w:type="dxa" w:w="1871"/>
          </w:tcPr>
          <w:p>
            <w:r>
              <w:rPr>
                <w:sz w:val="18"/>
              </w:rPr>
              <w:t>Danh định</w:t>
            </w:r>
          </w:p>
        </w:tc>
        <w:tc>
          <w:tcPr>
            <w:tcW w:type="dxa" w:w="1871"/>
          </w:tcPr>
          <w:p>
            <w:r>
              <w:rPr>
                <w:sz w:val="18"/>
              </w:rPr>
              <w:t>1=Thành thị · 2=Nông thôn</w:t>
            </w:r>
          </w:p>
        </w:tc>
      </w:tr>
      <w:tr>
        <w:tc>
          <w:tcPr>
            <w:tcW w:type="dxa" w:w="1871"/>
          </w:tcPr>
          <w:p/>
        </w:tc>
        <w:tc>
          <w:tcPr>
            <w:tcW w:type="dxa" w:w="1871"/>
          </w:tcPr>
          <w:p>
            <w:r>
              <w:rPr>
                <w:rFonts w:ascii="Consolas" w:hAnsi="Consolas"/>
                <w:sz w:val="18"/>
              </w:rPr>
              <w:t>KhoangCachNhaBV</w:t>
            </w:r>
          </w:p>
        </w:tc>
        <w:tc>
          <w:tcPr>
            <w:tcW w:type="dxa" w:w="1871"/>
          </w:tcPr>
          <w:p>
            <w:r>
              <w:rPr>
                <w:sz w:val="18"/>
              </w:rPr>
              <w:t>Khoảng cách nhà–viện</w:t>
            </w:r>
          </w:p>
        </w:tc>
        <w:tc>
          <w:tcPr>
            <w:tcW w:type="dxa" w:w="1871"/>
          </w:tcPr>
          <w:p>
            <w:r>
              <w:rPr>
                <w:sz w:val="18"/>
              </w:rPr>
              <w:t>Thứ hạng</w:t>
            </w:r>
          </w:p>
        </w:tc>
        <w:tc>
          <w:tcPr>
            <w:tcW w:type="dxa" w:w="1871"/>
          </w:tcPr>
          <w:p>
            <w:r>
              <w:rPr>
                <w:sz w:val="18"/>
              </w:rPr>
              <w:t>1=&lt;5 km · 2=5–10 km · 3=&gt;10 km</w:t>
            </w:r>
          </w:p>
        </w:tc>
      </w:tr>
      <w:tr>
        <w:tc>
          <w:tcPr>
            <w:tcW w:type="dxa" w:w="1871"/>
          </w:tcPr>
          <w:p/>
        </w:tc>
        <w:tc>
          <w:tcPr>
            <w:tcW w:type="dxa" w:w="1871"/>
          </w:tcPr>
          <w:p>
            <w:r>
              <w:rPr>
                <w:rFonts w:ascii="Consolas" w:hAnsi="Consolas"/>
                <w:sz w:val="18"/>
              </w:rPr>
              <w:t>ThuNhapHoGD</w:t>
            </w:r>
          </w:p>
        </w:tc>
        <w:tc>
          <w:tcPr>
            <w:tcW w:type="dxa" w:w="1871"/>
          </w:tcPr>
          <w:p>
            <w:r>
              <w:rPr>
                <w:sz w:val="18"/>
              </w:rPr>
              <w:t>Thu nhập hộ gia đình/tháng</w:t>
            </w:r>
          </w:p>
        </w:tc>
        <w:tc>
          <w:tcPr>
            <w:tcW w:type="dxa" w:w="1871"/>
          </w:tcPr>
          <w:p>
            <w:r>
              <w:rPr>
                <w:sz w:val="18"/>
              </w:rPr>
              <w:t>Thứ hạng</w:t>
            </w:r>
          </w:p>
        </w:tc>
        <w:tc>
          <w:tcPr>
            <w:tcW w:type="dxa" w:w="1871"/>
          </w:tcPr>
          <w:p>
            <w:r>
              <w:rPr>
                <w:sz w:val="18"/>
              </w:rPr>
              <w:t>1=&lt;5 triệu · 2=5–&lt;10 triệu · 3=10–&lt;20 triệu · 4=≥20 triệu</w:t>
            </w:r>
          </w:p>
        </w:tc>
      </w:tr>
      <w:tr>
        <w:tc>
          <w:tcPr>
            <w:tcW w:type="dxa" w:w="1871"/>
          </w:tcPr>
          <w:p>
            <w:r>
              <w:rPr>
                <w:sz w:val="18"/>
              </w:rPr>
              <w:t>Chi trả &amp; lượt khám</w:t>
            </w:r>
          </w:p>
        </w:tc>
        <w:tc>
          <w:tcPr>
            <w:tcW w:type="dxa" w:w="1871"/>
          </w:tcPr>
          <w:p>
            <w:r>
              <w:rPr>
                <w:rFonts w:ascii="Consolas" w:hAnsi="Consolas"/>
                <w:sz w:val="18"/>
              </w:rPr>
              <w:t>CoBHYT</w:t>
            </w:r>
          </w:p>
        </w:tc>
        <w:tc>
          <w:tcPr>
            <w:tcW w:type="dxa" w:w="1871"/>
          </w:tcPr>
          <w:p>
            <w:r>
              <w:rPr>
                <w:sz w:val="18"/>
              </w:rPr>
              <w:t>Có thẻ BHYT còn hiệu lực</w:t>
            </w:r>
          </w:p>
        </w:tc>
        <w:tc>
          <w:tcPr>
            <w:tcW w:type="dxa" w:w="1871"/>
          </w:tcPr>
          <w:p>
            <w:r>
              <w:rPr>
                <w:sz w:val="18"/>
              </w:rPr>
              <w:t>Nhị phân</w:t>
            </w:r>
          </w:p>
        </w:tc>
        <w:tc>
          <w:tcPr>
            <w:tcW w:type="dxa" w:w="1871"/>
          </w:tcPr>
          <w:p>
            <w:r>
              <w:rPr>
                <w:sz w:val="18"/>
              </w:rPr>
              <w:t>1=Có · 2=Không (thay cho biến "hình thức chi trả" đa mức của bản trước — phiếu thật chỉ hỏi nhị phân)</w:t>
            </w:r>
          </w:p>
        </w:tc>
      </w:tr>
      <w:tr>
        <w:tc>
          <w:tcPr>
            <w:tcW w:type="dxa" w:w="1871"/>
          </w:tcPr>
          <w:p/>
        </w:tc>
        <w:tc>
          <w:tcPr>
            <w:tcW w:type="dxa" w:w="1871"/>
          </w:tcPr>
          <w:p>
            <w:r>
              <w:rPr>
                <w:rFonts w:ascii="Consolas" w:hAnsi="Consolas"/>
                <w:sz w:val="18"/>
              </w:rPr>
              <w:t>LyDoKham</w:t>
            </w:r>
            <w:r>
              <w:rPr>
                <w:sz w:val="18"/>
              </w:rPr>
              <w:t xml:space="preserve"> (+ </w:t>
            </w:r>
            <w:r>
              <w:rPr>
                <w:rFonts w:ascii="Consolas" w:hAnsi="Consolas"/>
                <w:sz w:val="18"/>
              </w:rPr>
              <w:t>LyDoKhamkhac</w:t>
            </w:r>
            <w:r>
              <w:rPr>
                <w:sz w:val="18"/>
              </w:rPr>
              <w:t>)</w:t>
            </w:r>
          </w:p>
        </w:tc>
        <w:tc>
          <w:tcPr>
            <w:tcW w:type="dxa" w:w="1871"/>
          </w:tcPr>
          <w:p>
            <w:r>
              <w:rPr>
                <w:sz w:val="18"/>
              </w:rPr>
              <w:t>Lý do khám lần này</w:t>
            </w:r>
          </w:p>
        </w:tc>
        <w:tc>
          <w:tcPr>
            <w:tcW w:type="dxa" w:w="1871"/>
          </w:tcPr>
          <w:p>
            <w:r>
              <w:rPr>
                <w:sz w:val="18"/>
              </w:rPr>
              <w:t>Danh định</w:t>
            </w:r>
          </w:p>
        </w:tc>
        <w:tc>
          <w:tcPr>
            <w:tcW w:type="dxa" w:w="1871"/>
          </w:tcPr>
          <w:p>
            <w:r>
              <w:rPr>
                <w:sz w:val="18"/>
              </w:rPr>
              <w:t>1=Khám lần đầu · 2=Tái khám theo lịch hẹn · 3=Khám sức khỏe định kỳ · 4=Chủ động chọn khám với một bác sĩ/chuyên khoa cụ thể theo yêu cầu riêng · 5=Khác (mục 4 đã làm rõ so với "khám theo yêu cầu chuyên khoa" — Phụ lục C)</w:t>
            </w:r>
          </w:p>
        </w:tc>
      </w:tr>
      <w:tr>
        <w:tc>
          <w:tcPr>
            <w:tcW w:type="dxa" w:w="1871"/>
          </w:tcPr>
          <w:p/>
        </w:tc>
        <w:tc>
          <w:tcPr>
            <w:tcW w:type="dxa" w:w="1871"/>
          </w:tcPr>
          <w:p>
            <w:r>
              <w:rPr>
                <w:rFonts w:ascii="Consolas" w:hAnsi="Consolas"/>
                <w:sz w:val="18"/>
              </w:rPr>
              <w:t>SoLanKham12Thang</w:t>
            </w:r>
          </w:p>
        </w:tc>
        <w:tc>
          <w:tcPr>
            <w:tcW w:type="dxa" w:w="1871"/>
          </w:tcPr>
          <w:p>
            <w:r>
              <w:rPr>
                <w:sz w:val="18"/>
              </w:rPr>
              <w:t>Số lần khám tại khoa trong 12 tháng qua</w:t>
            </w:r>
          </w:p>
        </w:tc>
        <w:tc>
          <w:tcPr>
            <w:tcW w:type="dxa" w:w="1871"/>
          </w:tcPr>
          <w:p>
            <w:r>
              <w:rPr>
                <w:sz w:val="18"/>
              </w:rPr>
              <w:t>Thứ hạng</w:t>
            </w:r>
          </w:p>
        </w:tc>
        <w:tc>
          <w:tcPr>
            <w:tcW w:type="dxa" w:w="1871"/>
          </w:tcPr>
          <w:p>
            <w:r>
              <w:rPr>
                <w:sz w:val="18"/>
              </w:rPr>
              <w:t>1=0 lần · 2=1–2 lần · 3=≥3 lần (biến mô tả/thăm dò)</w:t>
            </w:r>
          </w:p>
        </w:tc>
      </w:tr>
      <w:tr>
        <w:tc>
          <w:tcPr>
            <w:tcW w:type="dxa" w:w="1871"/>
          </w:tcPr>
          <w:p>
            <w:r>
              <w:rPr>
                <w:sz w:val="18"/>
              </w:rPr>
              <w:t>Di chuyển &amp; kênh tiếp cận (mô tả/thăm dò)</w:t>
            </w:r>
          </w:p>
        </w:tc>
        <w:tc>
          <w:tcPr>
            <w:tcW w:type="dxa" w:w="1871"/>
          </w:tcPr>
          <w:p>
            <w:r>
              <w:rPr>
                <w:rFonts w:ascii="Consolas" w:hAnsi="Consolas"/>
                <w:sz w:val="18"/>
              </w:rPr>
              <w:t>PhuongTienDiChuyen</w:t>
            </w:r>
            <w:r>
              <w:rPr>
                <w:sz w:val="18"/>
              </w:rPr>
              <w:t xml:space="preserve"> (+ khác)</w:t>
            </w:r>
          </w:p>
        </w:tc>
        <w:tc>
          <w:tcPr>
            <w:tcW w:type="dxa" w:w="1871"/>
          </w:tcPr>
          <w:p>
            <w:r>
              <w:rPr>
                <w:sz w:val="18"/>
              </w:rPr>
              <w:t>Phương tiện di chuyển</w:t>
            </w:r>
          </w:p>
        </w:tc>
        <w:tc>
          <w:tcPr>
            <w:tcW w:type="dxa" w:w="1871"/>
          </w:tcPr>
          <w:p>
            <w:r>
              <w:rPr>
                <w:sz w:val="18"/>
              </w:rPr>
              <w:t>Danh định</w:t>
            </w:r>
          </w:p>
        </w:tc>
        <w:tc>
          <w:tcPr>
            <w:tcW w:type="dxa" w:w="1871"/>
          </w:tcPr>
          <w:p>
            <w:r>
              <w:rPr>
                <w:sz w:val="18"/>
              </w:rPr>
              <w:t>6 danh mục (xe máy · ô tô · xe buýt · taxi/công nghệ · xe khách/dịch vụ · khác)</w:t>
            </w:r>
          </w:p>
        </w:tc>
      </w:tr>
      <w:tr>
        <w:tc>
          <w:tcPr>
            <w:tcW w:type="dxa" w:w="1871"/>
          </w:tcPr>
          <w:p/>
        </w:tc>
        <w:tc>
          <w:tcPr>
            <w:tcW w:type="dxa" w:w="1871"/>
          </w:tcPr>
          <w:p>
            <w:r>
              <w:rPr>
                <w:rFonts w:ascii="Consolas" w:hAnsi="Consolas"/>
                <w:sz w:val="18"/>
              </w:rPr>
              <w:t>NguonThongTinbv</w:t>
            </w:r>
            <w:r>
              <w:rPr>
                <w:sz w:val="18"/>
              </w:rPr>
              <w:t xml:space="preserve"> (+ khác)</w:t>
            </w:r>
          </w:p>
        </w:tc>
        <w:tc>
          <w:tcPr>
            <w:tcW w:type="dxa" w:w="1871"/>
          </w:tcPr>
          <w:p>
            <w:r>
              <w:rPr>
                <w:sz w:val="18"/>
              </w:rPr>
              <w:t>Nguồn thông tin biết đến viện</w:t>
            </w:r>
          </w:p>
        </w:tc>
        <w:tc>
          <w:tcPr>
            <w:tcW w:type="dxa" w:w="1871"/>
          </w:tcPr>
          <w:p>
            <w:r>
              <w:rPr>
                <w:sz w:val="18"/>
              </w:rPr>
              <w:t>Danh định</w:t>
            </w:r>
          </w:p>
        </w:tc>
        <w:tc>
          <w:tcPr>
            <w:tcW w:type="dxa" w:w="1871"/>
          </w:tcPr>
          <w:p>
            <w:r>
              <w:rPr>
                <w:sz w:val="18"/>
              </w:rPr>
              <w:t>6 danh mục (người thân giới thiệu · tự tìm hiểu Internet · NVYT nơi khác giới thiệu · đã từng khám trước · truyền thông · khác)</w:t>
            </w:r>
          </w:p>
        </w:tc>
      </w:tr>
      <w:tr>
        <w:tc>
          <w:tcPr>
            <w:tcW w:type="dxa" w:w="1871"/>
          </w:tcPr>
          <w:p>
            <w:r>
              <w:rPr>
                <w:sz w:val="18"/>
              </w:rPr>
              <w:t>Vận hành phiếu</w:t>
            </w:r>
          </w:p>
        </w:tc>
        <w:tc>
          <w:tcPr>
            <w:tcW w:type="dxa" w:w="1871"/>
          </w:tcPr>
          <w:p>
            <w:r>
              <w:rPr>
                <w:rFonts w:ascii="Consolas" w:hAnsi="Consolas"/>
                <w:sz w:val="18"/>
              </w:rPr>
              <w:t>mode_tra_loi</w:t>
            </w:r>
          </w:p>
        </w:tc>
        <w:tc>
          <w:tcPr>
            <w:tcW w:type="dxa" w:w="1871"/>
          </w:tcPr>
          <w:p>
            <w:r>
              <w:rPr>
                <w:sz w:val="18"/>
              </w:rPr>
              <w:t>Cách hoàn thành phiếu</w:t>
            </w:r>
          </w:p>
        </w:tc>
        <w:tc>
          <w:tcPr>
            <w:tcW w:type="dxa" w:w="1871"/>
          </w:tcPr>
          <w:p>
            <w:r>
              <w:rPr>
                <w:sz w:val="18"/>
              </w:rPr>
              <w:t>Danh định</w:t>
            </w:r>
          </w:p>
        </w:tc>
        <w:tc>
          <w:tcPr>
            <w:tcW w:type="dxa" w:w="1871"/>
          </w:tcPr>
          <w:p>
            <w:r>
              <w:rPr>
                <w:sz w:val="18"/>
              </w:rPr>
              <w:t xml:space="preserve">1=Tự điền · 2=Người nhà/người chăm sóc ghi hộ đúng nguyên văn lời người bệnh · 3=Điều tra viên ghi hộ đúng nguyên văn lời người bệnh (ba mức tách riêng, đối chiếu phản biện độc lập 07/07/2026 — khác hàm ý sai lệch: người nhà có thể vô tình trả lời thay theo ý mình, điều tra viên được tập huấn trung lập). </w:t>
            </w:r>
            <w:r>
              <w:rPr>
                <w:b/>
                <w:sz w:val="18"/>
              </w:rPr>
              <w:t>Nghiêm cấm proxy response</w:t>
            </w:r>
            <w:r>
              <w:rPr>
                <w:sz w:val="18"/>
              </w:rPr>
              <w:t xml:space="preserve"> (người khác trả lời THAY người bệnh) ở cả ba mức; dùng cho phân tích nhạy cảm loại trừ phiếu có hỗ trợ (mục 4.10)</w:t>
            </w:r>
          </w:p>
        </w:tc>
      </w:tr>
      <w:tr>
        <w:tc>
          <w:tcPr>
            <w:tcW w:type="dxa" w:w="1871"/>
          </w:tcPr>
          <w:p/>
        </w:tc>
        <w:tc>
          <w:tcPr>
            <w:tcW w:type="dxa" w:w="1871"/>
          </w:tcPr>
          <w:p>
            <w:r>
              <w:rPr>
                <w:rFonts w:ascii="Consolas" w:hAnsi="Consolas"/>
                <w:sz w:val="18"/>
              </w:rPr>
              <w:t>ID</w:t>
            </w:r>
          </w:p>
        </w:tc>
        <w:tc>
          <w:tcPr>
            <w:tcW w:type="dxa" w:w="1871"/>
          </w:tcPr>
          <w:p>
            <w:r>
              <w:rPr>
                <w:sz w:val="18"/>
              </w:rPr>
              <w:t>Mã số phiếu</w:t>
            </w:r>
          </w:p>
        </w:tc>
        <w:tc>
          <w:tcPr>
            <w:tcW w:type="dxa" w:w="1871"/>
          </w:tcPr>
          <w:p>
            <w:r>
              <w:rPr>
                <w:sz w:val="18"/>
              </w:rPr>
              <w:t>Danh định</w:t>
            </w:r>
          </w:p>
        </w:tc>
        <w:tc>
          <w:tcPr>
            <w:tcW w:type="dxa" w:w="1871"/>
          </w:tcPr>
          <w:p>
            <w:r>
              <w:rPr>
                <w:sz w:val="18"/>
              </w:rPr>
              <w:t>Mã nghiên cứu, không phải số thứ tự khám công khai</w:t>
            </w:r>
          </w:p>
        </w:tc>
      </w:tr>
      <w:tr>
        <w:tc>
          <w:tcPr>
            <w:tcW w:type="dxa" w:w="1871"/>
          </w:tcPr>
          <w:p/>
        </w:tc>
        <w:tc>
          <w:tcPr>
            <w:tcW w:type="dxa" w:w="1871"/>
          </w:tcPr>
          <w:p>
            <w:r>
              <w:rPr>
                <w:rFonts w:ascii="Consolas" w:hAnsi="Consolas"/>
                <w:sz w:val="18"/>
              </w:rPr>
              <w:t>MaSoBenhNhan</w:t>
            </w:r>
          </w:p>
        </w:tc>
        <w:tc>
          <w:tcPr>
            <w:tcW w:type="dxa" w:w="1871"/>
          </w:tcPr>
          <w:p>
            <w:r>
              <w:rPr>
                <w:sz w:val="18"/>
              </w:rPr>
              <w:t>Mã hồ sơ bệnh án</w:t>
            </w:r>
          </w:p>
        </w:tc>
        <w:tc>
          <w:tcPr>
            <w:tcW w:type="dxa" w:w="1871"/>
          </w:tcPr>
          <w:p>
            <w:r>
              <w:rPr>
                <w:sz w:val="18"/>
              </w:rPr>
              <w:t>—</w:t>
            </w:r>
          </w:p>
        </w:tc>
        <w:tc>
          <w:tcPr>
            <w:tcW w:type="dxa" w:w="1871"/>
          </w:tcPr>
          <w:p>
            <w:r>
              <w:rPr>
                <w:b/>
                <w:sz w:val="18"/>
              </w:rPr>
              <w:t>KHÔNG thuộc bộ dữ liệu/hệ thống của nhóm nghiên cứu</w:t>
            </w:r>
            <w:r>
              <w:rPr>
                <w:sz w:val="18"/>
              </w:rPr>
              <w:t xml:space="preserve"> — đối soát/chống trùng đối tượng do Phòng CNTT/QLCL bệnh viện thực hiện riêng, ngoài quy trình nhập liệu của nhóm nghiên cứu (mục 6.5)</w:t>
            </w:r>
          </w:p>
        </w:tc>
      </w:tr>
      <w:tr>
        <w:tc>
          <w:tcPr>
            <w:tcW w:type="dxa" w:w="1871"/>
          </w:tcPr>
          <w:p>
            <w:r>
              <w:rPr>
                <w:sz w:val="18"/>
              </w:rPr>
              <w:t xml:space="preserve">Vận hành khám — </w:t>
            </w:r>
            <w:r>
              <w:rPr>
                <w:b/>
                <w:sz w:val="18"/>
              </w:rPr>
              <w:t>liên kết ngoài phiếu qua `ID`</w:t>
            </w:r>
            <w:r>
              <w:rPr>
                <w:sz w:val="18"/>
              </w:rPr>
              <w:t xml:space="preserve"> (nguồn HIS/đăng ký khám, không phải câu hỏi trên phiếu)</w:t>
            </w:r>
          </w:p>
        </w:tc>
        <w:tc>
          <w:tcPr>
            <w:tcW w:type="dxa" w:w="1871"/>
          </w:tcPr>
          <w:p>
            <w:r>
              <w:rPr>
                <w:rFonts w:ascii="Consolas" w:hAnsi="Consolas"/>
                <w:sz w:val="18"/>
              </w:rPr>
              <w:t>thoigian_cho</w:t>
            </w:r>
          </w:p>
        </w:tc>
        <w:tc>
          <w:tcPr>
            <w:tcW w:type="dxa" w:w="1871"/>
          </w:tcPr>
          <w:p>
            <w:r>
              <w:rPr>
                <w:sz w:val="18"/>
              </w:rPr>
              <w:t>Thời gian chờ khám</w:t>
            </w:r>
          </w:p>
        </w:tc>
        <w:tc>
          <w:tcPr>
            <w:tcW w:type="dxa" w:w="1871"/>
          </w:tcPr>
          <w:p>
            <w:r>
              <w:rPr>
                <w:sz w:val="18"/>
              </w:rPr>
              <w:t>Liên tục</w:t>
            </w:r>
          </w:p>
        </w:tc>
        <w:tc>
          <w:tcPr>
            <w:tcW w:type="dxa" w:w="1871"/>
          </w:tcPr>
          <w:p>
            <w:r>
              <w:rPr>
                <w:sz w:val="18"/>
              </w:rPr>
              <w:t xml:space="preserve">phút; nguồn đo ưu tiên mốc HIS/eHospital (định nghĩa ở mục 4.6.3) — </w:t>
            </w:r>
            <w:r>
              <w:rPr>
                <w:b/>
                <w:sz w:val="18"/>
              </w:rPr>
              <w:t>exposure chính</w:t>
            </w:r>
          </w:p>
        </w:tc>
      </w:tr>
      <w:tr>
        <w:tc>
          <w:tcPr>
            <w:tcW w:type="dxa" w:w="1871"/>
          </w:tcPr>
          <w:p/>
        </w:tc>
        <w:tc>
          <w:tcPr>
            <w:tcW w:type="dxa" w:w="1871"/>
          </w:tcPr>
          <w:p>
            <w:r>
              <w:rPr>
                <w:rFonts w:ascii="Consolas" w:hAnsi="Consolas"/>
                <w:sz w:val="18"/>
              </w:rPr>
              <w:t>khunggio_kham</w:t>
            </w:r>
          </w:p>
        </w:tc>
        <w:tc>
          <w:tcPr>
            <w:tcW w:type="dxa" w:w="1871"/>
          </w:tcPr>
          <w:p>
            <w:r>
              <w:rPr>
                <w:sz w:val="18"/>
              </w:rPr>
              <w:t>Khung giờ khám</w:t>
            </w:r>
          </w:p>
        </w:tc>
        <w:tc>
          <w:tcPr>
            <w:tcW w:type="dxa" w:w="1871"/>
          </w:tcPr>
          <w:p>
            <w:r>
              <w:rPr>
                <w:sz w:val="18"/>
              </w:rPr>
              <w:t>Danh định/thứ hạng</w:t>
            </w:r>
          </w:p>
        </w:tc>
        <w:tc>
          <w:tcPr>
            <w:tcW w:type="dxa" w:w="1871"/>
          </w:tcPr>
          <w:p>
            <w:r>
              <w:rPr>
                <w:sz w:val="18"/>
              </w:rPr>
              <w:t>1=Sáng sớm · 2=Cuối sáng · 3=Đầu chiều · 4=Cuối chiều (</w:t>
            </w:r>
            <w:r>
              <w:rPr>
                <w:b/>
                <w:sz w:val="18"/>
              </w:rPr>
              <w:t>bắt buộc</w:t>
            </w:r>
            <w:r>
              <w:rPr>
                <w:sz w:val="18"/>
              </w:rPr>
              <w:t xml:space="preserve"> — lý do dưới bảng)</w:t>
            </w:r>
          </w:p>
        </w:tc>
      </w:tr>
      <w:tr>
        <w:tc>
          <w:tcPr>
            <w:tcW w:type="dxa" w:w="1871"/>
          </w:tcPr>
          <w:p/>
        </w:tc>
        <w:tc>
          <w:tcPr>
            <w:tcW w:type="dxa" w:w="1871"/>
          </w:tcPr>
          <w:p>
            <w:r>
              <w:rPr>
                <w:rFonts w:ascii="Consolas" w:hAnsi="Consolas"/>
                <w:sz w:val="18"/>
              </w:rPr>
              <w:t>ngay_trong_tuan</w:t>
            </w:r>
          </w:p>
        </w:tc>
        <w:tc>
          <w:tcPr>
            <w:tcW w:type="dxa" w:w="1871"/>
          </w:tcPr>
          <w:p>
            <w:r>
              <w:rPr>
                <w:sz w:val="18"/>
              </w:rPr>
              <w:t>Ngày trong tuần khám</w:t>
            </w:r>
          </w:p>
        </w:tc>
        <w:tc>
          <w:tcPr>
            <w:tcW w:type="dxa" w:w="1871"/>
          </w:tcPr>
          <w:p>
            <w:r>
              <w:rPr>
                <w:sz w:val="18"/>
              </w:rPr>
              <w:t>Danh định/thứ hạng</w:t>
            </w:r>
          </w:p>
        </w:tc>
        <w:tc>
          <w:tcPr>
            <w:tcW w:type="dxa" w:w="1871"/>
          </w:tcPr>
          <w:p>
            <w:r>
              <w:rPr>
                <w:sz w:val="18"/>
              </w:rPr>
              <w:t>1=Thứ Hai … 7=Chủ Nhật (</w:t>
            </w:r>
            <w:r>
              <w:rPr>
                <w:b/>
                <w:sz w:val="18"/>
              </w:rPr>
              <w:t>bắt buộc</w:t>
            </w:r>
            <w:r>
              <w:rPr>
                <w:sz w:val="18"/>
              </w:rPr>
              <w:t>)</w:t>
            </w:r>
          </w:p>
        </w:tc>
      </w:tr>
      <w:tr>
        <w:tc>
          <w:tcPr>
            <w:tcW w:type="dxa" w:w="1871"/>
          </w:tcPr>
          <w:p/>
        </w:tc>
        <w:tc>
          <w:tcPr>
            <w:tcW w:type="dxa" w:w="1871"/>
          </w:tcPr>
          <w:p>
            <w:r>
              <w:rPr>
                <w:rFonts w:ascii="Consolas" w:hAnsi="Consolas"/>
                <w:sz w:val="18"/>
              </w:rPr>
              <w:t>chuyenkhoa</w:t>
            </w:r>
          </w:p>
        </w:tc>
        <w:tc>
          <w:tcPr>
            <w:tcW w:type="dxa" w:w="1871"/>
          </w:tcPr>
          <w:p>
            <w:r>
              <w:rPr>
                <w:sz w:val="18"/>
              </w:rPr>
              <w:t>Chuyên khoa/phòng khám nội bộ C1a</w:t>
            </w:r>
          </w:p>
        </w:tc>
        <w:tc>
          <w:tcPr>
            <w:tcW w:type="dxa" w:w="1871"/>
          </w:tcPr>
          <w:p>
            <w:r>
              <w:rPr>
                <w:sz w:val="18"/>
              </w:rPr>
              <w:t>Danh định</w:t>
            </w:r>
          </w:p>
        </w:tc>
        <w:tc>
          <w:tcPr>
            <w:tcW w:type="dxa" w:w="1871"/>
          </w:tcPr>
          <w:p>
            <w:r>
              <w:rPr>
                <w:sz w:val="18"/>
              </w:rPr>
              <w:t xml:space="preserve">danh mục nội bộ — </w:t>
            </w:r>
            <w:r>
              <w:rPr>
                <w:b/>
                <w:sz w:val="18"/>
              </w:rPr>
              <w:t>[CẦN CHỦ NHIỆM XÁC NHẬN]</w:t>
            </w:r>
            <w:r>
              <w:rPr>
                <w:sz w:val="18"/>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71"/>
          </w:tcPr>
          <w:p/>
        </w:tc>
        <w:tc>
          <w:tcPr>
            <w:tcW w:type="dxa" w:w="1871"/>
          </w:tcPr>
          <w:p>
            <w:r>
              <w:rPr>
                <w:rFonts w:ascii="Consolas" w:hAnsi="Consolas"/>
                <w:sz w:val="18"/>
              </w:rPr>
              <w:t>co_cls</w:t>
            </w:r>
          </w:p>
        </w:tc>
        <w:tc>
          <w:tcPr>
            <w:tcW w:type="dxa" w:w="1871"/>
          </w:tcPr>
          <w:p>
            <w:r>
              <w:rPr>
                <w:sz w:val="18"/>
              </w:rPr>
              <w:t>Có làm cận lâm sàng</w:t>
            </w:r>
          </w:p>
        </w:tc>
        <w:tc>
          <w:tcPr>
            <w:tcW w:type="dxa" w:w="1871"/>
          </w:tcPr>
          <w:p>
            <w:r>
              <w:rPr>
                <w:sz w:val="18"/>
              </w:rPr>
              <w:t>Danh định</w:t>
            </w:r>
          </w:p>
        </w:tc>
        <w:tc>
          <w:tcPr>
            <w:tcW w:type="dxa" w:w="1871"/>
          </w:tcPr>
          <w:p>
            <w:r>
              <w:rPr>
                <w:sz w:val="18"/>
              </w:rPr>
              <w:t>1=Có · 0=Không (biến mô tả/thăm dò, không hiệu chỉnh trong mô hình chính)</w:t>
            </w:r>
          </w:p>
        </w:tc>
      </w:tr>
      <w:tr>
        <w:tc>
          <w:tcPr>
            <w:tcW w:type="dxa" w:w="1871"/>
          </w:tcPr>
          <w:p/>
        </w:tc>
        <w:tc>
          <w:tcPr>
            <w:tcW w:type="dxa" w:w="1871"/>
          </w:tcPr>
          <w:p>
            <w:r>
              <w:rPr>
                <w:rFonts w:ascii="Consolas" w:hAnsi="Consolas"/>
                <w:sz w:val="18"/>
              </w:rPr>
              <w:t>so_quay_buoc</w:t>
            </w:r>
          </w:p>
        </w:tc>
        <w:tc>
          <w:tcPr>
            <w:tcW w:type="dxa" w:w="1871"/>
          </w:tcPr>
          <w:p>
            <w:r>
              <w:rPr>
                <w:sz w:val="18"/>
              </w:rPr>
              <w:t>Số bước/quầy phải qua</w:t>
            </w:r>
          </w:p>
        </w:tc>
        <w:tc>
          <w:tcPr>
            <w:tcW w:type="dxa" w:w="1871"/>
          </w:tcPr>
          <w:p>
            <w:r>
              <w:rPr>
                <w:sz w:val="18"/>
              </w:rPr>
              <w:t>Rời rạc</w:t>
            </w:r>
          </w:p>
        </w:tc>
        <w:tc>
          <w:tcPr>
            <w:tcW w:type="dxa" w:w="1871"/>
          </w:tcPr>
          <w:p>
            <w:r>
              <w:rPr>
                <w:sz w:val="18"/>
              </w:rPr>
              <w:t>số quầy (biến thăm dò/tùy chọn)</w:t>
            </w:r>
          </w:p>
        </w:tc>
      </w:tr>
    </w:tbl>
    <w:p/>
    <w:p>
      <w:r>
        <w:rPr>
          <w:b/>
        </w:rPr>
        <w:t>Hai lớp dữ liệu và cách ghép nối.</w:t>
      </w:r>
      <w:r>
        <w:t xml:space="preserve"> Các biến ở nhóm "Vận hành khám" </w:t>
      </w:r>
      <w:r>
        <w:rPr>
          <w:b/>
        </w:rPr>
        <w:t>không nằm trên phiếu khảo sát</w:t>
      </w:r>
      <w:r>
        <w:t xml:space="preserve"> — đây là dữ liệu vận hành lấy từ HIS/đăng ký khám, ghép vào bộ dữ liệu phiếu (63 biến ở trên) bằng </w:t>
      </w:r>
      <w:r>
        <w:rPr>
          <w:rFonts w:ascii="Consolas" w:hAnsi="Consolas"/>
        </w:rPr>
        <w:t>ID</w:t>
      </w:r>
      <w:r>
        <w:t xml:space="preserve"> (mã số phiếu) theo đúng cơ chế khử định danh có kiểm soát mô tả ở mục 4.6.3. Bộ dữ liệu phân tích cuối cùng của Mục tiêu 2 là kết quả </w:t>
      </w:r>
      <w:r>
        <w:rPr>
          <w:b/>
        </w:rPr>
        <w:t>JOIN</w:t>
      </w:r>
      <w:r>
        <w:t xml:space="preserve"> hai lớp này theo </w:t>
      </w:r>
      <w:r>
        <w:rPr>
          <w:rFonts w:ascii="Consolas" w:hAnsi="Consolas"/>
        </w:rPr>
        <w:t>ID</w:t>
      </w:r>
      <w:r>
        <w:t xml:space="preserve">; </w:t>
      </w:r>
      <w:r>
        <w:rPr>
          <w:rFonts w:ascii="Consolas" w:hAnsi="Consolas"/>
        </w:rPr>
        <w:t>MaSoBenhNhan</w:t>
      </w:r>
      <w:r>
        <w:t xml:space="preserve"> không xuất hiện ở bất kỳ bước nào của việc ghép nối này (chỉ tồn tại trong hệ thống riêng của Phòng CNTT/QLCL bệnh viện, mục 6.5).</w:t>
      </w:r>
    </w:p>
    <w:p>
      <w:r>
        <w:t xml:space="preserve">Các biến hành chính khác về vận hành phiếu (ngày khảo sát, mã điều tra viên, kênh thu thập) được quản lý riêng, </w:t>
      </w:r>
      <w:r>
        <w:rPr>
          <w:b/>
        </w:rPr>
        <w:t>không</w:t>
      </w:r>
      <w:r>
        <w:t xml:space="preserve"> phải thông tin định danh cá nhân.</w:t>
      </w:r>
    </w:p>
    <w:p>
      <w:r>
        <w:rPr>
          <w:b/>
        </w:rPr>
        <w:t>Lý do khung giờ khám và ngày trong tuần là bắt buộc:</w:t>
      </w:r>
      <w: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w:t>
      </w:r>
      <w:r>
        <w:rPr>
          <w:rFonts w:ascii="Consolas" w:hAnsi="Consolas"/>
        </w:rPr>
        <w:t>thoigian_cho</w:t>
      </w:r>
      <w:r>
        <w:t xml:space="preserve"> là yếu tố dịch vụ quan tâm chính (exposure). Biến </w:t>
      </w:r>
      <w:r>
        <w:rPr>
          <w:rFonts w:ascii="Consolas" w:hAnsi="Consolas"/>
        </w:rPr>
        <w:t>co_cls</w:t>
      </w:r>
      <w:r>
        <w:t xml:space="preserve"> (có làm cận lâm sàng) và </w:t>
      </w:r>
      <w:r>
        <w:rPr>
          <w:rFonts w:ascii="Consolas" w:hAnsi="Consolas"/>
        </w:rPr>
        <w:t>so_quay_buoc</w:t>
      </w:r>
      <w:r>
        <w:t xml:space="preserve"> (số bước/quầy nếu phát sinh sau khi vào khám) thường xảy ra </w:t>
      </w:r>
      <w:r>
        <w:rPr>
          <w:b/>
        </w:rPr>
        <w:t>sau</w:t>
      </w:r>
      <w:r>
        <w:t xml:space="preserve"> khi gặp bác sĩ, nên </w:t>
      </w:r>
      <w:r>
        <w:rPr>
          <w:b/>
        </w:rPr>
        <w:t>không</w:t>
      </w:r>
      <w:r>
        <w:t xml:space="preserve"> được coi là biến trung gian của "thời gian chờ trước khám" và </w:t>
      </w:r>
      <w:r>
        <w:rPr>
          <w:b/>
        </w:rPr>
        <w:t>không</w:t>
      </w:r>
      <w: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r>
        <w:rPr>
          <w:b/>
        </w:rPr>
        <w:t>Đã bỏ khỏi bộ biến (quyết định 2026-07-06):</w:t>
      </w:r>
      <w:r>
        <w:t xml:space="preserve"> biến "đối tượng quân nhân/thân nhân/dân sự" (</w:t>
      </w:r>
      <w:r>
        <w:rPr>
          <w:rFonts w:ascii="Consolas" w:hAnsi="Consolas"/>
        </w:rPr>
        <w:t>doituong_qd</w:t>
      </w:r>
      <w:r>
        <w:t>) không còn trong bộ biến số —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pStyle w:val="Heading3"/>
      </w:pPr>
      <w:r>
        <w:t>4.6.3. Định nghĩa và nguồn đo biến "thời gian chờ khám"</w:t>
      </w:r>
    </w:p>
    <w:p>
      <w:r>
        <w:t>Thời gian chờ khám là biến phân tích trọng tâm của Mục tiêu 2, nên được định nghĩa chặt và tách nguồn đo rõ ràng.</w:t>
      </w:r>
    </w:p>
    <w:p>
      <w:r>
        <w:rPr>
          <w:b/>
        </w:rPr>
        <w:t>Định nghĩa chính:</w:t>
      </w:r>
      <w:r>
        <w:t xml:space="preserve"> "thời gian chờ khám" = khoảng thời gian từ khi người bệnh </w:t>
      </w:r>
      <w:r>
        <w:rPr>
          <w:b/>
        </w:rPr>
        <w:t>hoàn tất đăng ký/lấy số</w:t>
      </w:r>
      <w:r>
        <w:t xml:space="preserve"> tại Khoa C1a đến khi </w:t>
      </w:r>
      <w:r>
        <w:rPr>
          <w:b/>
        </w:rPr>
        <w:t>được gọi vào buồng khám</w:t>
      </w:r>
      <w:r>
        <w:t xml:space="preserve"> gặp bác sĩ. Định nghĩa này </w:t>
      </w:r>
      <w:r>
        <w:rPr>
          <w:b/>
        </w:rPr>
        <w:t>không bao gồm</w:t>
      </w:r>
      <w:r>
        <w:t xml:space="preserve"> thời gian chờ làm cận lâm sàng, thời gian chờ thanh toán và thời gian chờ nhận thuốc.</w:t>
      </w:r>
    </w:p>
    <w:p>
      <w:r>
        <w:rPr>
          <w:b/>
        </w:rPr>
        <w:t>Nguồn số liệu ưu tiên:</w:t>
      </w:r>
      <w:r>
        <w:t xml:space="preserve"> hai mốc thời gian trích xuất từ hệ thống thông tin bệnh viện </w:t>
      </w:r>
      <w:r>
        <w:rPr>
          <w:b/>
        </w:rPr>
        <w:t>HIS/eHospital</w:t>
      </w:r>
      <w:r>
        <w:t xml:space="preserve"> — mốc đầu là giờ lấy số, mốc cuối là giờ được gọi vào buồng khám. Việc trích xuất này cần được phê duyệt trích xuất dữ liệu vận hành và tuân thủ quy trình </w:t>
      </w:r>
      <w:r>
        <w:rPr>
          <w:b/>
        </w:rPr>
        <w:t>khử định danh có kiểm soát</w:t>
      </w:r>
      <w:r>
        <w:t xml:space="preserve"> (không còn là "ẩn danh hoàn toàn" ở giai đoạn ghép nối — đây là dữ liệu giả danh có kiểm soát, được khử định danh ngay sau khi ghép), với cơ chế cụ thể như sau:</w:t>
      </w:r>
    </w:p>
    <w:p>
      <w:pPr>
        <w:pStyle w:val="ListNumber"/>
      </w:pPr>
      <w:r>
        <w:rPr>
          <w:b/>
        </w:rPr>
        <w:t>Điều tra viên gán một mã nghiên cứu ngẫu nhiên</w:t>
      </w:r>
      <w:r>
        <w:t xml:space="preserve"> cho mỗi phiếu (</w:t>
      </w:r>
      <w:r>
        <w:rPr>
          <w:b/>
        </w:rPr>
        <w:t>không</w:t>
      </w:r>
      <w:r>
        <w:t xml:space="preserve"> dùng số thứ tự lấy số công khai làm mã).</w:t>
      </w:r>
    </w:p>
    <w:p>
      <w:pPr>
        <w:pStyle w:val="ListNumber"/>
      </w:pPr>
      <w:r>
        <w:rPr>
          <w:b/>
        </w:rPr>
        <w:t>Bảng ghép tạm thời</w:t>
      </w:r>
      <w:r>
        <w:t xml:space="preserve"> giữa mã nghiên cứu và (số thứ tự khám, ngày khảo sát) </w:t>
      </w:r>
      <w:r>
        <w:rPr>
          <w:b/>
        </w:rPr>
        <w:t>chỉ do Phòng CNTT/QLCL bệnh viện giữ</w:t>
      </w:r>
      <w:r>
        <w:t xml:space="preserve"> — nhóm nghiên cứu không giữ và không tiếp cận bảng ghép này.</w:t>
      </w:r>
    </w:p>
    <w:p>
      <w:pPr>
        <w:pStyle w:val="ListNumber"/>
      </w:pPr>
      <w:r>
        <w:rPr>
          <w:b/>
        </w:rPr>
        <w:t>Nhân sự được ủy quyền</w:t>
      </w:r>
      <w:r>
        <w:t xml:space="preserve"> của Phòng CNTT/QLCL bệnh viện (không phải nhóm nghiên cứu) dùng bảng ghép để trích xuất </w:t>
      </w:r>
      <w:r>
        <w:rPr>
          <w:b/>
        </w:rPr>
        <w:t>duy nhất biến "thời gian chờ, phút"</w:t>
      </w:r>
      <w:r>
        <w:t xml:space="preserve"> gắn với mã nghiên cứu, từ hai mốc thời gian tương ứng trên HIS (giờ lấy số, giờ vào buồng khám).</w:t>
      </w:r>
    </w:p>
    <w:p>
      <w:pPr>
        <w:pStyle w:val="ListNumber"/>
      </w:pPr>
      <w:r>
        <w:rPr>
          <w:b/>
        </w:rPr>
        <w:t>Nhóm nghiên cứu chỉ nhận</w:t>
      </w:r>
      <w:r>
        <w:t xml:space="preserve">: mã nghiên cứu + thời gian chờ (phút) — dữ liệu đã khử định danh; nhóm nghiên cứu </w:t>
      </w:r>
      <w:r>
        <w:rPr>
          <w:b/>
        </w:rPr>
        <w:t>không</w:t>
      </w:r>
      <w:r>
        <w:t xml:space="preserve"> nhận và </w:t>
      </w:r>
      <w:r>
        <w:rPr>
          <w:b/>
        </w:rPr>
        <w:t>không</w:t>
      </w:r>
      <w:r>
        <w:t xml:space="preserve"> tiếp cận dữ liệu HIS thô, không nhận thông tin bệnh án/chẩn đoán/kết quả khám.</w:t>
      </w:r>
    </w:p>
    <w:p>
      <w:pPr>
        <w:pStyle w:val="ListNumber"/>
      </w:pPr>
      <w:r>
        <w:rPr>
          <w:b/>
        </w:rPr>
        <w:t>Bảng ghép bị xóa trong vòng 30 ngày</w:t>
      </w:r>
      <w:r>
        <w:t xml:space="preserve"> sau khi hoàn tất đối chiếu/làm sạch dữ liệu, có </w:t>
      </w:r>
      <w:r>
        <w:rPr>
          <w:b/>
        </w:rPr>
        <w:t>nhật ký hủy</w:t>
      </w:r>
      <w:r>
        <w:t xml:space="preserve"> (ngày + người thực hiện).</w:t>
      </w:r>
    </w:p>
    <w:p>
      <w:pPr>
        <w:pStyle w:val="ListNumber"/>
      </w:pPr>
      <w:r>
        <w:rPr>
          <w:b/>
        </w:rPr>
        <w:t>Không sao lưu bảng ghép</w:t>
      </w:r>
      <w:r>
        <w:t xml:space="preserve"> vào máy cá nhân/nhóm nghiên cứu.</w:t>
      </w:r>
    </w:p>
    <w:p>
      <w: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 một quy trình tách bạch vai trò được mô tả trong DMP (mục 6.5) và trong hồ sơ đạo đức (mục 4.11). Cách diễn đạt "ẩn danh hoàn toàn"/"ẩn danh tuyệt đối" chỉ áp dụng cho </w:t>
      </w:r>
      <w:r>
        <w:rPr>
          <w:b/>
        </w:rPr>
        <w:t>nội dung phiếu khảo sát</w:t>
      </w:r>
      <w:r>
        <w:t xml:space="preserve"> (không có ô định danh/PII) và </w:t>
      </w:r>
      <w:r>
        <w:rPr>
          <w:b/>
        </w:rPr>
        <w:t>không</w:t>
      </w:r>
      <w:r>
        <w:t xml:space="preserve"> áp dụng cho cơ chế ghép thời gian chờ nêu trên — cơ chế này được gọi đúng là "khử định danh có kiểm soát".</w:t>
      </w:r>
    </w:p>
    <w:p>
      <w:r>
        <w:rPr>
          <w:b/>
        </w:rPr>
        <w:t>Nguồn dự phòng:</w:t>
      </w:r>
      <w:r>
        <w:t xml:space="preserve"> nếu không xin được phối hợp trích xuất/không khả thi lấy dữ liệu HIS, dùng thời gian </w:t>
      </w:r>
      <w:r>
        <w:rPr>
          <w:b/>
        </w:rPr>
        <w:t>tự báo cáo</w:t>
      </w:r>
      <w:r>
        <w:t xml:space="preserve"> của người bệnh; khi đó biến được ghi rõ là </w:t>
      </w:r>
      <w:r>
        <w:rPr>
          <w:b/>
        </w:rPr>
        <w:t>"thời gian chờ theo nhận thức của người bệnh"</w:t>
      </w:r>
      <w:r>
        <w:t xml:space="preserve">, </w:t>
      </w:r>
      <w:r>
        <w:rPr>
          <w:b/>
        </w:rPr>
        <w:t>không</w:t>
      </w:r>
      <w:r>
        <w:t xml:space="preserve"> phải thời gian vận hành khách quan. Cần lưu ý hướng sai lệch của tự báo cáo: người bệnh có xu hướng </w:t>
      </w:r>
      <w:r>
        <w:rPr>
          <w:b/>
        </w:rPr>
        <w:t>ước lượng thời gian chờ cao hơn thời gian thực tế</w:t>
      </w:r>
      <w:r>
        <w:t xml:space="preserve"> (recall bias theo hướng phóng đại); đây là hạn chế cần lưu ý thận trọng khi diễn giải kết quả. Hai nguồn (mốc HIS khách quan và tự báo cáo theo nhận thức) được phân tích </w:t>
      </w:r>
      <w:r>
        <w:rPr>
          <w:b/>
        </w:rPr>
        <w:t>tách bạch</w:t>
      </w:r>
      <w:r>
        <w:t>, không trộn lẫn trong cùng một biến.</w:t>
      </w:r>
    </w:p>
    <w:p>
      <w:r>
        <w:rPr>
          <w:b/>
        </w:rPr>
        <w:t>Thiên lệch phần-toàn thể (part-whole bias) — đã giải quyết bằng thiết kế, không còn cần phân tích nhạy cảm có điều kiện.</w:t>
      </w:r>
      <w:r>
        <w:t xml:space="preserve"> Bộ câu hỏi thật xác nhận lĩnh vực A (khả năng tiếp cận) có 4 mục hỏi </w:t>
      </w:r>
      <w:r>
        <w:rPr>
          <w:b/>
        </w:rPr>
        <w:t>trực tiếp</w:t>
      </w:r>
      <w: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b/>
        </w:rPr>
        <w:t>định nghĩa kết cục</w:t>
      </w:r>
      <w:r>
        <w:t xml:space="preserve"> (mục 4.5.2): kết cục chính là G1 — mục hỏi hài lòng chung </w:t>
      </w:r>
      <w:r>
        <w:rPr>
          <w:b/>
        </w:rPr>
        <w:t>độc lập</w:t>
      </w:r>
      <w:r>
        <w:t>, không tính từ trung bình các lĩnh vực — nên không còn thời gian chờ "lẫn" trong kết cục. Điểm trung bình A1–F1 (</w:t>
      </w:r>
      <w:r>
        <w:rPr>
          <w:rFonts w:ascii="Consolas" w:hAnsi="Consolas"/>
        </w:rPr>
        <w:t>SHLNBChung_TinhToan</w:t>
      </w:r>
      <w:r>
        <w:t>) chỉ dùng đối chiếu hội tụ với G1 (Bảng 5.5), không phải kết cục dùng để suy luận yếu tố liên quan.</w:t>
      </w:r>
    </w:p>
    <w:p>
      <w:pPr>
        <w:pStyle w:val="Heading2"/>
      </w:pPr>
      <w:r>
        <w:t>4.7. Kỹ thuật thu thập số liệu</w:t>
      </w:r>
    </w:p>
    <w:p>
      <w:r>
        <w:t xml:space="preserve">Khảo sát hài lòng đặc biệt dễ bị </w:t>
      </w:r>
      <w:r>
        <w:rPr>
          <w:b/>
        </w:rPr>
        <w:t>thiên kiến chiều lòng/mong muốn xã hội</w:t>
      </w:r>
      <w:r>
        <w:t xml:space="preserve"> (social desirability bias) và </w:t>
      </w:r>
      <w:r>
        <w:rPr>
          <w:b/>
        </w:rPr>
        <w:t>thiên kiến lịch sự với người phục vụ</w:t>
      </w:r>
      <w:r>
        <w:t xml:space="preserve"> (courtesy bias), làm điểm dồn về mức cao (ceiling effect), giảm phương sai và che giấu các điểm cần cải tiến.[16] Để kiểm soát, đề tài áp dụng cách thu thập </w:t>
      </w:r>
      <w:r>
        <w:rPr>
          <w:b/>
        </w:rPr>
        <w:t>tự điền ẩn danh kết hợp hòm phiếu kín</w:t>
      </w:r>
      <w:r>
        <w:t>, thay cho phỏng vấn mặt-đối-mặt bởi nhân viên khoa.</w:t>
      </w:r>
    </w:p>
    <w:p>
      <w:r>
        <w:rPr>
          <w:i/>
        </w:rPr>
        <w:t>Bảng 4.5. Cơ chế kiểm soát thiên kiến chiều lòng.</w:t>
      </w:r>
    </w:p>
    <w:tbl>
      <w:tblPr>
        <w:tblStyle w:val="LightGrid-Accent1"/>
        <w:tblW w:type="auto" w:w="0"/>
        <w:tblLook w:firstColumn="1" w:firstRow="1" w:lastColumn="0" w:lastRow="0" w:noHBand="0" w:noVBand="1" w:val="04A0"/>
      </w:tblPr>
      <w:tblGrid>
        <w:gridCol w:w="3118"/>
        <w:gridCol w:w="3118"/>
        <w:gridCol w:w="3118"/>
      </w:tblGrid>
      <w:tr>
        <w:tc>
          <w:tcPr>
            <w:tcW w:type="dxa" w:w="3118"/>
          </w:tcPr>
          <w:p>
            <w:r>
              <w:rPr>
                <w:b/>
                <w:sz w:val="18"/>
              </w:rPr>
              <w:t>Cơ chế</w:t>
            </w:r>
          </w:p>
        </w:tc>
        <w:tc>
          <w:tcPr>
            <w:tcW w:type="dxa" w:w="3118"/>
          </w:tcPr>
          <w:p>
            <w:r>
              <w:rPr>
                <w:b/>
                <w:sz w:val="18"/>
              </w:rPr>
              <w:t>Mô tả</w:t>
            </w:r>
          </w:p>
        </w:tc>
        <w:tc>
          <w:tcPr>
            <w:tcW w:type="dxa" w:w="3118"/>
          </w:tcPr>
          <w:p>
            <w:r>
              <w:rPr>
                <w:b/>
                <w:sz w:val="18"/>
              </w:rPr>
              <w:t>Nhắm vào sai lệch</w:t>
            </w:r>
          </w:p>
        </w:tc>
      </w:tr>
      <w:tr>
        <w:tc>
          <w:tcPr>
            <w:tcW w:type="dxa" w:w="3118"/>
          </w:tcPr>
          <w:p>
            <w:r>
              <w:rPr>
                <w:sz w:val="18"/>
              </w:rPr>
              <w:t>Tự điền ẩn danh</w:t>
            </w:r>
          </w:p>
        </w:tc>
        <w:tc>
          <w:tcPr>
            <w:tcW w:type="dxa" w:w="3118"/>
          </w:tcPr>
          <w:p>
            <w:r>
              <w:rPr>
                <w:sz w:val="18"/>
              </w:rPr>
              <w:t>Người bệnh tự điền phiếu không ghi danh tính; phiếu không có ô tên/mã</w:t>
            </w:r>
          </w:p>
        </w:tc>
        <w:tc>
          <w:tcPr>
            <w:tcW w:type="dxa" w:w="3118"/>
          </w:tcPr>
          <w:p>
            <w:r>
              <w:rPr>
                <w:sz w:val="18"/>
              </w:rPr>
              <w:t>Chiều lòng, courtesy bias</w:t>
            </w:r>
          </w:p>
        </w:tc>
      </w:tr>
      <w:tr>
        <w:tc>
          <w:tcPr>
            <w:tcW w:type="dxa" w:w="3118"/>
          </w:tcPr>
          <w:p>
            <w:r>
              <w:rPr>
                <w:sz w:val="18"/>
              </w:rPr>
              <w:t>Hòm phiếu kín</w:t>
            </w:r>
          </w:p>
        </w:tc>
        <w:tc>
          <w:tcPr>
            <w:tcW w:type="dxa" w:w="3118"/>
          </w:tcPr>
          <w:p>
            <w:r>
              <w:rPr>
                <w:sz w:val="18"/>
              </w:rPr>
              <w:t>Bỏ phiếu vào hòm niêm phong đặt nơi kín đáo, không có nhân viên y tế đứng cạnh</w:t>
            </w:r>
          </w:p>
        </w:tc>
        <w:tc>
          <w:tcPr>
            <w:tcW w:type="dxa" w:w="3118"/>
          </w:tcPr>
          <w:p>
            <w:r>
              <w:rPr>
                <w:sz w:val="18"/>
              </w:rPr>
              <w:t>Áp lực xã hội tại chỗ</w:t>
            </w:r>
          </w:p>
        </w:tc>
      </w:tr>
      <w:tr>
        <w:tc>
          <w:tcPr>
            <w:tcW w:type="dxa" w:w="3118"/>
          </w:tcPr>
          <w:p>
            <w:r>
              <w:rPr>
                <w:sz w:val="18"/>
              </w:rPr>
              <w:t>Điều tra viên độc lập, ngoài Khoa C1a</w:t>
            </w:r>
          </w:p>
        </w:tc>
        <w:tc>
          <w:tcPr>
            <w:tcW w:type="dxa" w:w="3118"/>
          </w:tcPr>
          <w:p>
            <w:r>
              <w:rPr>
                <w:sz w:val="18"/>
              </w:rPr>
              <w:t>Người thu thập không phải bác sĩ/điều dưỡng đang khám cho người bệnh đó; ưu tiên nhân sự trung lập ngoài khoa được tập huấn</w:t>
            </w:r>
          </w:p>
        </w:tc>
        <w:tc>
          <w:tcPr>
            <w:tcW w:type="dxa" w:w="3118"/>
          </w:tcPr>
          <w:p>
            <w:r>
              <w:rPr>
                <w:sz w:val="18"/>
              </w:rPr>
              <w:t>Courtesy bias với người vừa phục vụ mình</w:t>
            </w:r>
          </w:p>
        </w:tc>
      </w:tr>
      <w:tr>
        <w:tc>
          <w:tcPr>
            <w:tcW w:type="dxa" w:w="3118"/>
          </w:tcPr>
          <w:p>
            <w:r>
              <w:rPr>
                <w:sz w:val="18"/>
              </w:rPr>
              <w:t>Tách thời điểm/không gian đo khỏi buồng khám</w:t>
            </w:r>
          </w:p>
        </w:tc>
        <w:tc>
          <w:tcPr>
            <w:tcW w:type="dxa" w:w="3118"/>
          </w:tcPr>
          <w:p>
            <w:r>
              <w:rPr>
                <w:sz w:val="18"/>
              </w:rPr>
              <w:t>Điền sau khi rời buồng khám, tại khu vực chờ ra về</w:t>
            </w:r>
          </w:p>
        </w:tc>
        <w:tc>
          <w:tcPr>
            <w:tcW w:type="dxa" w:w="3118"/>
          </w:tcPr>
          <w:p>
            <w:r>
              <w:rPr>
                <w:sz w:val="18"/>
              </w:rPr>
              <w:t>Lo ngại ảnh hưởng lần khám sau</w:t>
            </w:r>
          </w:p>
        </w:tc>
      </w:tr>
      <w:tr>
        <w:tc>
          <w:tcPr>
            <w:tcW w:type="dxa" w:w="3118"/>
          </w:tcPr>
          <w:p>
            <w:r>
              <w:rPr>
                <w:sz w:val="18"/>
              </w:rPr>
              <w:t>Nhấn mạnh khuyết danh và không ảnh hưởng điều trị</w:t>
            </w:r>
          </w:p>
        </w:tc>
        <w:tc>
          <w:tcPr>
            <w:tcW w:type="dxa" w:w="3118"/>
          </w:tcPr>
          <w:p>
            <w:r>
              <w:rPr>
                <w:sz w:val="18"/>
              </w:rPr>
              <w:t>Câu mở đầu phiếu cam kết ẩn danh, tự nguyện, không ảnh hưởng quyền lợi</w:t>
            </w:r>
          </w:p>
        </w:tc>
        <w:tc>
          <w:tcPr>
            <w:tcW w:type="dxa" w:w="3118"/>
          </w:tcPr>
          <w:p>
            <w:r>
              <w:rPr>
                <w:sz w:val="18"/>
              </w:rPr>
              <w:t>Giảm động cơ trả lời "làm hài lòng"</w:t>
            </w:r>
          </w:p>
        </w:tc>
      </w:tr>
      <w:tr>
        <w:tc>
          <w:tcPr>
            <w:tcW w:type="dxa" w:w="3118"/>
          </w:tcPr>
          <w:p>
            <w:r>
              <w:rPr>
                <w:sz w:val="18"/>
              </w:rPr>
              <w:t>Hỗ trợ đọc phiếu trung lập</w:t>
            </w:r>
          </w:p>
        </w:tc>
        <w:tc>
          <w:tcPr>
            <w:tcW w:type="dxa" w:w="3118"/>
          </w:tcPr>
          <w:p>
            <w:r>
              <w:rPr>
                <w:sz w:val="18"/>
              </w:rPr>
              <w:t xml:space="preserve">Với người khó tự điền, người hỗ trợ </w:t>
            </w:r>
            <w:r>
              <w:rPr>
                <w:b/>
                <w:sz w:val="18"/>
              </w:rPr>
              <w:t>ghi hộ đúng nguyên văn</w:t>
            </w:r>
            <w:r>
              <w:rPr>
                <w:sz w:val="18"/>
              </w:rPr>
              <w:t xml:space="preserve"> lời người bệnh, không gợi ý/diễn giải đáp án và không trả lời thay; phiếu ghi nhận qua biến </w:t>
            </w:r>
            <w:r>
              <w:rPr>
                <w:rFonts w:ascii="Consolas" w:hAnsi="Consolas"/>
                <w:sz w:val="18"/>
              </w:rPr>
              <w:t>mode_tra_loi</w:t>
            </w:r>
            <w:r>
              <w:rPr>
                <w:sz w:val="18"/>
              </w:rPr>
              <w:t xml:space="preserve"> phân biệt ba mức: tự điền, người nhà ghi hộ nguyên văn, điều tra viên ghi hộ nguyên văn (mục 4.6.2) — </w:t>
            </w:r>
            <w:r>
              <w:rPr>
                <w:b/>
                <w:sz w:val="18"/>
              </w:rPr>
              <w:t>nghiêm cấm proxy response</w:t>
            </w:r>
            <w:r>
              <w:rPr>
                <w:sz w:val="18"/>
              </w:rPr>
              <w:t xml:space="preserve"> ở cả ba mức</w:t>
            </w:r>
          </w:p>
        </w:tc>
        <w:tc>
          <w:tcPr>
            <w:tcW w:type="dxa" w:w="3118"/>
          </w:tcPr>
          <w:p>
            <w:r>
              <w:rPr>
                <w:sz w:val="18"/>
              </w:rPr>
              <w:t>Giữ độ bao phủ mà không tái nhập courtesy bias</w:t>
            </w:r>
          </w:p>
        </w:tc>
      </w:tr>
    </w:tbl>
    <w:p/>
    <w:p>
      <w:pPr>
        <w:pStyle w:val="Heading2"/>
      </w:pPr>
      <w:r>
        <w:t>4.8. Sai số và biện pháp khống chế sai số</w:t>
      </w:r>
    </w:p>
    <w:p>
      <w:r>
        <w:t>Ngoài cơ chế kiểm soát thiên kiến chiều lòng đã trình bày ở mục 4.7 (Bảng 4.5), các nhóm sai lệch khác của nghiên cứu và chiến lược kiểm soát tương ứng được tổng hợp trong Bảng 4.6 dưới đây.</w:t>
      </w:r>
    </w:p>
    <w:p>
      <w:r>
        <w:rPr>
          <w:i/>
        </w:rPr>
        <w:t>Bảng 4.6. Các nhóm sai lệch khác và chiến lược kiểm soát.</w:t>
      </w:r>
    </w:p>
    <w:tbl>
      <w:tblPr>
        <w:tblStyle w:val="LightGrid-Accent1"/>
        <w:tblW w:type="auto" w:w="0"/>
        <w:tblLook w:firstColumn="1" w:firstRow="1" w:lastColumn="0" w:lastRow="0" w:noHBand="0" w:noVBand="1" w:val="04A0"/>
      </w:tblPr>
      <w:tblGrid>
        <w:gridCol w:w="3118"/>
        <w:gridCol w:w="3118"/>
        <w:gridCol w:w="3118"/>
      </w:tblGrid>
      <w:tr>
        <w:tc>
          <w:tcPr>
            <w:tcW w:type="dxa" w:w="3118"/>
          </w:tcPr>
          <w:p>
            <w:r>
              <w:rPr>
                <w:b/>
                <w:sz w:val="18"/>
              </w:rPr>
              <w:t>Nhóm sai lệch</w:t>
            </w:r>
          </w:p>
        </w:tc>
        <w:tc>
          <w:tcPr>
            <w:tcW w:type="dxa" w:w="3118"/>
          </w:tcPr>
          <w:p>
            <w:r>
              <w:rPr>
                <w:b/>
                <w:sz w:val="18"/>
              </w:rPr>
              <w:t>Biểu hiện trong đề tài</w:t>
            </w:r>
          </w:p>
        </w:tc>
        <w:tc>
          <w:tcPr>
            <w:tcW w:type="dxa" w:w="3118"/>
          </w:tcPr>
          <w:p>
            <w:r>
              <w:rPr>
                <w:b/>
                <w:sz w:val="18"/>
              </w:rPr>
              <w:t>Chiến lược kiểm soát</w:t>
            </w:r>
          </w:p>
        </w:tc>
      </w:tr>
      <w:tr>
        <w:tc>
          <w:tcPr>
            <w:tcW w:type="dxa" w:w="3118"/>
          </w:tcPr>
          <w:p>
            <w:r>
              <w:rPr>
                <w:sz w:val="18"/>
              </w:rPr>
              <w:t>Chọn mẫu</w:t>
            </w:r>
          </w:p>
        </w:tc>
        <w:tc>
          <w:tcPr>
            <w:tcW w:type="dxa" w:w="3118"/>
          </w:tcPr>
          <w:p>
            <w:r>
              <w:rPr>
                <w:sz w:val="18"/>
              </w:rPr>
              <w:t>Điều tra viên chọn người dễ tính; chỉ lấy giờ cao/thấp điểm; bỏ sót người đã rời khoa</w:t>
            </w:r>
          </w:p>
        </w:tc>
        <w:tc>
          <w:tcPr>
            <w:tcW w:type="dxa" w:w="3118"/>
          </w:tcPr>
          <w:p>
            <w:r>
              <w:rPr>
                <w:sz w:val="18"/>
              </w:rPr>
              <w:t>Chọn hệ thống bước k + điểm bắt đầu ngẫu nhiên; phủ đều khung giờ/ngày; sổ nhật ký từ chối (số mời/số đồng ý) để tính và mô tả tỷ lệ đáp ứng (STROBE mục 13)</w:t>
            </w:r>
          </w:p>
        </w:tc>
      </w:tr>
      <w:tr>
        <w:tc>
          <w:tcPr>
            <w:tcW w:type="dxa" w:w="3118"/>
          </w:tcPr>
          <w:p>
            <w:r>
              <w:rPr>
                <w:sz w:val="18"/>
              </w:rPr>
              <w:t>Nhớ lại</w:t>
            </w:r>
          </w:p>
        </w:tc>
        <w:tc>
          <w:tcPr>
            <w:tcW w:type="dxa" w:w="3118"/>
          </w:tcPr>
          <w:p>
            <w:r>
              <w:rPr>
                <w:sz w:val="18"/>
              </w:rPr>
              <w:t>Quên chi tiết trải nghiệm nếu đo trễ</w:t>
            </w:r>
          </w:p>
        </w:tc>
        <w:tc>
          <w:tcPr>
            <w:tcW w:type="dxa" w:w="3118"/>
          </w:tcPr>
          <w:p>
            <w:r>
              <w:rPr>
                <w:sz w:val="18"/>
              </w:rPr>
              <w:t>Đo ngay sau khi hoàn tất lượt khám, cùng ngày, tại chỗ</w:t>
            </w:r>
          </w:p>
        </w:tc>
      </w:tr>
      <w:tr>
        <w:tc>
          <w:tcPr>
            <w:tcW w:type="dxa" w:w="3118"/>
          </w:tcPr>
          <w:p>
            <w:r>
              <w:rPr>
                <w:sz w:val="18"/>
              </w:rPr>
              <w:t>Người phỏng vấn</w:t>
            </w:r>
          </w:p>
        </w:tc>
        <w:tc>
          <w:tcPr>
            <w:tcW w:type="dxa" w:w="3118"/>
          </w:tcPr>
          <w:p>
            <w:r>
              <w:rPr>
                <w:sz w:val="18"/>
              </w:rPr>
              <w:t>Điều tra viên gợi ý/diễn giải đáp án</w:t>
            </w:r>
          </w:p>
        </w:tc>
        <w:tc>
          <w:tcPr>
            <w:tcW w:type="dxa" w:w="3118"/>
          </w:tcPr>
          <w:p>
            <w:r>
              <w:rPr>
                <w:sz w:val="18"/>
              </w:rPr>
              <w:t>Tập huấn chuẩn hóa, kịch bản trung lập, ưu tiên tự điền, giám sát chất lượng</w:t>
            </w:r>
          </w:p>
        </w:tc>
      </w:tr>
      <w:tr>
        <w:tc>
          <w:tcPr>
            <w:tcW w:type="dxa" w:w="3118"/>
          </w:tcPr>
          <w:p>
            <w:r>
              <w:rPr>
                <w:sz w:val="18"/>
              </w:rPr>
              <w:t>Công cụ/đo lường</w:t>
            </w:r>
          </w:p>
        </w:tc>
        <w:tc>
          <w:tcPr>
            <w:tcW w:type="dxa" w:w="3118"/>
          </w:tcPr>
          <w:p>
            <w:r>
              <w:rPr>
                <w:sz w:val="18"/>
              </w:rPr>
              <w:t>Câu hỏi mơ hồ, thang tự xây dựng chưa kiểm định đầy đủ</w:t>
            </w:r>
          </w:p>
        </w:tc>
        <w:tc>
          <w:tcPr>
            <w:tcW w:type="dxa" w:w="3118"/>
          </w:tcPr>
          <w:p>
            <w:r>
              <w:rPr>
                <w:sz w:val="18"/>
              </w:rPr>
              <w:t>Dry-run có đối chiếu độ rõ ràng câu chữ; mô tả đặc tính đo lường trong mẫu (Cronbach's α, floor/ceiling, EFA — mục 4.5.3)</w:t>
            </w:r>
          </w:p>
        </w:tc>
      </w:tr>
      <w:tr>
        <w:tc>
          <w:tcPr>
            <w:tcW w:type="dxa" w:w="3118"/>
          </w:tcPr>
          <w:p>
            <w:r>
              <w:rPr>
                <w:sz w:val="18"/>
              </w:rPr>
              <w:t>Đo lường thời gian chờ</w:t>
            </w:r>
          </w:p>
        </w:tc>
        <w:tc>
          <w:tcPr>
            <w:tcW w:type="dxa" w:w="3118"/>
          </w:tcPr>
          <w:p>
            <w:r>
              <w:rPr>
                <w:sz w:val="18"/>
              </w:rPr>
              <w:t>Tự báo cáo có thể lệch với thời gian vận hành thực, thường theo hướng phóng đại (người bệnh ước lượng cao hơn thực tế)</w:t>
            </w:r>
          </w:p>
        </w:tc>
        <w:tc>
          <w:tcPr>
            <w:tcW w:type="dxa" w:w="3118"/>
          </w:tcPr>
          <w:p>
            <w:r>
              <w:rPr>
                <w:sz w:val="18"/>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118"/>
          </w:tcPr>
          <w:p>
            <w:r>
              <w:rPr>
                <w:sz w:val="18"/>
              </w:rPr>
              <w:t>Nhiễu (MT2)</w:t>
            </w:r>
          </w:p>
        </w:tc>
        <w:tc>
          <w:tcPr>
            <w:tcW w:type="dxa" w:w="3118"/>
          </w:tcPr>
          <w:p>
            <w:r>
              <w:rPr>
                <w:sz w:val="18"/>
              </w:rPr>
              <w:t>Tuổi/học vấn/nơi ở/thời gian chờ đồng thời liên quan yếu tố khác và hài lòng</w:t>
            </w:r>
          </w:p>
        </w:tc>
        <w:tc>
          <w:tcPr>
            <w:tcW w:type="dxa" w:w="3118"/>
          </w:tcPr>
          <w:p>
            <w:r>
              <w:rPr>
                <w:sz w:val="18"/>
              </w:rPr>
              <w:t>Đo đầy đủ biến nhiễu đã biết + hồi quy đa biến hiệu chỉnh; chọn biến theo DAG, tránh over-adjustment</w:t>
            </w:r>
          </w:p>
        </w:tc>
      </w:tr>
      <w:tr>
        <w:tc>
          <w:tcPr>
            <w:tcW w:type="dxa" w:w="3118"/>
          </w:tcPr>
          <w:p>
            <w:r>
              <w:rPr>
                <w:sz w:val="18"/>
              </w:rPr>
              <w:t>Thiếu dữ liệu/không đáp ứng</w:t>
            </w:r>
          </w:p>
        </w:tc>
        <w:tc>
          <w:tcPr>
            <w:tcW w:type="dxa" w:w="3118"/>
          </w:tcPr>
          <w:p>
            <w:r>
              <w:rPr>
                <w:sz w:val="18"/>
              </w:rPr>
              <w:t>Bỏ trống mục, từ chối tham gia</w:t>
            </w:r>
          </w:p>
        </w:tc>
        <w:tc>
          <w:tcPr>
            <w:tcW w:type="dxa" w:w="3118"/>
          </w:tcPr>
          <w:p>
            <w:r>
              <w:rPr>
                <w:sz w:val="18"/>
              </w:rPr>
              <w:t>Phiếu ngắn gọn, rõ; theo dõi tỷ lệ đáp ứng; xử lý thiếu định trước ở SAP</w:t>
            </w:r>
          </w:p>
        </w:tc>
      </w:tr>
    </w:tbl>
    <w:p/>
    <w:p>
      <w:pPr>
        <w:pStyle w:val="Heading2"/>
      </w:pPr>
      <w:r>
        <w:t>4.9. Quy trình nghiên cứu (các bước tiến hành)</w:t>
      </w:r>
    </w:p>
    <w:p>
      <w:r>
        <w:t>Nghiên cứu được tiến hành theo trình tự các bước sau, tổng hợp từ các quyết định đã trình bày ở các mục tương ứng:</w:t>
      </w:r>
    </w:p>
    <w:p>
      <w:pPr>
        <w:pStyle w:val="ListNumber"/>
      </w:pPr>
      <w:r>
        <w:rPr>
          <w:b/>
        </w:rPr>
        <w:t>Chuẩn bị pháp lý/hành chính</w:t>
      </w:r>
      <w:r>
        <w:t xml:space="preserve"> — đăng ký nghiên cứu công khai (mục 4.11, 6.2), hoàn tất hồ sơ đạo đức cho </w:t>
      </w:r>
      <w:r>
        <w:rPr>
          <w:b/>
        </w:rPr>
        <w:t>toàn bộ</w:t>
      </w:r>
      <w:r>
        <w:t xml:space="preserve"> đề cương — bao gồm cả pha phát triển công cụ (bước 2 dưới đây) lẫn mẫu chính, vì cognitive interview/pilot có tiếp xúc người bệnh (mục 4.11), khóa Kế hoạch phân tích thống kê SAP (Phụ lục A).</w:t>
      </w:r>
    </w:p>
    <w:p>
      <w:pPr>
        <w:pStyle w:val="ListNumber"/>
      </w:pPr>
      <w:r>
        <w:rPr>
          <w:b/>
        </w:rPr>
        <w:t>Pha phát triển &amp; kiểm định công cụ (bắt buộc, trước mẫu chính)</w:t>
      </w:r>
      <w:r>
        <w:t xml:space="preserve"> — bảng truy xuất nguồn gốc item, hội đồng chuyên gia (I-CVI/S-CVI), cognitive interview 10–15 người bệnh, pilot thực địa (n ≈ 50–100, tách biệt mẫu chính), khóa phiên bản cuối </w:t>
      </w:r>
      <w:r>
        <w:rPr>
          <w:b/>
        </w:rPr>
        <w:t>vFinal</w:t>
      </w:r>
      <w:r>
        <w:t xml:space="preserve"> của Phiếu khảo sát (mục 4.5.1, Phụ lục C).</w:t>
      </w:r>
    </w:p>
    <w:p>
      <w:pPr>
        <w:pStyle w:val="ListNumber"/>
      </w:pPr>
      <w:r>
        <w:rPr>
          <w:b/>
        </w:rPr>
        <w:t>Chuẩn bị vận hành mẫu chính</w:t>
      </w:r>
      <w:r>
        <w:t xml:space="preserve"> — in </w:t>
      </w:r>
      <w:r>
        <w:rPr>
          <w:b/>
        </w:rPr>
        <w:t>hai tài liệu tách biệt</w:t>
      </w:r>
      <w:r>
        <w:t xml:space="preserve"> với bản vFinal: (a) Bản thông tin &amp; Đồng thuận (ICF, Phụ lục B, có tên/chữ ký) và (b) Phiếu khảo sát (Phần 1–4, Phụ lục C, chỉ mã nghiên cứu — </w:t>
      </w:r>
      <w:r>
        <w:rPr>
          <w:b/>
        </w:rPr>
        <w:t>không còn Phần 5</w:t>
      </w:r>
      <w:r>
        <w:t>); tập huấn điều tra viên và tổ chức dry-run quy trình chọn mẫu phân tầng + phát/thu hai tài liệu (mục 4.4.2).</w:t>
      </w:r>
    </w:p>
    <w:p>
      <w:pPr>
        <w:pStyle w:val="ListNumber"/>
      </w:pPr>
      <w:r>
        <w:rPr>
          <w:b/>
        </w:rPr>
        <w:t>Tiếp cận đối tượng</w:t>
      </w:r>
      <w:r>
        <w:t xml:space="preserve"> — điều tra viên chuyên trách xác định người bệnh thứ </w:t>
      </w:r>
      <w:r>
        <w:rPr>
          <w:i/>
        </w:rPr>
        <w:t>k_h</w:t>
      </w:r>
      <w:r>
        <w:t xml:space="preserve"> theo chọn mẫu hệ thống phân tầng trong dòng người bệnh đã hoàn tất khám (mục 4.4.2).</w:t>
      </w:r>
    </w:p>
    <w:p>
      <w:pPr>
        <w:pStyle w:val="ListNumber"/>
      </w:pPr>
      <w:r>
        <w:rPr>
          <w:b/>
        </w:rPr>
        <w:t>Sàng lọc</w:t>
      </w:r>
      <w:r>
        <w:t xml:space="preserve"> — đối chiếu tiêu chuẩn chọn vào/loại trừ (mục 4.3.1, 4.3.2); kiểm tra chống trùng.</w:t>
      </w:r>
    </w:p>
    <w:p>
      <w:pPr>
        <w:pStyle w:val="ListNumber"/>
      </w:pPr>
      <w:r>
        <w:rPr>
          <w:b/>
        </w:rPr>
        <w:t>Mời tham gia, giải thích và lấy đồng thuận trên tài liệu ICF RIÊNG</w:t>
      </w:r>
      <w:r>
        <w:t xml:space="preserve"> — trình bày thông tin nghiên cứu (Phụ lục B); nếu đồng ý, người tham gia ký tên/điểm chỉ và ghi ngày </w:t>
      </w:r>
      <w:r>
        <w:rPr>
          <w:b/>
        </w:rPr>
        <w:t>trên chính tài liệu ICF</w:t>
      </w:r>
      <w:r>
        <w:t xml:space="preserve"> (không phải trên phiếu khảo sát); ICF được thu và lưu </w:t>
      </w:r>
      <w:r>
        <w:rPr>
          <w:b/>
        </w:rPr>
        <w:t>riêng, có kiểm soát truy cập</w:t>
      </w:r>
      <w:r>
        <w:t>, tách biệt vật lý khỏi phiếu khảo sát ngay từ đầu (mục 4.11, Phụ lục B) — không phải tách sau khi thu như thiết kế trước.</w:t>
      </w:r>
    </w:p>
    <w:p>
      <w:pPr>
        <w:pStyle w:val="ListNumber"/>
      </w:pPr>
      <w:r>
        <w:rPr>
          <w:b/>
        </w:rPr>
        <w:t>Phát phiếu khảo sát riêng (chỉ sau khi đã có ICF ký)</w:t>
      </w:r>
      <w:r>
        <w:t xml:space="preserve"> — điều tra viên phát phiếu khảo sát (chỉ mang mã nghiên cứu, không tên/chữ ký) cho người đã ký ICF; hai tài liệu </w:t>
      </w:r>
      <w:r>
        <w:rPr>
          <w:b/>
        </w:rPr>
        <w:t>không</w:t>
      </w:r>
      <w:r>
        <w:t xml:space="preserve"> dùng chung một mã định danh có thể đối chiếu ngược, và không lập bảng ghép giữa ICF và mã nghiên cứu của phiếu khảo sát — đây là điểm khác biệt cốt lõi so với thiết kế "một phiếu, tách sau" của bản trước (mục 4.11).</w:t>
      </w:r>
    </w:p>
    <w:p>
      <w:pPr>
        <w:pStyle w:val="ListNumber"/>
      </w:pPr>
      <w:r>
        <w:rPr>
          <w:b/>
        </w:rPr>
        <w:t>Tự điền phiếu khảo sát ẩn danh</w:t>
      </w:r>
      <w:r>
        <w:t xml:space="preserve"> — người bệnh tự điền Phần 1–4 tại khu vực chờ, tách khỏi buồng khám (mục 4.7); ghi nhận </w:t>
      </w:r>
      <w:r>
        <w:rPr>
          <w:rFonts w:ascii="Consolas" w:hAnsi="Consolas"/>
        </w:rPr>
        <w:t>mode_tra_loi</w:t>
      </w:r>
      <w:r>
        <w:t xml:space="preserve"> (tự điền/người nhà ghi hộ nguyên văn/điều tra viên ghi hộ nguyên văn — </w:t>
      </w:r>
      <w:r>
        <w:rPr>
          <w:b/>
        </w:rPr>
        <w:t>nghiêm cấm proxy response</w:t>
      </w:r>
      <w:r>
        <w:t>, mục 4.6.2).</w:t>
      </w:r>
    </w:p>
    <w:p>
      <w:pPr>
        <w:pStyle w:val="ListNumber"/>
      </w:pPr>
      <w:r>
        <w:rPr>
          <w:b/>
        </w:rPr>
        <w:t>Thu hai tài liệu theo hai kênh riêng</w:t>
      </w:r>
      <w:r>
        <w:t xml:space="preserve"> —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pPr>
      <w:r>
        <w:rPr>
          <w:b/>
        </w:rPr>
        <w:t>Ghép nối thời gian chờ (nếu dùng nguồn HIS)</w:t>
      </w:r>
      <w:r>
        <w:t xml:space="preserve"> —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pPr>
      <w:r>
        <w:rPr>
          <w:b/>
        </w:rPr>
        <w:t>Giám sát chất lượng</w:t>
      </w:r>
      <w:r>
        <w:t xml:space="preserve"> — kiểm tra ngẫu nhiên phiếu và tuân thủ quy trình chọn mẫu (mục 6.1).</w:t>
      </w:r>
    </w:p>
    <w:p>
      <w:pPr>
        <w:pStyle w:val="ListNumber"/>
      </w:pPr>
      <w:r>
        <w:rPr>
          <w:b/>
        </w:rPr>
        <w:t>Nhập liệu và làm sạch</w:t>
      </w:r>
      <w:r>
        <w:t xml:space="preserve"> — nhập </w:t>
      </w:r>
      <w:r>
        <w:rPr>
          <w:b/>
        </w:rPr>
        <w:t>phiếu khảo sát</w:t>
      </w:r>
      <w:r>
        <w:t xml:space="preserve"> theo CRF/data dictionary, nhập đôi 100% số phiếu, áp dụng luật kiểm tra range/logic (mục 6.5 — DMP); ICF </w:t>
      </w:r>
      <w:r>
        <w:rPr>
          <w:b/>
        </w:rPr>
        <w:t>không</w:t>
      </w:r>
      <w:r>
        <w:t xml:space="preserve"> được nhập vào hệ thống dữ liệu phân tích dưới bất kỳ hình thức nào.</w:t>
      </w:r>
    </w:p>
    <w:p>
      <w:pPr>
        <w:pStyle w:val="ListNumber"/>
      </w:pPr>
      <w:r>
        <w:rPr>
          <w:b/>
        </w:rPr>
        <w:t>Khóa cơ sở dữ liệu</w:t>
      </w:r>
      <w:r>
        <w:t xml:space="preserve"> — chỉ sau khi hoàn tất làm sạch và đối chiếu với sổ nhật ký chọn mẫu.</w:t>
      </w:r>
    </w:p>
    <w:p>
      <w:pPr>
        <w:pStyle w:val="ListNumber"/>
      </w:pPr>
      <w:r>
        <w:rPr>
          <w:b/>
        </w:rPr>
        <w:t>Phân tích</w:t>
      </w:r>
      <w:r>
        <w:t xml:space="preserve"> — chỉ tiến hành sau khi cả SAP và dữ liệu đã được khóa, theo đúng kế hoạch phân tích tại mục 4.10.</w:t>
      </w:r>
    </w:p>
    <w:p>
      <w:pPr>
        <w:pStyle w:val="Heading2"/>
      </w:pPr>
      <w:r>
        <w:t>4.10. Xử lý và phân tích số liệu</w:t>
      </w:r>
    </w:p>
    <w:p>
      <w:r>
        <w:t xml:space="preserve">Kế hoạch phân tích được trình bày tóm tắt dưới đây và chi tiết ở Phụ lục A (SAP). Kế hoạch này là </w:t>
      </w:r>
      <w:r>
        <w:rPr>
          <w:b/>
        </w:rPr>
        <w:t>dự thảo, sẽ được khóa (đóng băng, ký) trước khi mở bất kỳ dữ liệu nào</w:t>
      </w:r>
      <w:r>
        <w:t>; sau khi khóa sẽ không thay đổi kết cục chính, ngưỡng nhị phân hóa và mô hình chính (chống p-hacking/HARKing).</w:t>
      </w:r>
    </w:p>
    <w:p>
      <w:r>
        <w:rPr>
          <w:b/>
        </w:rPr>
        <w:t>Nguyên tắc chung.</w:t>
      </w:r>
      <w:r>
        <w:t xml:space="preserve"> Mức ý nghĩa α = 0,05 hai đuôi; báo khoảng tin cậy 95% cho mọi ước lượng. </w:t>
      </w:r>
      <w:r>
        <w:rPr>
          <w:b/>
        </w:rPr>
        <w:t>Quy tắc vàng – cấm p đơn độc:</w:t>
      </w:r>
      <w: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r>
        <w:rPr>
          <w:b/>
        </w:rPr>
        <w:t>Mục tiêu 1 (mô tả).</w:t>
      </w:r>
      <w:r>
        <w:t xml:space="preserve"> Trình bày cả trung bình ± SD và trung vị [IQR] của điểm hài lòng; kiểm tra phân bố phần dư nhằm đánh giá độ phù hợp mô tả (trực quan bằng histogram/Q-Q plot kết hợp độ lệch/độ nhọn), không dùng để thay đổi kết cục chính. Ước lượng </w:t>
      </w:r>
      <w:r>
        <w:rPr>
          <w:b/>
        </w:rPr>
        <w:t>tỷ lệ hài lòng chung và theo từng lĩnh vực kèm khoảng tin cậy 95% theo phương pháp Wilson score</w:t>
      </w:r>
      <w:r>
        <w:t xml:space="preserve"> (chính xác hơn Wald khi tỷ lệ gần 0 hoặc 1); tỷ lệ hài lòng dùng ngưỡng cố định ≥ 4/5. Báo phần trăm đạt điểm sàn/trần mỗi lĩnh vực.</w:t>
      </w:r>
    </w:p>
    <w:p>
      <w:r>
        <w:rPr>
          <w:b/>
        </w:rPr>
        <w:t>Mục tiêu 2 (phân tích).</w:t>
      </w:r>
      <w: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b/>
        </w:rPr>
        <w:t>hồi quy logistic thứ tự (ordinal/proportional odds) đa biến trên G1 (hài lòng chung, hỏi trực tiếp, thứ hạng 1–5)</w:t>
      </w:r>
      <w:r>
        <w:t xml:space="preserve"> báo </w:t>
      </w:r>
      <w:r>
        <w:rPr>
          <w:b/>
        </w:rPr>
        <w:t>tỷ số chênh chung hiệu chỉnh (adjusted common odds ratio, cOR) kèm khoảng tin cậy 95%</w:t>
      </w:r>
      <w:r>
        <w:t xml:space="preserve"> làm phân tích chính. Mô hình chính được khóa như sau: outcome = G1 (mục 4.5.2, thứ hạng — </w:t>
      </w:r>
      <w:r>
        <w:rPr>
          <w:b/>
        </w:rPr>
        <w:t>không</w:t>
      </w:r>
      <w:r>
        <w:t xml:space="preserve"> coi là liên tục trong mô hình chính); exposure = thời gian chờ theo mốc HIS, báo hiệu ứng theo </w:t>
      </w:r>
      <w:r>
        <w:rPr>
          <w:b/>
        </w:rPr>
        <w:t>mỗi 15 phút chờ thêm</w:t>
      </w:r>
      <w:r>
        <w:t xml:space="preserve"> (không phải mỗi 1 phút); mô hình = hồi quy logistic thứ tự proportional odds đa biến; kiểm tra phi tuyến của exposure liên tục bằng </w:t>
      </w:r>
      <w:r>
        <w:rPr>
          <w:b/>
        </w:rPr>
        <w:t>restricted cubic spline 3 nút</w:t>
      </w:r>
      <w:r>
        <w:t xml:space="preserve"> hoặc phân tích nhạy cảm theo phân vị của thời gian chờ.</w:t>
      </w:r>
    </w:p>
    <w:p>
      <w:r>
        <w:rPr>
          <w:b/>
        </w:rPr>
        <w:t>Kiểm định giả định proportional odds</w:t>
      </w:r>
      <w:r>
        <w:t xml:space="preserve"> (ví dụ kiểm định Brant hoặc so sánh log-likelihood với mô hình không ràng buộc theo từng ranh giới cắt) trước khi diễn giải cOR như một tỷ số chênh chung duy nhất qua mọi ranh giới cắt của G1. </w:t>
      </w:r>
      <w:r>
        <w:rPr>
          <w:b/>
        </w:rPr>
        <w:t>Nếu vi phạm giả định</w:t>
      </w:r>
      <w:r>
        <w:t xml:space="preserve">, chuyển sang </w:t>
      </w:r>
      <w:r>
        <w:rPr>
          <w:b/>
        </w:rPr>
        <w:t>partial proportional odds</w:t>
      </w:r>
      <w:r>
        <w:t xml:space="preserve"> (chỉ ràng buộc song song cho các biến thỏa giả định, thả lỏng cho biến vi phạm) hoặc </w:t>
      </w:r>
      <w:r>
        <w:rPr>
          <w:b/>
        </w:rPr>
        <w:t>generalized ordered logit</w:t>
      </w:r>
      <w:r>
        <w:t>, báo cáo rõ biến nào vi phạm và hệ số theo từng ranh giới cắt cho biến đó.[20]</w:t>
      </w:r>
    </w:p>
    <w:p>
      <w:r>
        <w:rPr>
          <w:b/>
        </w:rPr>
        <w:t>Phân tích nhạy cảm bằng hồi quy tuyến tính đa biến</w:t>
      </w:r>
      <w:r>
        <w:t xml:space="preserve"> trên G1 coi là liên tục, sai số chuẩn </w:t>
      </w:r>
      <w:r>
        <w:rPr>
          <w:b/>
        </w:rPr>
        <w:t>robust HC3</w:t>
      </w:r>
      <w:r>
        <w:t xml:space="preserve">, báo hệ số β kèm khoảng tin cậy 95% (Bảng 5.5) — đây là phân tích nhạy cảm, </w:t>
      </w:r>
      <w:r>
        <w:rPr>
          <w:b/>
        </w:rPr>
        <w:t>không</w:t>
      </w:r>
      <w:r>
        <w:t xml:space="preserve"> phải mô hình chi phối kết luận chính; trình bày cả trung bình ± SD và trung vị [IQR] của G1, kiểm tra phân bố phần dư của mô hình tuyến tính chỉ nhằm đánh giá độ phù hợp của phân tích nhạy cảm, </w:t>
      </w:r>
      <w:r>
        <w:rPr>
          <w:b/>
        </w:rPr>
        <w:t>không</w:t>
      </w:r>
      <w:r>
        <w:t xml:space="preserve"> dùng để đổi outcome/mô hình chính (kể cả khi Shapiro–Wilk p &lt; 0,05).</w:t>
      </w:r>
    </w:p>
    <w:p>
      <w:r>
        <w:rPr>
          <w:b/>
        </w:rPr>
        <w:t>Phân tích thứ cấp/mô tả:</w:t>
      </w:r>
      <w:r>
        <w:t xml:space="preserve"> hồi quy logistic đa biến trên kết cục nhị phân "hài lòng" (</w:t>
      </w:r>
      <w:r>
        <w:rPr>
          <w:rFonts w:ascii="Consolas" w:hAnsi="Consolas"/>
        </w:rPr>
        <w:t>SHLNBChung_NhiPhan</w:t>
      </w:r>
      <w:r>
        <w:t xml:space="preserve">, từ G1 ≥ 4/5) báo </w:t>
      </w:r>
      <w:r>
        <w:rPr>
          <w:b/>
        </w:rPr>
        <w:t>OR hiệu chỉnh (aOR) kèm khoảng tin cậy 95%</w:t>
      </w:r>
      <w:r>
        <w:t xml:space="preserve">. </w:t>
      </w:r>
      <w:r>
        <w:rPr>
          <w:b/>
        </w:rPr>
        <w:t>Điều kiện kích hoạt:</w:t>
      </w:r>
      <w: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r>
        <w:rPr>
          <w:b/>
        </w:rPr>
        <w:t>Phân tích đối chiếu hội tụ (bổ sung):</w:t>
      </w:r>
      <w:r>
        <w:t xml:space="preserve"> tương quan Pearson/Spearman giữa G1 và </w:t>
      </w:r>
      <w:r>
        <w:rPr>
          <w:rFonts w:ascii="Consolas" w:hAnsi="Consolas"/>
        </w:rPr>
        <w:t>SHLNBChung_TinhToan</w:t>
      </w:r>
      <w:r>
        <w:t xml:space="preserve"> (trung bình 30 mục A1–F1), báo cáo ở Bảng 5.5, để minh họa mức độ hội tụ giữa mục hỏi trực tiếp và điểm tổng hợp theo lĩnh vực; đây là phân tích mô tả/thăm dò, không thay thế mô hình chính.</w:t>
      </w:r>
    </w:p>
    <w:p>
      <w:r>
        <w:rPr>
          <w:b/>
        </w:rPr>
        <w:t>Chọn biến.</w:t>
      </w:r>
      <w:r>
        <w:t xml:space="preserve"> Ba nhóm biến được khóa rõ (chi tiết và DAG ở Phụ lục A, Phụ lục D): (a) </w:t>
      </w:r>
      <w:r>
        <w:rPr>
          <w:b/>
        </w:rPr>
        <w:t>Exposure chính</w:t>
      </w:r>
      <w:r>
        <w:t xml:space="preserve"> = thời gian chờ; (b) </w:t>
      </w:r>
      <w:r>
        <w:rPr>
          <w:b/>
        </w:rPr>
        <w:t>Biến điều chỉnh bắt buộc</w:t>
      </w:r>
      <w:r>
        <w:t xml:space="preserve"> = tuổi, giới, nơi cư trú, BHYT, lý do khám, chuyên khoa, khung giờ, ngày trong tuần; (c) </w:t>
      </w:r>
      <w:r>
        <w:rPr>
          <w:b/>
        </w:rPr>
        <w:t>Biến thăm dò</w:t>
      </w:r>
      <w:r>
        <w:t xml:space="preserve"> = học vấn, nghề nghiệp, thu nhập hộ gia đình, khoảng cách nhà–viện, phương tiện di chuyển, nguồn thông tin biết đến viện, số quầy (nếu đủ điều kiện), cận lâm sàng — chỉ dùng ngưỡng đơn biến p &lt; 0,20 cho nhóm thăm dò này, gắn nhãn "exploratory", </w:t>
      </w:r>
      <w:r>
        <w:rPr>
          <w:b/>
        </w:rPr>
        <w:t>không</w:t>
      </w:r>
      <w:r>
        <w:t xml:space="preserve"> dùng ngưỡng này để chọn biến vào mô hình chính. Không dùng stepwise tự động làm phân tích chính; trần số tham số theo quy tắc cỡ mẫu tương ứng (mục 4.4.1). </w:t>
      </w:r>
      <w:r>
        <w:rPr>
          <w:b/>
        </w:rPr>
        <w:t>Không có số hạng tương tác định trước</w:t>
      </w:r>
      <w:r>
        <w:t xml:space="preserve"> ở phiên bản hiện tại (số hạng thời gian chờ × đối tượng quân/dân đã gỡ bỏ — mục 4.6.2); mọi phân tích tương tác khác là thăm dò, gắn nhãn "exploratory". Kiểm định giả định: với mô hình chính (logistic thứ tự proportional odds trên G1) gồm </w:t>
      </w:r>
      <w:r>
        <w:rPr>
          <w:b/>
        </w:rPr>
        <w:t>kiểm định proportional odds</w:t>
      </w:r>
      <w:r>
        <w:t xml:space="preserve"> (Brant hoặc so sánh log-likelihood theo ranh giới cắt — chuyển partial proportional odds/generalized ordered logit nếu vi phạm[20]),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b/>
        </w:rPr>
        <w:t>và</w:t>
      </w:r>
      <w:r>
        <w:t xml:space="preserve"> đủ thông tin khoa học để ước lượng ổn định.[17] Xử lý dữ liệu thiếu định trước như dưới đây.</w:t>
      </w:r>
    </w:p>
    <w:p>
      <w:r>
        <w:rPr>
          <w:b/>
        </w:rPr>
        <w:t>Đa so sánh.</w:t>
      </w:r>
      <w: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r>
        <w:rPr>
          <w:b/>
        </w:rPr>
        <w:t>Điểm miền và dữ liệu thiếu.</w:t>
      </w:r>
      <w:r>
        <w:t xml:space="preserve"> Điểm một lĩnh vực chỉ được tính khi </w:t>
      </w:r>
      <w:r>
        <w:rPr>
          <w:b/>
        </w:rPr>
        <w:t>≥ 80% số mục của lĩnh vực đó hợp lệ</w:t>
      </w:r>
      <w:r>
        <w:t xml:space="preserve">; nếu tỷ lệ mục hợp lệ dưới 80% thì lĩnh vực được coi là thiếu. Phân tích </w:t>
      </w:r>
      <w:r>
        <w:rPr>
          <w:b/>
        </w:rPr>
        <w:t>chính là complete-case khi tỷ lệ thiếu rất thấp (&lt; 5%)</w:t>
      </w:r>
      <w:r>
        <w:t xml:space="preserve">.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b/>
        </w:rPr>
        <w:t>Đa trọng imputation (MICE) theo quy tắc Rubin[18]</w:t>
      </w:r>
      <w: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b/>
        </w:rPr>
        <w:t>Không</w:t>
      </w:r>
      <w:r>
        <w:t xml:space="preserve"> áp MICE cho biến kết cục; </w:t>
      </w:r>
      <w:r>
        <w:rPr>
          <w:b/>
        </w:rPr>
        <w:t>không</w:t>
      </w:r>
      <w:r>
        <w:t xml:space="preserve"> nội suy trung bình cơ học (mean substitution) cho toàn phiếu.</w:t>
      </w:r>
    </w:p>
    <w:p>
      <w:r>
        <w:rPr>
          <w:b/>
        </w:rPr>
        <w:t>Mã hóa câu hỏi mở (`Ykiendonggop`, Phần 4).</w:t>
      </w:r>
      <w:r>
        <w:t xml:space="preserve"> Quy trình định trước (bổ sung đối chiếu phản biện độc lập 07/07/2026): </w:t>
      </w:r>
      <w:r>
        <w:rPr>
          <w:b/>
        </w:rPr>
        <w:t>hai người mã hóa độc lập</w:t>
      </w:r>
      <w:r>
        <w:t xml:space="preserve"> đọc toàn bộ nội dung mở, xây dựng codebook chủ đề theo hướng quy nạp (từ dữ liệu, không áp khung có sẵn), gán mã độc lập rồi </w:t>
      </w:r>
      <w:r>
        <w:rPr>
          <w:b/>
        </w:rPr>
        <w:t>hòa giải bất đồng</w:t>
      </w:r>
      <w:r>
        <w:t xml:space="preserve"> bằng thảo luận (ghi lại lý do quyết định cuối cùng khi hai người bất đồng); báo cáo bằng bảng tần suất chủ đề kèm </w:t>
      </w:r>
      <w:r>
        <w:rPr>
          <w:b/>
        </w:rPr>
        <w:t>trích dẫn minh họa đã khử định danh</w:t>
      </w:r>
      <w:r>
        <w:t xml:space="preserve"> (không giữ chi tiết có thể nhận diện người trả lời). Đây là phân tích mô tả/bổ trợ, không lượng hóa vào kết cục chính hay phụ.</w:t>
      </w:r>
    </w:p>
    <w:p>
      <w:r>
        <w:rPr>
          <w:b/>
        </w:rPr>
        <w:t>Phần mềm (đã khóa — đối chiếu phản biện độc lập 07/07/2026, không để "hoặc" ngang hàng):</w:t>
      </w:r>
      <w:r>
        <w:t xml:space="preserve"> </w:t>
      </w:r>
      <w:r>
        <w:rPr>
          <w:b/>
        </w:rPr>
        <w:t>R ≥ 4.3</w:t>
      </w:r>
      <w:r>
        <w:t xml:space="preserve">, gói </w:t>
      </w:r>
      <w:r>
        <w:rPr>
          <w:rFonts w:ascii="Consolas" w:hAnsi="Consolas"/>
        </w:rPr>
        <w:t>stats</w:t>
      </w:r>
      <w:r>
        <w:t>/</w:t>
      </w:r>
      <w:r>
        <w:rPr>
          <w:rFonts w:ascii="Consolas" w:hAnsi="Consolas"/>
        </w:rPr>
        <w:t>car</w:t>
      </w:r>
      <w:r>
        <w:t>/</w:t>
      </w:r>
      <w:r>
        <w:rPr>
          <w:rFonts w:ascii="Consolas" w:hAnsi="Consolas"/>
        </w:rPr>
        <w:t>rms</w:t>
      </w:r>
      <w:r>
        <w:t>/</w:t>
      </w:r>
      <w:r>
        <w:rPr>
          <w:rFonts w:ascii="Consolas" w:hAnsi="Consolas"/>
        </w:rPr>
        <w:t>logistf</w:t>
      </w:r>
      <w:r>
        <w:t>/</w:t>
      </w:r>
      <w:r>
        <w:rPr>
          <w:rFonts w:ascii="Consolas" w:hAnsi="Consolas"/>
        </w:rPr>
        <w:t>mice</w:t>
      </w:r>
      <w:r>
        <w:t>/</w:t>
      </w:r>
      <w:r>
        <w:rPr>
          <w:rFonts w:ascii="Consolas" w:hAnsi="Consolas"/>
        </w:rPr>
        <w:t>MASS</w:t>
      </w:r>
      <w:r>
        <w:t>/</w:t>
      </w:r>
      <w:r>
        <w:rPr>
          <w:rFonts w:ascii="Consolas" w:hAnsi="Consolas"/>
        </w:rPr>
        <w:t>ordinal</w:t>
      </w:r>
      <w:r>
        <w:t>/</w:t>
      </w:r>
      <w:r>
        <w:rPr>
          <w:rFonts w:ascii="Consolas" w:hAnsi="Consolas"/>
        </w:rPr>
        <w:t>brant</w:t>
      </w:r>
      <w:r>
        <w:t>/</w:t>
      </w:r>
      <w:r>
        <w:rPr>
          <w:rFonts w:ascii="Consolas" w:hAnsi="Consolas"/>
        </w:rPr>
        <w:t>VGAM</w:t>
      </w:r>
      <w:r>
        <w:t xml:space="preserve">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pStyle w:val="Heading2"/>
      </w:pPr>
      <w:r>
        <w:t>4.11. Đạo đức nghiên cứu</w:t>
      </w:r>
    </w:p>
    <w:p>
      <w:r>
        <w:t xml:space="preserve">Toàn bộ hồ sơ đạo đức của đề tài là </w:t>
      </w:r>
      <w:r>
        <w:rPr>
          <w:b/>
        </w:rPr>
        <w:t>bản trình Hội đồng; việc thu thập dữ liệu chỉ bắt đầu sau khi được phê duyệt</w:t>
      </w:r>
      <w:r>
        <w:t xml:space="preserve">. Điều kiện bắt buộc (cổng cứng): phải có </w:t>
      </w:r>
      <w:r>
        <w:rPr>
          <w:b/>
        </w:rPr>
        <w:t>phê duyệt của Hội đồng Đạo đức trong nghiên cứu y sinh học Bệnh viện Quân y 175 (và cấp có thẩm quyền của đơn vị) trước khi</w:t>
      </w:r>
      <w:r>
        <w:t xml:space="preserve"> thu thập bất kỳ dữ liệu người tham gia nào. Mã số phê duyệt để trống …………… </w:t>
      </w:r>
      <w:r>
        <w:rPr>
          <w:i/>
        </w:rPr>
        <w:t>(bổ sung khi được phê duyệt)</w:t>
      </w:r>
      <w:r>
        <w:t xml:space="preserve"> – không điền giả.</w:t>
      </w:r>
    </w:p>
    <w:p>
      <w:r>
        <w:t xml:space="preserve">Đây là nghiên cứu quan sát, không can thiệp, khảo sát ẩn danh và tự điền, </w:t>
      </w:r>
      <w:r>
        <w:rPr>
          <w:b/>
        </w:rPr>
        <w:t>mức nguy cơ tối thiểu</w:t>
      </w:r>
      <w: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r>
        <w:rPr>
          <w:b/>
        </w:rPr>
        <w:t>Đăng ký nghiên cứu (đã khóa tên nền tảng — đối chiếu phản biện độc lập 07/07/2026).</w:t>
      </w:r>
      <w:r>
        <w:t xml:space="preserve"> Nghiên cứu </w:t>
      </w:r>
      <w:r>
        <w:rPr>
          <w:b/>
        </w:rPr>
        <w:t>sẽ được đăng ký công khai trên OSF Registries</w:t>
      </w:r>
      <w:r>
        <w:t xml:space="preserve"> (Open Science Framework, registries.osf.io) </w:t>
      </w:r>
      <w:r>
        <w:rPr>
          <w:b/>
        </w:rPr>
        <w:t>trước khi tuyển người tham gia đầu tiên</w:t>
      </w:r>
      <w:r>
        <w:t xml:space="preserve">, để phù hợp yêu cầu của Tuyên ngôn Helsinki (bản sửa đổi 2024) về đăng ký công khai cho mọi nghiên cứu y học có người tham gia. </w:t>
      </w:r>
      <w:r>
        <w:rPr>
          <w:b/>
        </w:rPr>
        <w:t>WHO ICTRP không phải nơi đăng ký trực tiếp</w:t>
      </w:r>
      <w:r>
        <w:t xml:space="preserve"> —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b/>
        </w:rPr>
        <w:t>OSF Registries</w:t>
      </w:r>
      <w:r>
        <w:t xml:space="preserve"> là lựa chọn cụ thể, khả thi, miễn phí, được cộng đồng nghiên cứu quan sát/khoa học xã hội dùng rộng rãi cho tiền đăng ký. Mã đăng ký để trống …………… </w:t>
      </w:r>
      <w:r>
        <w:rPr>
          <w:i/>
        </w:rPr>
        <w:t>(bổ sung khi có)</w:t>
      </w:r>
      <w:r>
        <w:t>.</w:t>
      </w:r>
    </w:p>
    <w:p>
      <w:r>
        <w:t>Các nguyên tắc bảo vệ người tham gia:</w:t>
      </w:r>
    </w:p>
    <w:p>
      <w:pPr>
        <w:pStyle w:val="ListBullet"/>
      </w:pPr>
      <w:r>
        <w:rPr>
          <w:b/>
        </w:rPr>
        <w:t>Tự nguyện:</w:t>
      </w:r>
      <w:r>
        <w:t xml:space="preserve"> tham gia hoàn toàn tự nguyện; từ chối hoặc dừng giữa chừng không ảnh hưởng đến việc khám chữa bệnh và mọi quyền lợi.</w:t>
      </w:r>
    </w:p>
    <w:p>
      <w:pPr>
        <w:pStyle w:val="ListBullet"/>
      </w:pPr>
      <w:r>
        <w:rPr>
          <w:b/>
        </w:rPr>
        <w:t>Đồng thuận — hai tài liệu tách biệt hoàn toàn (đã khóa, đối chiếu phản biện độc lập 07/07/2026 — thay mô hình lai "tách sau khi thu" của bản trước):</w:t>
      </w:r>
      <w:r>
        <w:t xml:space="preserve"> đề tài dùng </w:t>
      </w:r>
      <w:r>
        <w:rPr>
          <w:b/>
        </w:rPr>
        <w:t>Bản thông tin &amp; Đồng thuận (ICF, Phụ lục B) là một tài liệu giấy RIÊNG, độc lập</w:t>
      </w:r>
      <w:r>
        <w:t xml:space="preserve"> với phiếu khảo sát — không phải Phần 5 của phiếu khảo sát nữa. Người tham gia đọc ICF, rồi ký tên/điểm chỉ và ghi ngày </w:t>
      </w:r>
      <w:r>
        <w:rPr>
          <w:b/>
        </w:rPr>
        <w:t>trên chính ICF</w:t>
      </w:r>
      <w:r>
        <w:t xml:space="preserve">; ICF được thu và lưu riêng, có kiểm soát truy cập, </w:t>
      </w:r>
      <w:r>
        <w:rPr>
          <w:b/>
        </w:rPr>
        <w:t>không</w:t>
      </w:r>
      <w:r>
        <w:t xml:space="preserve"> dùng chung một mã định danh có thể đối chiếu ngược với phiếu khảo sát (không lập bảng ghép ICF ↔ mã nghiên cứu của phiếu). Phiếu khảo sát chỉ được phát cho người </w:t>
      </w:r>
      <w:r>
        <w:rPr>
          <w:b/>
        </w:rPr>
        <w:t>đã ký ICF</w:t>
      </w:r>
      <w:r>
        <w:t xml:space="preserve">, chỉ mang mã nghiên cứu, không tên/không chữ ký (Phụ lục C). Đây là sự tách biệt </w:t>
      </w:r>
      <w:r>
        <w:rPr>
          <w:b/>
        </w:rPr>
        <w:t>thật</w:t>
      </w:r>
      <w:r>
        <w:t xml:space="preserve"> ngay từ khi thiết kế tài liệu, không phải một cơ chế "tách sau khi thu chung một phiếu" (chi tiết quy trình phát/thu ở mục 4.9).</w:t>
      </w:r>
    </w:p>
    <w:p>
      <w:pPr>
        <w:pStyle w:val="ListBullet"/>
      </w:pPr>
      <w:r>
        <w:rPr>
          <w:b/>
        </w:rPr>
        <w:t>Quyền rút lui:</w:t>
      </w:r>
      <w:r>
        <w:t xml:space="preserve"> người tham gia có thể dừng </w:t>
      </w:r>
      <w:r>
        <w:rPr>
          <w:b/>
        </w:rPr>
        <w:t>trước khi nộp phiếu khảo sát</w:t>
      </w:r>
      <w:r>
        <w: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pPr>
      <w:r>
        <w:rPr>
          <w:b/>
        </w:rPr>
        <w:t>Ẩn danh nội dung khảo sát, giả danh có kiểm soát ở khâu ghép nối:</w:t>
      </w:r>
      <w:r>
        <w:t xml:space="preserve"> phiếu khảo sát (Phần 1–4) không thu thập tên, số hồ sơ, căn cước công dân, số thẻ bảo hiểm y tế, số điện thoại hay địa chỉ — nội dung khảo sát là </w:t>
      </w:r>
      <w:r>
        <w:rPr>
          <w:b/>
        </w:rPr>
        <w:t>ẩn danh thật</w:t>
      </w:r>
      <w:r>
        <w:t xml:space="preserve">. Riêng khâu ghép mốc thời gian chờ từ HIS (mục 4.6.3) dùng mã nghiên cứu + bảng ghép tạm thời do Phòng CNTT/QLCL giữ — đây là </w:t>
      </w:r>
      <w:r>
        <w:rPr>
          <w:b/>
        </w:rPr>
        <w:t>giả danh có kiểm soát (controlled pseudonymization)/khử định danh trước phân tích</w:t>
      </w:r>
      <w:r>
        <w:t>,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r>
        <w:t xml:space="preserve">Đây là nghiên cứu quan sát thuần túy, nhà nghiên cứu không phân bổ can thiệp, nên theo định nghĩa thử nghiệm lâm sàng của WHO/ICMJE </w:t>
      </w:r>
      <w:r>
        <w:rPr>
          <w:b/>
        </w:rPr>
        <w:t>không thuộc diện đăng ký thử nghiệm lâm sàng bắt buộc theo nghĩa can thiệp</w:t>
      </w:r>
      <w:r>
        <w:t xml:space="preserve"> (đề tài </w:t>
      </w:r>
      <w:r>
        <w:rPr>
          <w:b/>
        </w:rPr>
        <w:t>không đăng ký như một thử nghiệm can thiệp</w:t>
      </w:r>
      <w:r>
        <w:t xml:space="preserve">); tuy nhiên, đề tài vẫn thực hiện </w:t>
      </w:r>
      <w:r>
        <w:rPr>
          <w:b/>
        </w:rPr>
        <w:t>đăng ký công khai trước khi tuyển người tham gia đầu tiên</w:t>
      </w:r>
      <w:r>
        <w:t xml:space="preserve"> như đã nêu ở trên, theo yêu cầu đăng ký công khai của Tuyên ngôn Helsinki (2024) áp dụng cho mọi nghiên cứu y học có người tham gia, không riêng thử nghiệm can thiệp.</w:t>
      </w:r>
    </w:p>
    <w:p>
      <w:pPr>
        <w:pStyle w:val="Heading1"/>
      </w:pPr>
      <w:r>
        <w:t>5. DỰ KIẾN KẾT QUẢ</w:t>
      </w:r>
    </w:p>
    <w:p>
      <w:r>
        <w:t xml:space="preserve">Kết quả sẽ được trình bày theo bộ bảng dưới đây. Đây là các </w:t>
      </w:r>
      <w:r>
        <w:rPr>
          <w:b/>
        </w:rPr>
        <w:t>bảng trống (table shells)</w:t>
      </w:r>
      <w:r>
        <w:t>: chỉ chứa placeholder (—, XX,X), tuyệt đối không có số giả. Số lĩnh vực/số mục của phần hài lòng và danh mục biến Mục tiêu 2 khóa theo bộ câu hỏi thật (Phụ lục C) và SAP.</w:t>
      </w:r>
    </w:p>
    <w:p>
      <w:pPr>
        <w:pStyle w:val="Heading3"/>
      </w:pPr>
      <w:r>
        <w:t>Bảng 5.1. Đặc điểm nền của mẫu nghiên cứu (n = 1000)</w:t>
      </w:r>
    </w:p>
    <w:tbl>
      <w:tblPr>
        <w:tblStyle w:val="LightGrid-Accent1"/>
        <w:tblW w:type="auto" w:w="0"/>
        <w:tblLook w:firstColumn="1" w:firstRow="1" w:lastColumn="0" w:lastRow="0" w:noHBand="0" w:noVBand="1" w:val="04A0"/>
      </w:tblPr>
      <w:tblGrid>
        <w:gridCol w:w="3118"/>
        <w:gridCol w:w="3118"/>
        <w:gridCol w:w="3118"/>
      </w:tblGrid>
      <w:tr>
        <w:tc>
          <w:tcPr>
            <w:tcW w:type="dxa" w:w="3118"/>
          </w:tcPr>
          <w:p>
            <w:r>
              <w:rPr>
                <w:b/>
                <w:sz w:val="18"/>
              </w:rPr>
              <w:t>Đặc điểm</w:t>
            </w:r>
          </w:p>
        </w:tc>
        <w:tc>
          <w:tcPr>
            <w:tcW w:type="dxa" w:w="3118"/>
          </w:tcPr>
          <w:p>
            <w:r>
              <w:rPr>
                <w:b/>
                <w:sz w:val="18"/>
              </w:rPr>
              <w:t>Phân nhóm</w:t>
            </w:r>
          </w:p>
        </w:tc>
        <w:tc>
          <w:tcPr>
            <w:tcW w:type="dxa" w:w="3118"/>
          </w:tcPr>
          <w:p>
            <w:r>
              <w:rPr>
                <w:b/>
                <w:sz w:val="18"/>
              </w:rPr>
              <w:t>n (%) hoặc TB ± SD / trung vị [IQR]</w:t>
            </w:r>
          </w:p>
        </w:tc>
      </w:tr>
      <w:tr>
        <w:tc>
          <w:tcPr>
            <w:tcW w:type="dxa" w:w="3118"/>
          </w:tcPr>
          <w:p>
            <w:r>
              <w:rPr>
                <w:sz w:val="18"/>
              </w:rPr>
              <w:t>Tuổi (năm)</w:t>
            </w:r>
          </w:p>
        </w:tc>
        <w:tc>
          <w:tcPr>
            <w:tcW w:type="dxa" w:w="3118"/>
          </w:tcPr>
          <w:p>
            <w:r>
              <w:rPr>
                <w:sz w:val="18"/>
              </w:rPr>
              <w:t>—</w:t>
            </w:r>
          </w:p>
        </w:tc>
        <w:tc>
          <w:tcPr>
            <w:tcW w:type="dxa" w:w="3118"/>
          </w:tcPr>
          <w:p>
            <w:r>
              <w:rPr>
                <w:sz w:val="18"/>
              </w:rPr>
              <w:t>— ± — / — [—; —]</w:t>
            </w:r>
          </w:p>
        </w:tc>
      </w:tr>
      <w:tr>
        <w:tc>
          <w:tcPr>
            <w:tcW w:type="dxa" w:w="3118"/>
          </w:tcPr>
          <w:p>
            <w:r>
              <w:rPr>
                <w:sz w:val="18"/>
              </w:rPr>
              <w:t>Nhóm tuổi</w:t>
            </w:r>
          </w:p>
        </w:tc>
        <w:tc>
          <w:tcPr>
            <w:tcW w:type="dxa" w:w="3118"/>
          </w:tcPr>
          <w:p>
            <w:r>
              <w:rPr>
                <w:sz w:val="18"/>
              </w:rPr>
              <w:t>&lt;30 / 30–44 / 45–59 / ≥60</w:t>
            </w:r>
          </w:p>
        </w:tc>
        <w:tc>
          <w:tcPr>
            <w:tcW w:type="dxa" w:w="3118"/>
          </w:tcPr>
          <w:p>
            <w:r>
              <w:rPr>
                <w:sz w:val="18"/>
              </w:rPr>
              <w:t>— (—%)</w:t>
            </w:r>
          </w:p>
        </w:tc>
      </w:tr>
      <w:tr>
        <w:tc>
          <w:tcPr>
            <w:tcW w:type="dxa" w:w="3118"/>
          </w:tcPr>
          <w:p>
            <w:r>
              <w:rPr>
                <w:sz w:val="18"/>
              </w:rPr>
              <w:t>Giới</w:t>
            </w:r>
          </w:p>
        </w:tc>
        <w:tc>
          <w:tcPr>
            <w:tcW w:type="dxa" w:w="3118"/>
          </w:tcPr>
          <w:p>
            <w:r>
              <w:rPr>
                <w:sz w:val="18"/>
              </w:rPr>
              <w:t>Nam / Nữ</w:t>
            </w:r>
          </w:p>
        </w:tc>
        <w:tc>
          <w:tcPr>
            <w:tcW w:type="dxa" w:w="3118"/>
          </w:tcPr>
          <w:p>
            <w:r>
              <w:rPr>
                <w:sz w:val="18"/>
              </w:rPr>
              <w:t>— (—%)</w:t>
            </w:r>
          </w:p>
        </w:tc>
      </w:tr>
      <w:tr>
        <w:tc>
          <w:tcPr>
            <w:tcW w:type="dxa" w:w="3118"/>
          </w:tcPr>
          <w:p>
            <w:r>
              <w:rPr>
                <w:sz w:val="18"/>
              </w:rPr>
              <w:t>Học vấn</w:t>
            </w:r>
          </w:p>
        </w:tc>
        <w:tc>
          <w:tcPr>
            <w:tcW w:type="dxa" w:w="3118"/>
          </w:tcPr>
          <w:p>
            <w:r>
              <w:rPr>
                <w:sz w:val="18"/>
              </w:rPr>
              <w:t>Mù chữ-Tiểu học / THCS / THPT / TC-CĐ / ĐH / Sau ĐH</w:t>
            </w:r>
          </w:p>
        </w:tc>
        <w:tc>
          <w:tcPr>
            <w:tcW w:type="dxa" w:w="3118"/>
          </w:tcPr>
          <w:p>
            <w:r>
              <w:rPr>
                <w:sz w:val="18"/>
              </w:rPr>
              <w:t>— (—%)</w:t>
            </w:r>
          </w:p>
        </w:tc>
      </w:tr>
      <w:tr>
        <w:tc>
          <w:tcPr>
            <w:tcW w:type="dxa" w:w="3118"/>
          </w:tcPr>
          <w:p>
            <w:r>
              <w:rPr>
                <w:sz w:val="18"/>
              </w:rPr>
              <w:t>Nghề nghiệp</w:t>
            </w:r>
          </w:p>
        </w:tc>
        <w:tc>
          <w:tcPr>
            <w:tcW w:type="dxa" w:w="3118"/>
          </w:tcPr>
          <w:p>
            <w:r>
              <w:rPr>
                <w:sz w:val="18"/>
              </w:rPr>
              <w:t>[9 danh mục + khác]</w:t>
            </w:r>
          </w:p>
        </w:tc>
        <w:tc>
          <w:tcPr>
            <w:tcW w:type="dxa" w:w="3118"/>
          </w:tcPr>
          <w:p>
            <w:r>
              <w:rPr>
                <w:sz w:val="18"/>
              </w:rPr>
              <w:t>— (—%)</w:t>
            </w:r>
          </w:p>
        </w:tc>
      </w:tr>
      <w:tr>
        <w:tc>
          <w:tcPr>
            <w:tcW w:type="dxa" w:w="3118"/>
          </w:tcPr>
          <w:p>
            <w:r>
              <w:rPr>
                <w:sz w:val="18"/>
              </w:rPr>
              <w:t>Tình trạng hôn nhân</w:t>
            </w:r>
          </w:p>
        </w:tc>
        <w:tc>
          <w:tcPr>
            <w:tcW w:type="dxa" w:w="3118"/>
          </w:tcPr>
          <w:p>
            <w:r>
              <w:rPr>
                <w:sz w:val="18"/>
              </w:rPr>
              <w:t>Độc thân / Đã kết hôn / Ly hôn-thân / Góa</w:t>
            </w:r>
          </w:p>
        </w:tc>
        <w:tc>
          <w:tcPr>
            <w:tcW w:type="dxa" w:w="3118"/>
          </w:tcPr>
          <w:p>
            <w:r>
              <w:rPr>
                <w:sz w:val="18"/>
              </w:rPr>
              <w:t>— (—%)</w:t>
            </w:r>
          </w:p>
        </w:tc>
      </w:tr>
      <w:tr>
        <w:tc>
          <w:tcPr>
            <w:tcW w:type="dxa" w:w="3118"/>
          </w:tcPr>
          <w:p>
            <w:r>
              <w:rPr>
                <w:sz w:val="18"/>
              </w:rPr>
              <w:t>Nơi cư trú</w:t>
            </w:r>
          </w:p>
        </w:tc>
        <w:tc>
          <w:tcPr>
            <w:tcW w:type="dxa" w:w="3118"/>
          </w:tcPr>
          <w:p>
            <w:r>
              <w:rPr>
                <w:sz w:val="18"/>
              </w:rPr>
              <w:t>Thành thị / Nông thôn</w:t>
            </w:r>
          </w:p>
        </w:tc>
        <w:tc>
          <w:tcPr>
            <w:tcW w:type="dxa" w:w="3118"/>
          </w:tcPr>
          <w:p>
            <w:r>
              <w:rPr>
                <w:sz w:val="18"/>
              </w:rPr>
              <w:t>— (—%)</w:t>
            </w:r>
          </w:p>
        </w:tc>
      </w:tr>
      <w:tr>
        <w:tc>
          <w:tcPr>
            <w:tcW w:type="dxa" w:w="3118"/>
          </w:tcPr>
          <w:p>
            <w:r>
              <w:rPr>
                <w:sz w:val="18"/>
              </w:rPr>
              <w:t>Khoảng cách nhà–viện</w:t>
            </w:r>
          </w:p>
        </w:tc>
        <w:tc>
          <w:tcPr>
            <w:tcW w:type="dxa" w:w="3118"/>
          </w:tcPr>
          <w:p>
            <w:r>
              <w:rPr>
                <w:sz w:val="18"/>
              </w:rPr>
              <w:t>&lt;5 km / 5–10 km / &gt;10 km</w:t>
            </w:r>
          </w:p>
        </w:tc>
        <w:tc>
          <w:tcPr>
            <w:tcW w:type="dxa" w:w="3118"/>
          </w:tcPr>
          <w:p>
            <w:r>
              <w:rPr>
                <w:sz w:val="18"/>
              </w:rPr>
              <w:t>— (—%)</w:t>
            </w:r>
          </w:p>
        </w:tc>
      </w:tr>
      <w:tr>
        <w:tc>
          <w:tcPr>
            <w:tcW w:type="dxa" w:w="3118"/>
          </w:tcPr>
          <w:p>
            <w:r>
              <w:rPr>
                <w:sz w:val="18"/>
              </w:rPr>
              <w:t>Thu nhập hộ gia đình/tháng</w:t>
            </w:r>
          </w:p>
        </w:tc>
        <w:tc>
          <w:tcPr>
            <w:tcW w:type="dxa" w:w="3118"/>
          </w:tcPr>
          <w:p>
            <w:r>
              <w:rPr>
                <w:sz w:val="18"/>
              </w:rPr>
              <w:t>&lt;5tr / 5-&lt;10tr / 10-&lt;20tr / ≥20tr</w:t>
            </w:r>
          </w:p>
        </w:tc>
        <w:tc>
          <w:tcPr>
            <w:tcW w:type="dxa" w:w="3118"/>
          </w:tcPr>
          <w:p>
            <w:r>
              <w:rPr>
                <w:sz w:val="18"/>
              </w:rPr>
              <w:t>— (—%)</w:t>
            </w:r>
          </w:p>
        </w:tc>
      </w:tr>
      <w:tr>
        <w:tc>
          <w:tcPr>
            <w:tcW w:type="dxa" w:w="3118"/>
          </w:tcPr>
          <w:p>
            <w:r>
              <w:rPr>
                <w:sz w:val="18"/>
              </w:rPr>
              <w:t>Có thẻ BHYT</w:t>
            </w:r>
          </w:p>
        </w:tc>
        <w:tc>
          <w:tcPr>
            <w:tcW w:type="dxa" w:w="3118"/>
          </w:tcPr>
          <w:p>
            <w:r>
              <w:rPr>
                <w:sz w:val="18"/>
              </w:rPr>
              <w:t>Có / Không</w:t>
            </w:r>
          </w:p>
        </w:tc>
        <w:tc>
          <w:tcPr>
            <w:tcW w:type="dxa" w:w="3118"/>
          </w:tcPr>
          <w:p>
            <w:r>
              <w:rPr>
                <w:sz w:val="18"/>
              </w:rPr>
              <w:t>— (—%)</w:t>
            </w:r>
          </w:p>
        </w:tc>
      </w:tr>
      <w:tr>
        <w:tc>
          <w:tcPr>
            <w:tcW w:type="dxa" w:w="3118"/>
          </w:tcPr>
          <w:p>
            <w:r>
              <w:rPr>
                <w:sz w:val="18"/>
              </w:rPr>
              <w:t>Lý do khám</w:t>
            </w:r>
          </w:p>
        </w:tc>
        <w:tc>
          <w:tcPr>
            <w:tcW w:type="dxa" w:w="3118"/>
          </w:tcPr>
          <w:p>
            <w:r>
              <w:rPr>
                <w:sz w:val="18"/>
              </w:rPr>
              <w:t>Lần đầu / Tái khám hẹn / Định kỳ / Theo yêu cầu chuyên khoa / Khác</w:t>
            </w:r>
          </w:p>
        </w:tc>
        <w:tc>
          <w:tcPr>
            <w:tcW w:type="dxa" w:w="3118"/>
          </w:tcPr>
          <w:p>
            <w:r>
              <w:rPr>
                <w:sz w:val="18"/>
              </w:rPr>
              <w:t>— (—%)</w:t>
            </w:r>
          </w:p>
        </w:tc>
      </w:tr>
      <w:tr>
        <w:tc>
          <w:tcPr>
            <w:tcW w:type="dxa" w:w="3118"/>
          </w:tcPr>
          <w:p>
            <w:r>
              <w:rPr>
                <w:sz w:val="18"/>
              </w:rPr>
              <w:t>Số lần khám 12 tháng qua</w:t>
            </w:r>
          </w:p>
        </w:tc>
        <w:tc>
          <w:tcPr>
            <w:tcW w:type="dxa" w:w="3118"/>
          </w:tcPr>
          <w:p>
            <w:r>
              <w:rPr>
                <w:sz w:val="18"/>
              </w:rPr>
              <w:t>0 / 1–2 / ≥3</w:t>
            </w:r>
          </w:p>
        </w:tc>
        <w:tc>
          <w:tcPr>
            <w:tcW w:type="dxa" w:w="3118"/>
          </w:tcPr>
          <w:p>
            <w:r>
              <w:rPr>
                <w:sz w:val="18"/>
              </w:rPr>
              <w:t>— (—%)</w:t>
            </w:r>
          </w:p>
        </w:tc>
      </w:tr>
      <w:tr>
        <w:tc>
          <w:tcPr>
            <w:tcW w:type="dxa" w:w="3118"/>
          </w:tcPr>
          <w:p>
            <w:r>
              <w:rPr>
                <w:sz w:val="18"/>
              </w:rPr>
              <w:t>Phương tiện di chuyển</w:t>
            </w:r>
          </w:p>
        </w:tc>
        <w:tc>
          <w:tcPr>
            <w:tcW w:type="dxa" w:w="3118"/>
          </w:tcPr>
          <w:p>
            <w:r>
              <w:rPr>
                <w:sz w:val="18"/>
              </w:rPr>
              <w:t>[6 danh mục]</w:t>
            </w:r>
          </w:p>
        </w:tc>
        <w:tc>
          <w:tcPr>
            <w:tcW w:type="dxa" w:w="3118"/>
          </w:tcPr>
          <w:p>
            <w:r>
              <w:rPr>
                <w:sz w:val="18"/>
              </w:rPr>
              <w:t>— (—%)</w:t>
            </w:r>
          </w:p>
        </w:tc>
      </w:tr>
      <w:tr>
        <w:tc>
          <w:tcPr>
            <w:tcW w:type="dxa" w:w="3118"/>
          </w:tcPr>
          <w:p>
            <w:r>
              <w:rPr>
                <w:sz w:val="18"/>
              </w:rPr>
              <w:t>Nguồn thông tin biết đến viện</w:t>
            </w:r>
          </w:p>
        </w:tc>
        <w:tc>
          <w:tcPr>
            <w:tcW w:type="dxa" w:w="3118"/>
          </w:tcPr>
          <w:p>
            <w:r>
              <w:rPr>
                <w:sz w:val="18"/>
              </w:rPr>
              <w:t>[6 danh mục]</w:t>
            </w:r>
          </w:p>
        </w:tc>
        <w:tc>
          <w:tcPr>
            <w:tcW w:type="dxa" w:w="3118"/>
          </w:tcPr>
          <w:p>
            <w:r>
              <w:rPr>
                <w:sz w:val="18"/>
              </w:rPr>
              <w:t>— (—%)</w:t>
            </w:r>
          </w:p>
        </w:tc>
      </w:tr>
      <w:tr>
        <w:tc>
          <w:tcPr>
            <w:tcW w:type="dxa" w:w="3118"/>
          </w:tcPr>
          <w:p>
            <w:r>
              <w:rPr>
                <w:sz w:val="18"/>
              </w:rPr>
              <w:t>Chuyên khoa (từ dữ liệu vận hành, liên kết qua ID)</w:t>
            </w:r>
          </w:p>
        </w:tc>
        <w:tc>
          <w:tcPr>
            <w:tcW w:type="dxa" w:w="3118"/>
          </w:tcPr>
          <w:p>
            <w:r>
              <w:rPr>
                <w:sz w:val="18"/>
              </w:rPr>
              <w:t>[danh mục nội bộ C1a]</w:t>
            </w:r>
          </w:p>
        </w:tc>
        <w:tc>
          <w:tcPr>
            <w:tcW w:type="dxa" w:w="3118"/>
          </w:tcPr>
          <w:p>
            <w:r>
              <w:rPr>
                <w:sz w:val="18"/>
              </w:rPr>
              <w:t>— (—%)</w:t>
            </w:r>
          </w:p>
        </w:tc>
      </w:tr>
      <w:tr>
        <w:tc>
          <w:tcPr>
            <w:tcW w:type="dxa" w:w="3118"/>
          </w:tcPr>
          <w:p>
            <w:r>
              <w:rPr>
                <w:sz w:val="18"/>
              </w:rPr>
              <w:t>Thời gian chờ (phút, từ dữ liệu vận hành)</w:t>
            </w:r>
          </w:p>
        </w:tc>
        <w:tc>
          <w:tcPr>
            <w:tcW w:type="dxa" w:w="3118"/>
          </w:tcPr>
          <w:p>
            <w:r>
              <w:rPr>
                <w:sz w:val="18"/>
              </w:rPr>
              <w:t>—</w:t>
            </w:r>
          </w:p>
        </w:tc>
        <w:tc>
          <w:tcPr>
            <w:tcW w:type="dxa" w:w="3118"/>
          </w:tcPr>
          <w:p>
            <w:r>
              <w:rPr>
                <w:sz w:val="18"/>
              </w:rPr>
              <w:t>— ± — / — [—; —]</w:t>
            </w:r>
          </w:p>
        </w:tc>
      </w:tr>
      <w:tr>
        <w:tc>
          <w:tcPr>
            <w:tcW w:type="dxa" w:w="3118"/>
          </w:tcPr>
          <w:p>
            <w:r>
              <w:rPr>
                <w:sz w:val="18"/>
              </w:rPr>
              <w:t>Có làm cận lâm sàng (từ dữ liệu vận hành)</w:t>
            </w:r>
          </w:p>
        </w:tc>
        <w:tc>
          <w:tcPr>
            <w:tcW w:type="dxa" w:w="3118"/>
          </w:tcPr>
          <w:p>
            <w:r>
              <w:rPr>
                <w:sz w:val="18"/>
              </w:rPr>
              <w:t>Có / Không</w:t>
            </w:r>
          </w:p>
        </w:tc>
        <w:tc>
          <w:tcPr>
            <w:tcW w:type="dxa" w:w="3118"/>
          </w:tcPr>
          <w:p>
            <w:r>
              <w:rPr>
                <w:sz w:val="18"/>
              </w:rPr>
              <w:t>— (—%)</w:t>
            </w:r>
          </w:p>
        </w:tc>
      </w:tr>
      <w:tr>
        <w:tc>
          <w:tcPr>
            <w:tcW w:type="dxa" w:w="3118"/>
          </w:tcPr>
          <w:p>
            <w:r>
              <w:rPr>
                <w:sz w:val="18"/>
              </w:rPr>
              <w:t>Khung giờ khám (từ dữ liệu vận hành)</w:t>
            </w:r>
          </w:p>
        </w:tc>
        <w:tc>
          <w:tcPr>
            <w:tcW w:type="dxa" w:w="3118"/>
          </w:tcPr>
          <w:p>
            <w:r>
              <w:rPr>
                <w:sz w:val="18"/>
              </w:rPr>
              <w:t>Sáng sớm / Cuối sáng / Đầu chiều / Cuối chiều</w:t>
            </w:r>
          </w:p>
        </w:tc>
        <w:tc>
          <w:tcPr>
            <w:tcW w:type="dxa" w:w="3118"/>
          </w:tcPr>
          <w:p>
            <w:r>
              <w:rPr>
                <w:sz w:val="18"/>
              </w:rPr>
              <w:t>— (—%)</w:t>
            </w:r>
          </w:p>
        </w:tc>
      </w:tr>
      <w:tr>
        <w:tc>
          <w:tcPr>
            <w:tcW w:type="dxa" w:w="3118"/>
          </w:tcPr>
          <w:p>
            <w:r>
              <w:rPr>
                <w:sz w:val="18"/>
              </w:rPr>
              <w:t>Ngày trong tuần khám (từ dữ liệu vận hành)</w:t>
            </w:r>
          </w:p>
        </w:tc>
        <w:tc>
          <w:tcPr>
            <w:tcW w:type="dxa" w:w="3118"/>
          </w:tcPr>
          <w:p>
            <w:r>
              <w:rPr>
                <w:sz w:val="18"/>
              </w:rPr>
              <w:t>Thứ Hai … Chủ Nhật</w:t>
            </w:r>
          </w:p>
        </w:tc>
        <w:tc>
          <w:tcPr>
            <w:tcW w:type="dxa" w:w="3118"/>
          </w:tcPr>
          <w:p>
            <w:r>
              <w:rPr>
                <w:sz w:val="18"/>
              </w:rPr>
              <w:t>— (—%)</w:t>
            </w:r>
          </w:p>
        </w:tc>
      </w:tr>
      <w:tr>
        <w:tc>
          <w:tcPr>
            <w:tcW w:type="dxa" w:w="3118"/>
          </w:tcPr>
          <w:p>
            <w:r>
              <w:rPr>
                <w:sz w:val="18"/>
              </w:rPr>
              <w:t>Cách hoàn thành phiếu (mode_tra_loi)</w:t>
            </w:r>
          </w:p>
        </w:tc>
        <w:tc>
          <w:tcPr>
            <w:tcW w:type="dxa" w:w="3118"/>
          </w:tcPr>
          <w:p>
            <w:r>
              <w:rPr>
                <w:sz w:val="18"/>
              </w:rPr>
              <w:t>Tự điền / Người nhà ghi hộ / Điều tra viên ghi hộ</w:t>
            </w:r>
          </w:p>
        </w:tc>
        <w:tc>
          <w:tcPr>
            <w:tcW w:type="dxa" w:w="3118"/>
          </w:tcPr>
          <w:p>
            <w:r>
              <w:rPr>
                <w:sz w:val="18"/>
              </w:rPr>
              <w:t>— (—%)</w:t>
            </w:r>
          </w:p>
        </w:tc>
      </w:tr>
      <w:tr>
        <w:tc>
          <w:tcPr>
            <w:tcW w:type="dxa" w:w="3118"/>
          </w:tcPr>
          <w:p>
            <w:r>
              <w:rPr>
                <w:sz w:val="18"/>
              </w:rPr>
              <w:t>Phiếu hợp lệ (PhieuHopLe)</w:t>
            </w:r>
          </w:p>
        </w:tc>
        <w:tc>
          <w:tcPr>
            <w:tcW w:type="dxa" w:w="3118"/>
          </w:tcPr>
          <w:p>
            <w:r>
              <w:rPr>
                <w:sz w:val="18"/>
              </w:rPr>
              <w:t>Hợp lệ / Không hợp lệ (loại khỏi phân tích)</w:t>
            </w:r>
          </w:p>
        </w:tc>
        <w:tc>
          <w:tcPr>
            <w:tcW w:type="dxa" w:w="3118"/>
          </w:tcPr>
          <w:p>
            <w:r>
              <w:rPr>
                <w:sz w:val="18"/>
              </w:rPr>
              <w:t>— (—%)</w:t>
            </w:r>
          </w:p>
        </w:tc>
      </w:tr>
    </w:tbl>
    <w:p/>
    <w:p>
      <w:pPr>
        <w:pStyle w:val="Heading3"/>
      </w:pPr>
      <w:r>
        <w:t>Bảng 5.2. Mức độ hài lòng theo lĩnh vực và chung (Mục tiêu 1) (n = 1000)</w:t>
      </w:r>
    </w:p>
    <w:tbl>
      <w:tblPr>
        <w:tblStyle w:val="LightGrid-Accent1"/>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b/>
                <w:sz w:val="18"/>
              </w:rPr>
              <w:t>Lĩnh vực hài lòng</w:t>
            </w:r>
          </w:p>
        </w:tc>
        <w:tc>
          <w:tcPr>
            <w:tcW w:type="dxa" w:w="1336"/>
          </w:tcPr>
          <w:p>
            <w:r>
              <w:rPr>
                <w:b/>
                <w:sz w:val="18"/>
              </w:rPr>
              <w:t>Số mục</w:t>
            </w:r>
          </w:p>
        </w:tc>
        <w:tc>
          <w:tcPr>
            <w:tcW w:type="dxa" w:w="1336"/>
          </w:tcPr>
          <w:p>
            <w:r>
              <w:rPr>
                <w:b/>
                <w:sz w:val="18"/>
              </w:rPr>
              <w:t>Điểm TB ± SD</w:t>
            </w:r>
          </w:p>
        </w:tc>
        <w:tc>
          <w:tcPr>
            <w:tcW w:type="dxa" w:w="1336"/>
          </w:tcPr>
          <w:p>
            <w:r>
              <w:rPr>
                <w:b/>
                <w:sz w:val="18"/>
              </w:rPr>
              <w:t>Trung vị [IQR]</w:t>
            </w:r>
          </w:p>
        </w:tc>
        <w:tc>
          <w:tcPr>
            <w:tcW w:type="dxa" w:w="1336"/>
          </w:tcPr>
          <w:p>
            <w:r>
              <w:rPr>
                <w:b/>
                <w:sz w:val="18"/>
              </w:rPr>
              <w:t>% sàn (min)</w:t>
            </w:r>
          </w:p>
        </w:tc>
        <w:tc>
          <w:tcPr>
            <w:tcW w:type="dxa" w:w="1336"/>
          </w:tcPr>
          <w:p>
            <w:r>
              <w:rPr>
                <w:b/>
                <w:sz w:val="18"/>
              </w:rPr>
              <w:t>% trần (max)</w:t>
            </w:r>
          </w:p>
        </w:tc>
        <w:tc>
          <w:tcPr>
            <w:tcW w:type="dxa" w:w="1336"/>
          </w:tcPr>
          <w:p>
            <w:r>
              <w:rPr>
                <w:b/>
                <w:sz w:val="18"/>
              </w:rPr>
              <w:t>Tỷ lệ "hài lòng" ≥4/5 % (KTC 95% Wilson)</w:t>
            </w:r>
          </w:p>
        </w:tc>
      </w:tr>
      <w:tr>
        <w:tc>
          <w:tcPr>
            <w:tcW w:type="dxa" w:w="1336"/>
          </w:tcPr>
          <w:p>
            <w:r>
              <w:rPr>
                <w:sz w:val="18"/>
              </w:rPr>
              <w:t>A. Khả năng tiếp cận dịch vụ</w:t>
            </w:r>
          </w:p>
        </w:tc>
        <w:tc>
          <w:tcPr>
            <w:tcW w:type="dxa" w:w="1336"/>
          </w:tcPr>
          <w:p>
            <w:r>
              <w:rPr>
                <w:sz w:val="18"/>
              </w:rPr>
              <w:t>6</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 (—; —)</w:t>
            </w:r>
          </w:p>
        </w:tc>
      </w:tr>
      <w:tr>
        <w:tc>
          <w:tcPr>
            <w:tcW w:type="dxa" w:w="1336"/>
          </w:tcPr>
          <w:p>
            <w:r>
              <w:rPr>
                <w:sz w:val="18"/>
              </w:rPr>
              <w:t>B. Cơ sở vật chất &amp; phương tiện phục vụ</w:t>
            </w:r>
          </w:p>
        </w:tc>
        <w:tc>
          <w:tcPr>
            <w:tcW w:type="dxa" w:w="1336"/>
          </w:tcPr>
          <w:p>
            <w:r>
              <w:rPr>
                <w:sz w:val="18"/>
              </w:rPr>
              <w:t>8</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 (—; —)</w:t>
            </w:r>
          </w:p>
        </w:tc>
      </w:tr>
      <w:tr>
        <w:tc>
          <w:tcPr>
            <w:tcW w:type="dxa" w:w="1336"/>
          </w:tcPr>
          <w:p>
            <w:r>
              <w:rPr>
                <w:sz w:val="18"/>
              </w:rPr>
              <w:t>C. Thái độ ứng xử &amp; năng lực NVYT</w:t>
            </w:r>
          </w:p>
        </w:tc>
        <w:tc>
          <w:tcPr>
            <w:tcW w:type="dxa" w:w="1336"/>
          </w:tcPr>
          <w:p>
            <w:r>
              <w:rPr>
                <w:sz w:val="18"/>
              </w:rPr>
              <w:t>10</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 (—; —)</w:t>
            </w:r>
          </w:p>
        </w:tc>
      </w:tr>
      <w:tr>
        <w:tc>
          <w:tcPr>
            <w:tcW w:type="dxa" w:w="1336"/>
          </w:tcPr>
          <w:p>
            <w:r>
              <w:rPr>
                <w:sz w:val="18"/>
              </w:rPr>
              <w:t>D. Minh bạch thông tin &amp; thủ tục</w:t>
            </w:r>
          </w:p>
        </w:tc>
        <w:tc>
          <w:tcPr>
            <w:tcW w:type="dxa" w:w="1336"/>
          </w:tcPr>
          <w:p>
            <w:r>
              <w:rPr>
                <w:sz w:val="18"/>
              </w:rPr>
              <w:t>3</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 (—; —)</w:t>
            </w:r>
          </w:p>
        </w:tc>
      </w:tr>
      <w:tr>
        <w:tc>
          <w:tcPr>
            <w:tcW w:type="dxa" w:w="1336"/>
          </w:tcPr>
          <w:p>
            <w:r>
              <w:rPr>
                <w:sz w:val="18"/>
              </w:rPr>
              <w:t>E. Kết quả cung cấp dịch vụ</w:t>
            </w:r>
          </w:p>
        </w:tc>
        <w:tc>
          <w:tcPr>
            <w:tcW w:type="dxa" w:w="1336"/>
          </w:tcPr>
          <w:p>
            <w:r>
              <w:rPr>
                <w:sz w:val="18"/>
              </w:rPr>
              <w:t>2</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 (—; —)</w:t>
            </w:r>
          </w:p>
        </w:tc>
      </w:tr>
      <w:tr>
        <w:tc>
          <w:tcPr>
            <w:tcW w:type="dxa" w:w="1336"/>
          </w:tcPr>
          <w:p>
            <w:r>
              <w:rPr>
                <w:sz w:val="18"/>
              </w:rPr>
              <w:t>F. Chi phí dịch vụ (chỉ số đơn mục)</w:t>
            </w:r>
          </w:p>
        </w:tc>
        <w:tc>
          <w:tcPr>
            <w:tcW w:type="dxa" w:w="1336"/>
          </w:tcPr>
          <w:p>
            <w:r>
              <w:rPr>
                <w:sz w:val="18"/>
              </w:rPr>
              <w:t>1</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 (—; —)</w:t>
            </w:r>
          </w:p>
        </w:tc>
      </w:tr>
      <w:tr>
        <w:tc>
          <w:tcPr>
            <w:tcW w:type="dxa" w:w="1336"/>
          </w:tcPr>
          <w:p>
            <w:r>
              <w:rPr>
                <w:b/>
                <w:sz w:val="18"/>
              </w:rPr>
              <w:t>Hài lòng CHUNG — G1, hỏi trực tiếp (kết cục chính MT1)</w:t>
            </w:r>
          </w:p>
        </w:tc>
        <w:tc>
          <w:tcPr>
            <w:tcW w:type="dxa" w:w="1336"/>
          </w:tcPr>
          <w:p>
            <w:r>
              <w:rPr>
                <w:b/>
                <w:sz w:val="18"/>
              </w:rPr>
              <w:t>1</w:t>
            </w:r>
          </w:p>
        </w:tc>
        <w:tc>
          <w:tcPr>
            <w:tcW w:type="dxa" w:w="1336"/>
          </w:tcPr>
          <w:p>
            <w:r>
              <w:rPr>
                <w:b/>
                <w:sz w:val="18"/>
              </w:rPr>
              <w:t>— ± —</w:t>
            </w:r>
          </w:p>
        </w:tc>
        <w:tc>
          <w:tcPr>
            <w:tcW w:type="dxa" w:w="1336"/>
          </w:tcPr>
          <w:p>
            <w:r>
              <w:rPr>
                <w:b/>
                <w:sz w:val="18"/>
              </w:rPr>
              <w:t>— [—; —]</w:t>
            </w:r>
          </w:p>
        </w:tc>
        <w:tc>
          <w:tcPr>
            <w:tcW w:type="dxa" w:w="1336"/>
          </w:tcPr>
          <w:p>
            <w:r>
              <w:rPr>
                <w:b/>
                <w:sz w:val="18"/>
              </w:rPr>
              <w:t>—%</w:t>
            </w:r>
          </w:p>
        </w:tc>
        <w:tc>
          <w:tcPr>
            <w:tcW w:type="dxa" w:w="1336"/>
          </w:tcPr>
          <w:p>
            <w:r>
              <w:rPr>
                <w:b/>
                <w:sz w:val="18"/>
              </w:rPr>
              <w:t>—%</w:t>
            </w:r>
          </w:p>
        </w:tc>
        <w:tc>
          <w:tcPr>
            <w:tcW w:type="dxa" w:w="1336"/>
          </w:tcPr>
          <w:p>
            <w:r>
              <w:rPr>
                <w:b/>
                <w:sz w:val="18"/>
              </w:rPr>
              <w:t>—% (—; —)</w:t>
            </w:r>
          </w:p>
        </w:tc>
      </w:tr>
      <w:tr>
        <w:tc>
          <w:tcPr>
            <w:tcW w:type="dxa" w:w="1336"/>
          </w:tcPr>
          <w:p>
            <w:r>
              <w:rPr>
                <w:sz w:val="18"/>
              </w:rPr>
              <w:t>Điểm tính toán tổng hợp (SHLNBChung_TinhToan, trung bình A1–F1, đối chiếu)</w:t>
            </w:r>
          </w:p>
        </w:tc>
        <w:tc>
          <w:tcPr>
            <w:tcW w:type="dxa" w:w="1336"/>
          </w:tcPr>
          <w:p>
            <w:r>
              <w:rPr>
                <w:sz w:val="18"/>
              </w:rPr>
              <w:t>30</w:t>
            </w:r>
          </w:p>
        </w:tc>
        <w:tc>
          <w:tcPr>
            <w:tcW w:type="dxa" w:w="1336"/>
          </w:tcPr>
          <w:p>
            <w:r>
              <w:rPr>
                <w:sz w:val="18"/>
              </w:rPr>
              <w:t>— ± —</w:t>
            </w:r>
          </w:p>
        </w:tc>
        <w:tc>
          <w:tcPr>
            <w:tcW w:type="dxa" w:w="1336"/>
          </w:tcPr>
          <w:p>
            <w:r>
              <w:rPr>
                <w:sz w:val="18"/>
              </w:rPr>
              <w:t>— [—; —]</w:t>
            </w:r>
          </w:p>
        </w:tc>
        <w:tc>
          <w:tcPr>
            <w:tcW w:type="dxa" w:w="1336"/>
          </w:tcPr>
          <w:p>
            <w:r>
              <w:rPr>
                <w:sz w:val="18"/>
              </w:rPr>
              <w:t>—%</w:t>
            </w:r>
          </w:p>
        </w:tc>
        <w:tc>
          <w:tcPr>
            <w:tcW w:type="dxa" w:w="1336"/>
          </w:tcPr>
          <w:p>
            <w:r>
              <w:rPr>
                <w:sz w:val="18"/>
              </w:rPr>
              <w:t>—%</w:t>
            </w:r>
          </w:p>
        </w:tc>
        <w:tc>
          <w:tcPr>
            <w:tcW w:type="dxa" w:w="1336"/>
          </w:tcPr>
          <w:p>
            <w:r>
              <w:rPr>
                <w:sz w:val="18"/>
              </w:rPr>
              <w:t>—</w:t>
            </w:r>
          </w:p>
        </w:tc>
      </w:tr>
    </w:tbl>
    <w:p/>
    <w:p>
      <w:r>
        <w:rPr>
          <w:i/>
        </w:rPr>
        <w:t>"Hài lòng" theo ngưỡng cố định G1 ≥ 4/5, khóa ở SAP (mục 4.5.2). Điểm tính toán tổng hợp chỉ dùng đối chiếu hội tụ (Bảng 5.5), không phải kết cục chính.</w:t>
      </w:r>
    </w:p>
    <w:p>
      <w:pPr>
        <w:pStyle w:val="Heading3"/>
      </w:pPr>
      <w:r>
        <w:t>Bảng 5.3. Phân tích đơn biến yếu tố liên quan hài lòng (Mục tiêu 2) (n = 1000)</w:t>
      </w:r>
    </w:p>
    <w:tbl>
      <w:tblPr>
        <w:tblStyle w:val="LightGrid-Accent1"/>
        <w:tblW w:type="auto" w:w="0"/>
        <w:tblLook w:firstColumn="1" w:firstRow="1" w:lastColumn="0" w:lastRow="0" w:noHBand="0" w:noVBand="1" w:val="04A0"/>
      </w:tblPr>
      <w:tblGrid>
        <w:gridCol w:w="1871"/>
        <w:gridCol w:w="1871"/>
        <w:gridCol w:w="1871"/>
        <w:gridCol w:w="1871"/>
        <w:gridCol w:w="1871"/>
      </w:tblGrid>
      <w:tr>
        <w:tc>
          <w:tcPr>
            <w:tcW w:type="dxa" w:w="1871"/>
          </w:tcPr>
          <w:p>
            <w:r>
              <w:rPr>
                <w:b/>
                <w:sz w:val="18"/>
              </w:rPr>
              <w:t>Yếu tố</w:t>
            </w:r>
          </w:p>
        </w:tc>
        <w:tc>
          <w:tcPr>
            <w:tcW w:type="dxa" w:w="1871"/>
          </w:tcPr>
          <w:p>
            <w:r>
              <w:rPr>
                <w:b/>
                <w:sz w:val="18"/>
              </w:rPr>
              <w:t>Phân nhóm</w:t>
            </w:r>
          </w:p>
        </w:tc>
        <w:tc>
          <w:tcPr>
            <w:tcW w:type="dxa" w:w="1871"/>
          </w:tcPr>
          <w:p>
            <w:r>
              <w:rPr>
                <w:b/>
                <w:sz w:val="18"/>
              </w:rPr>
              <w:t>G1 TB ± SD (hoặc tỷ lệ ≥4/5 %, KTC 95%)</w:t>
            </w:r>
          </w:p>
        </w:tc>
        <w:tc>
          <w:tcPr>
            <w:tcW w:type="dxa" w:w="1871"/>
          </w:tcPr>
          <w:p>
            <w:r>
              <w:rPr>
                <w:b/>
                <w:sz w:val="18"/>
              </w:rPr>
              <w:t>Hiệu ứng thô (β hoặc OR, KTC 95%)</w:t>
            </w:r>
          </w:p>
        </w:tc>
        <w:tc>
          <w:tcPr>
            <w:tcW w:type="dxa" w:w="1871"/>
          </w:tcPr>
          <w:p>
            <w:r>
              <w:rPr>
                <w:b/>
                <w:sz w:val="18"/>
              </w:rPr>
              <w:t>p</w:t>
            </w:r>
          </w:p>
        </w:tc>
      </w:tr>
      <w:tr>
        <w:tc>
          <w:tcPr>
            <w:tcW w:type="dxa" w:w="1871"/>
          </w:tcPr>
          <w:p>
            <w:r>
              <w:rPr>
                <w:sz w:val="18"/>
              </w:rPr>
              <w:t>Nhóm tuổi</w:t>
            </w:r>
          </w:p>
        </w:tc>
        <w:tc>
          <w:tcPr>
            <w:tcW w:type="dxa" w:w="1871"/>
          </w:tcPr>
          <w:p>
            <w:r>
              <w:rPr>
                <w:sz w:val="18"/>
              </w:rPr>
              <w:t>[nhóm]</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Giới</w:t>
            </w:r>
          </w:p>
        </w:tc>
        <w:tc>
          <w:tcPr>
            <w:tcW w:type="dxa" w:w="1871"/>
          </w:tcPr>
          <w:p>
            <w:r>
              <w:rPr>
                <w:sz w:val="18"/>
              </w:rPr>
              <w:t>Nam / Nữ</w:t>
            </w:r>
          </w:p>
        </w:tc>
        <w:tc>
          <w:tcPr>
            <w:tcW w:type="dxa" w:w="1871"/>
          </w:tcPr>
          <w:p>
            <w:r>
              <w:rPr>
                <w:sz w:val="18"/>
              </w:rPr>
              <w:t>—</w:t>
            </w:r>
          </w:p>
        </w:tc>
        <w:tc>
          <w:tcPr>
            <w:tcW w:type="dxa" w:w="1871"/>
          </w:tcPr>
          <w:p>
            <w:r>
              <w:rPr>
                <w:sz w:val="18"/>
              </w:rPr>
              <w:t>— (—; —) [ref]</w:t>
            </w:r>
          </w:p>
        </w:tc>
        <w:tc>
          <w:tcPr>
            <w:tcW w:type="dxa" w:w="1871"/>
          </w:tcPr>
          <w:p>
            <w:r>
              <w:rPr>
                <w:sz w:val="18"/>
              </w:rPr>
              <w:t>0,00X</w:t>
            </w:r>
          </w:p>
        </w:tc>
      </w:tr>
      <w:tr>
        <w:tc>
          <w:tcPr>
            <w:tcW w:type="dxa" w:w="1871"/>
          </w:tcPr>
          <w:p>
            <w:r>
              <w:rPr>
                <w:sz w:val="18"/>
              </w:rPr>
              <w:t>Học vấn</w:t>
            </w:r>
          </w:p>
        </w:tc>
        <w:tc>
          <w:tcPr>
            <w:tcW w:type="dxa" w:w="1871"/>
          </w:tcPr>
          <w:p>
            <w:r>
              <w:rPr>
                <w:sz w:val="18"/>
              </w:rPr>
              <w:t>[nhóm]</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Nơi cư trú</w:t>
            </w:r>
          </w:p>
        </w:tc>
        <w:tc>
          <w:tcPr>
            <w:tcW w:type="dxa" w:w="1871"/>
          </w:tcPr>
          <w:p>
            <w:r>
              <w:rPr>
                <w:sz w:val="18"/>
              </w:rPr>
              <w:t>Thành thị / Nông thôn</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Khoảng cách nhà–viện</w:t>
            </w:r>
          </w:p>
        </w:tc>
        <w:tc>
          <w:tcPr>
            <w:tcW w:type="dxa" w:w="1871"/>
          </w:tcPr>
          <w:p>
            <w:r>
              <w:rPr>
                <w:sz w:val="18"/>
              </w:rPr>
              <w:t>[nhóm]</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Có thẻ BHYT</w:t>
            </w:r>
          </w:p>
        </w:tc>
        <w:tc>
          <w:tcPr>
            <w:tcW w:type="dxa" w:w="1871"/>
          </w:tcPr>
          <w:p>
            <w:r>
              <w:rPr>
                <w:sz w:val="18"/>
              </w:rPr>
              <w:t>Có / Không</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Lý do khám</w:t>
            </w:r>
          </w:p>
        </w:tc>
        <w:tc>
          <w:tcPr>
            <w:tcW w:type="dxa" w:w="1871"/>
          </w:tcPr>
          <w:p>
            <w:r>
              <w:rPr>
                <w:sz w:val="18"/>
              </w:rPr>
              <w:t>[nhóm]</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Thời gian chờ</w:t>
            </w:r>
          </w:p>
        </w:tc>
        <w:tc>
          <w:tcPr>
            <w:tcW w:type="dxa" w:w="1871"/>
          </w:tcPr>
          <w:p>
            <w:r>
              <w:rPr>
                <w:sz w:val="18"/>
              </w:rPr>
              <w:t>(liên tục /15 phút)</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Chuyên khoa</w:t>
            </w:r>
          </w:p>
        </w:tc>
        <w:tc>
          <w:tcPr>
            <w:tcW w:type="dxa" w:w="1871"/>
          </w:tcPr>
          <w:p>
            <w:r>
              <w:rPr>
                <w:sz w:val="18"/>
              </w:rPr>
              <w:t>[danh mục]</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Khung giờ khám</w:t>
            </w:r>
          </w:p>
        </w:tc>
        <w:tc>
          <w:tcPr>
            <w:tcW w:type="dxa" w:w="1871"/>
          </w:tcPr>
          <w:p>
            <w:r>
              <w:rPr>
                <w:sz w:val="18"/>
              </w:rPr>
              <w:t>[nhóm]</w:t>
            </w:r>
          </w:p>
        </w:tc>
        <w:tc>
          <w:tcPr>
            <w:tcW w:type="dxa" w:w="1871"/>
          </w:tcPr>
          <w:p>
            <w:r>
              <w:rPr>
                <w:sz w:val="18"/>
              </w:rPr>
              <w:t>—</w:t>
            </w:r>
          </w:p>
        </w:tc>
        <w:tc>
          <w:tcPr>
            <w:tcW w:type="dxa" w:w="1871"/>
          </w:tcPr>
          <w:p>
            <w:r>
              <w:rPr>
                <w:sz w:val="18"/>
              </w:rPr>
              <w:t>— (—; —)</w:t>
            </w:r>
          </w:p>
        </w:tc>
        <w:tc>
          <w:tcPr>
            <w:tcW w:type="dxa" w:w="1871"/>
          </w:tcPr>
          <w:p>
            <w:r>
              <w:rPr>
                <w:sz w:val="18"/>
              </w:rPr>
              <w:t>0,00X</w:t>
            </w:r>
          </w:p>
        </w:tc>
      </w:tr>
      <w:tr>
        <w:tc>
          <w:tcPr>
            <w:tcW w:type="dxa" w:w="1871"/>
          </w:tcPr>
          <w:p>
            <w:r>
              <w:rPr>
                <w:sz w:val="18"/>
              </w:rPr>
              <w:t>Ngày trong tuần</w:t>
            </w:r>
          </w:p>
        </w:tc>
        <w:tc>
          <w:tcPr>
            <w:tcW w:type="dxa" w:w="1871"/>
          </w:tcPr>
          <w:p>
            <w:r>
              <w:rPr>
                <w:sz w:val="18"/>
              </w:rPr>
              <w:t>[nhóm]</w:t>
            </w:r>
          </w:p>
        </w:tc>
        <w:tc>
          <w:tcPr>
            <w:tcW w:type="dxa" w:w="1871"/>
          </w:tcPr>
          <w:p>
            <w:r>
              <w:rPr>
                <w:sz w:val="18"/>
              </w:rPr>
              <w:t>—</w:t>
            </w:r>
          </w:p>
        </w:tc>
        <w:tc>
          <w:tcPr>
            <w:tcW w:type="dxa" w:w="1871"/>
          </w:tcPr>
          <w:p>
            <w:r>
              <w:rPr>
                <w:sz w:val="18"/>
              </w:rPr>
              <w:t>— (—; —)</w:t>
            </w:r>
          </w:p>
        </w:tc>
        <w:tc>
          <w:tcPr>
            <w:tcW w:type="dxa" w:w="1871"/>
          </w:tcPr>
          <w:p>
            <w:r>
              <w:rPr>
                <w:sz w:val="18"/>
              </w:rPr>
              <w:t>0,00X</w:t>
            </w:r>
          </w:p>
        </w:tc>
      </w:tr>
    </w:tbl>
    <w:p/>
    <w:p>
      <w:r>
        <w:rPr>
          <w:i/>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 luôn kèm hiệu ứng + KTC 95%. Bảng đơn biến không áp hiệu chỉnh đa so sánh (FDR/Holm) — không phải nơi kết luận khoa học chính (mục 4.10); kết luận dựa vào mô hình đa biến chính, effect size và KTC 95%.</w:t>
      </w:r>
    </w:p>
    <w:p>
      <w:pPr>
        <w:pStyle w:val="Heading3"/>
      </w:pPr>
      <w:r>
        <w:t>Bảng 5.4. Mô hình đa biến CHÍNH — hồi quy logistic thứ tự (proportional odds) yếu tố liên quan hài lòng chung G1 (Mục tiêu 2) (n = 1000)</w:t>
      </w:r>
    </w:p>
    <w:tbl>
      <w:tblPr>
        <w:tblStyle w:val="LightGrid-Accent1"/>
        <w:tblW w:type="auto" w:w="0"/>
        <w:tblLook w:firstColumn="1" w:firstRow="1" w:lastColumn="0" w:lastRow="0" w:noHBand="0" w:noVBand="1" w:val="04A0"/>
      </w:tblPr>
      <w:tblGrid>
        <w:gridCol w:w="1871"/>
        <w:gridCol w:w="1871"/>
        <w:gridCol w:w="1871"/>
        <w:gridCol w:w="1871"/>
        <w:gridCol w:w="1871"/>
      </w:tblGrid>
      <w:tr>
        <w:tc>
          <w:tcPr>
            <w:tcW w:type="dxa" w:w="1871"/>
          </w:tcPr>
          <w:p>
            <w:r>
              <w:rPr>
                <w:b/>
                <w:sz w:val="18"/>
              </w:rPr>
              <w:t>Biến độc lập (đã khóa)</w:t>
            </w:r>
          </w:p>
        </w:tc>
        <w:tc>
          <w:tcPr>
            <w:tcW w:type="dxa" w:w="1871"/>
          </w:tcPr>
          <w:p>
            <w:r>
              <w:rPr>
                <w:b/>
                <w:sz w:val="18"/>
              </w:rPr>
              <w:t>Phân nhóm (ref)</w:t>
            </w:r>
          </w:p>
        </w:tc>
        <w:tc>
          <w:tcPr>
            <w:tcW w:type="dxa" w:w="1871"/>
          </w:tcPr>
          <w:p>
            <w:r>
              <w:rPr>
                <w:b/>
                <w:sz w:val="18"/>
              </w:rPr>
              <w:t>cOR (tỷ số chênh chung hiệu chỉnh)</w:t>
            </w:r>
          </w:p>
        </w:tc>
        <w:tc>
          <w:tcPr>
            <w:tcW w:type="dxa" w:w="1871"/>
          </w:tcPr>
          <w:p>
            <w:r>
              <w:rPr>
                <w:b/>
                <w:sz w:val="18"/>
              </w:rPr>
              <w:t>KTC 95%</w:t>
            </w:r>
          </w:p>
        </w:tc>
        <w:tc>
          <w:tcPr>
            <w:tcW w:type="dxa" w:w="1871"/>
          </w:tcPr>
          <w:p>
            <w:r>
              <w:rPr>
                <w:b/>
                <w:sz w:val="18"/>
              </w:rPr>
              <w:t>p</w:t>
            </w:r>
          </w:p>
        </w:tc>
      </w:tr>
      <w:tr>
        <w:tc>
          <w:tcPr>
            <w:tcW w:type="dxa" w:w="1871"/>
          </w:tcPr>
          <w:p>
            <w:r>
              <w:rPr>
                <w:sz w:val="18"/>
              </w:rPr>
              <w:t>Tuổi</w:t>
            </w:r>
          </w:p>
        </w:tc>
        <w:tc>
          <w:tcPr>
            <w:tcW w:type="dxa" w:w="1871"/>
          </w:tcPr>
          <w:p>
            <w:r>
              <w:rPr>
                <w:sz w:val="18"/>
              </w:rPr>
              <w:t>liên tục</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Giới</w:t>
            </w:r>
          </w:p>
        </w:tc>
        <w:tc>
          <w:tcPr>
            <w:tcW w:type="dxa" w:w="1871"/>
          </w:tcPr>
          <w:p>
            <w:r>
              <w:rPr>
                <w:sz w:val="18"/>
              </w:rPr>
              <w:t>[ref]</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Thời gian chờ</w:t>
            </w:r>
          </w:p>
        </w:tc>
        <w:tc>
          <w:tcPr>
            <w:tcW w:type="dxa" w:w="1871"/>
          </w:tcPr>
          <w:p>
            <w:r>
              <w:rPr>
                <w:sz w:val="18"/>
              </w:rPr>
              <w:t>/15 phút</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Nơi cư trú</w:t>
            </w:r>
          </w:p>
        </w:tc>
        <w:tc>
          <w:tcPr>
            <w:tcW w:type="dxa" w:w="1871"/>
          </w:tcPr>
          <w:p>
            <w:r>
              <w:rPr>
                <w:sz w:val="18"/>
              </w:rPr>
              <w:t>Nông thôn (ref: thành thị)</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Có thẻ BHYT</w:t>
            </w:r>
          </w:p>
        </w:tc>
        <w:tc>
          <w:tcPr>
            <w:tcW w:type="dxa" w:w="1871"/>
          </w:tcPr>
          <w:p>
            <w:r>
              <w:rPr>
                <w:sz w:val="18"/>
              </w:rPr>
              <w:t>Không (ref: Có)</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Lý do khám</w:t>
            </w:r>
          </w:p>
        </w:tc>
        <w:tc>
          <w:tcPr>
            <w:tcW w:type="dxa" w:w="1871"/>
          </w:tcPr>
          <w:p>
            <w:r>
              <w:rPr>
                <w:sz w:val="18"/>
              </w:rPr>
              <w:t>[nhóm]</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Chuyên khoa</w:t>
            </w:r>
          </w:p>
        </w:tc>
        <w:tc>
          <w:tcPr>
            <w:tcW w:type="dxa" w:w="1871"/>
          </w:tcPr>
          <w:p>
            <w:r>
              <w:rPr>
                <w:sz w:val="18"/>
              </w:rPr>
              <w:t>[nhóm]</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Khung giờ khám</w:t>
            </w:r>
          </w:p>
        </w:tc>
        <w:tc>
          <w:tcPr>
            <w:tcW w:type="dxa" w:w="1871"/>
          </w:tcPr>
          <w:p>
            <w:r>
              <w:rPr>
                <w:sz w:val="18"/>
              </w:rPr>
              <w:t>[nhóm]</w:t>
            </w:r>
          </w:p>
        </w:tc>
        <w:tc>
          <w:tcPr>
            <w:tcW w:type="dxa" w:w="1871"/>
          </w:tcPr>
          <w:p>
            <w:r>
              <w:rPr>
                <w:sz w:val="18"/>
              </w:rPr>
              <w:t>—</w:t>
            </w:r>
          </w:p>
        </w:tc>
        <w:tc>
          <w:tcPr>
            <w:tcW w:type="dxa" w:w="1871"/>
          </w:tcPr>
          <w:p>
            <w:r>
              <w:rPr>
                <w:sz w:val="18"/>
              </w:rPr>
              <w:t>(—; —)</w:t>
            </w:r>
          </w:p>
        </w:tc>
        <w:tc>
          <w:tcPr>
            <w:tcW w:type="dxa" w:w="1871"/>
          </w:tcPr>
          <w:p>
            <w:r>
              <w:rPr>
                <w:sz w:val="18"/>
              </w:rPr>
              <w:t>0,00X</w:t>
            </w:r>
          </w:p>
        </w:tc>
      </w:tr>
      <w:tr>
        <w:tc>
          <w:tcPr>
            <w:tcW w:type="dxa" w:w="1871"/>
          </w:tcPr>
          <w:p>
            <w:r>
              <w:rPr>
                <w:sz w:val="18"/>
              </w:rPr>
              <w:t>Ngày trong tuần</w:t>
            </w:r>
          </w:p>
        </w:tc>
        <w:tc>
          <w:tcPr>
            <w:tcW w:type="dxa" w:w="1871"/>
          </w:tcPr>
          <w:p>
            <w:r>
              <w:rPr>
                <w:sz w:val="18"/>
              </w:rPr>
              <w:t>[nhóm]</w:t>
            </w:r>
          </w:p>
        </w:tc>
        <w:tc>
          <w:tcPr>
            <w:tcW w:type="dxa" w:w="1871"/>
          </w:tcPr>
          <w:p>
            <w:r>
              <w:rPr>
                <w:sz w:val="18"/>
              </w:rPr>
              <w:t>—</w:t>
            </w:r>
          </w:p>
        </w:tc>
        <w:tc>
          <w:tcPr>
            <w:tcW w:type="dxa" w:w="1871"/>
          </w:tcPr>
          <w:p>
            <w:r>
              <w:rPr>
                <w:sz w:val="18"/>
              </w:rPr>
              <w:t>(—; —)</w:t>
            </w:r>
          </w:p>
        </w:tc>
        <w:tc>
          <w:tcPr>
            <w:tcW w:type="dxa" w:w="1871"/>
          </w:tcPr>
          <w:p>
            <w:r>
              <w:rPr>
                <w:sz w:val="18"/>
              </w:rPr>
              <w:t>0,00X</w:t>
            </w:r>
          </w:p>
        </w:tc>
      </w:tr>
    </w:tbl>
    <w:p/>
    <w:p>
      <w:r>
        <w:rPr>
          <w:i/>
        </w:rPr>
        <w:t>Kết cục = G1, thứ hạng 1–5 (mục 4.5.2). Kiểm định proportional odds: [Brant χ² = —, p = — / thỏa mãn hay vi phạm]; nếu vi phạm, bảng thay bằng hệ số partial proportional odds theo từng ranh giới cắt cho biến vi phạm.[20]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pStyle w:val="Heading3"/>
      </w:pPr>
      <w:r>
        <w:t>Bảng 5.4b (phân tích thứ cấp/mô tả — kết cục nhị phân SHLNBChung_NhiPhan, từ G1 ≥4/5, CHỈ thực hiện nếu đủ điều kiện kích hoạt). Đa biến hồi quy logistic</w:t>
      </w:r>
    </w:p>
    <w:p>
      <w:pPr>
        <w:ind w:left="425"/>
      </w:pPr>
      <w:r>
        <w:rPr>
          <w:b/>
          <w:i/>
          <w:color w:val="444444"/>
        </w:rPr>
        <w:t>Điều kiện kích hoạt:</w:t>
      </w:r>
      <w:r>
        <w:rPr>
          <w:i/>
          <w:color w:val="444444"/>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Biến độc lập</w:t>
            </w:r>
          </w:p>
        </w:tc>
        <w:tc>
          <w:tcPr>
            <w:tcW w:type="dxa" w:w="2339"/>
          </w:tcPr>
          <w:p>
            <w:r>
              <w:rPr>
                <w:b/>
                <w:sz w:val="18"/>
              </w:rPr>
              <w:t>aOR</w:t>
            </w:r>
          </w:p>
        </w:tc>
        <w:tc>
          <w:tcPr>
            <w:tcW w:type="dxa" w:w="2339"/>
          </w:tcPr>
          <w:p>
            <w:r>
              <w:rPr>
                <w:b/>
                <w:sz w:val="18"/>
              </w:rPr>
              <w:t>KTC 95%</w:t>
            </w:r>
          </w:p>
        </w:tc>
        <w:tc>
          <w:tcPr>
            <w:tcW w:type="dxa" w:w="2339"/>
          </w:tcPr>
          <w:p>
            <w:r>
              <w:rPr>
                <w:b/>
                <w:sz w:val="18"/>
              </w:rPr>
              <w:t>p</w:t>
            </w:r>
          </w:p>
        </w:tc>
      </w:tr>
      <w:tr>
        <w:tc>
          <w:tcPr>
            <w:tcW w:type="dxa" w:w="2339"/>
          </w:tcPr>
          <w:p>
            <w:r>
              <w:rPr>
                <w:sz w:val="18"/>
              </w:rPr>
              <w:t>[từng biến]</w:t>
            </w:r>
          </w:p>
        </w:tc>
        <w:tc>
          <w:tcPr>
            <w:tcW w:type="dxa" w:w="2339"/>
          </w:tcPr>
          <w:p>
            <w:r>
              <w:rPr>
                <w:sz w:val="18"/>
              </w:rPr>
              <w:t>—</w:t>
            </w:r>
          </w:p>
        </w:tc>
        <w:tc>
          <w:tcPr>
            <w:tcW w:type="dxa" w:w="2339"/>
          </w:tcPr>
          <w:p>
            <w:r>
              <w:rPr>
                <w:sz w:val="18"/>
              </w:rPr>
              <w:t>(—; —)</w:t>
            </w:r>
          </w:p>
        </w:tc>
        <w:tc>
          <w:tcPr>
            <w:tcW w:type="dxa" w:w="2339"/>
          </w:tcPr>
          <w:p>
            <w:r>
              <w:rPr>
                <w:sz w:val="18"/>
              </w:rPr>
              <w:t>0,00X</w:t>
            </w:r>
          </w:p>
        </w:tc>
      </w:tr>
    </w:tbl>
    <w:p/>
    <w:p>
      <w:r>
        <w:rPr>
          <w:i/>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pStyle w:val="Heading3"/>
      </w:pPr>
      <w:r>
        <w:t>Bảng 5.5. Phân tích nhạy cảm (tóm tắt độ vững) (n = 1000)</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Kịch bản nhạy cảm</w:t>
            </w:r>
          </w:p>
        </w:tc>
        <w:tc>
          <w:tcPr>
            <w:tcW w:type="dxa" w:w="2339"/>
          </w:tcPr>
          <w:p>
            <w:r>
              <w:rPr>
                <w:b/>
                <w:sz w:val="18"/>
              </w:rPr>
              <w:t>Hiệu ứng (cOR/β/aOR/r)</w:t>
            </w:r>
          </w:p>
        </w:tc>
        <w:tc>
          <w:tcPr>
            <w:tcW w:type="dxa" w:w="2339"/>
          </w:tcPr>
          <w:p>
            <w:r>
              <w:rPr>
                <w:b/>
                <w:sz w:val="18"/>
              </w:rPr>
              <w:t>KTC 95%</w:t>
            </w:r>
          </w:p>
        </w:tc>
        <w:tc>
          <w:tcPr>
            <w:tcW w:type="dxa" w:w="2339"/>
          </w:tcPr>
          <w:p>
            <w:r>
              <w:rPr>
                <w:b/>
                <w:sz w:val="18"/>
              </w:rPr>
              <w:t>Kết luận độ vững</w:t>
            </w:r>
          </w:p>
        </w:tc>
      </w:tr>
      <w:tr>
        <w:tc>
          <w:tcPr>
            <w:tcW w:type="dxa" w:w="2339"/>
          </w:tcPr>
          <w:p>
            <w:r>
              <w:rPr>
                <w:sz w:val="18"/>
              </w:rPr>
              <w:t>Hồi quy tuyến tính robust HC3 (G1 coi liên tục, complete-case)</w:t>
            </w:r>
          </w:p>
        </w:tc>
        <w:tc>
          <w:tcPr>
            <w:tcW w:type="dxa" w:w="2339"/>
          </w:tcPr>
          <w:p>
            <w:r>
              <w:rPr>
                <w:sz w:val="18"/>
              </w:rPr>
              <w:t>β = —</w:t>
            </w:r>
          </w:p>
        </w:tc>
        <w:tc>
          <w:tcPr>
            <w:tcW w:type="dxa" w:w="2339"/>
          </w:tcPr>
          <w:p>
            <w:r>
              <w:rPr>
                <w:sz w:val="18"/>
              </w:rPr>
              <w:t>(—; —)</w:t>
            </w:r>
          </w:p>
        </w:tc>
        <w:tc>
          <w:tcPr>
            <w:tcW w:type="dxa" w:w="2339"/>
          </w:tcPr>
          <w:p>
            <w:r>
              <w:rPr>
                <w:sz w:val="18"/>
              </w:rPr>
              <w:t>So sánh chiều/độ lớn hiệu ứng với mô hình chính (Bảng 5.4)</w:t>
            </w:r>
          </w:p>
        </w:tc>
      </w:tr>
      <w:tr>
        <w:tc>
          <w:tcPr>
            <w:tcW w:type="dxa" w:w="2339"/>
          </w:tcPr>
          <w:p>
            <w:r>
              <w:rPr>
                <w:sz w:val="18"/>
              </w:rPr>
              <w:t>Đa trọng imputation (MICE ordinal logistic, m = —; biến nền/phơi nhiễm)</w:t>
            </w:r>
          </w:p>
        </w:tc>
        <w:tc>
          <w:tcPr>
            <w:tcW w:type="dxa" w:w="2339"/>
          </w:tcPr>
          <w:p>
            <w:r>
              <w:rPr>
                <w:sz w:val="18"/>
              </w:rPr>
              <w:t>cOR = —</w:t>
            </w:r>
          </w:p>
        </w:tc>
        <w:tc>
          <w:tcPr>
            <w:tcW w:type="dxa" w:w="2339"/>
          </w:tcPr>
          <w:p>
            <w:r>
              <w:rPr>
                <w:sz w:val="18"/>
              </w:rPr>
              <w:t>(—; —)</w:t>
            </w:r>
          </w:p>
        </w:tc>
        <w:tc>
          <w:tcPr>
            <w:tcW w:type="dxa" w:w="2339"/>
          </w:tcPr>
          <w:p>
            <w:r>
              <w:rPr>
                <w:sz w:val="18"/>
              </w:rPr>
              <w:t>—</w:t>
            </w:r>
          </w:p>
        </w:tc>
      </w:tr>
      <w:tr>
        <w:tc>
          <w:tcPr>
            <w:tcW w:type="dxa" w:w="2339"/>
          </w:tcPr>
          <w:p>
            <w:r>
              <w:rPr>
                <w:sz w:val="18"/>
              </w:rPr>
              <w:t>Partial proportional odds/generalized ordered logit (chỉ nếu Bảng 5.4 vi phạm proportional odds)</w:t>
            </w:r>
          </w:p>
        </w:tc>
        <w:tc>
          <w:tcPr>
            <w:tcW w:type="dxa" w:w="2339"/>
          </w:tcPr>
          <w:p>
            <w:r>
              <w:rPr>
                <w:sz w:val="18"/>
              </w:rPr>
              <w:t>hệ số theo ranh giới cắt</w:t>
            </w:r>
          </w:p>
        </w:tc>
        <w:tc>
          <w:tcPr>
            <w:tcW w:type="dxa" w:w="2339"/>
          </w:tcPr>
          <w:p>
            <w:r>
              <w:rPr>
                <w:sz w:val="18"/>
              </w:rPr>
              <w:t>(—; —)</w:t>
            </w:r>
          </w:p>
        </w:tc>
        <w:tc>
          <w:tcPr>
            <w:tcW w:type="dxa" w:w="2339"/>
          </w:tcPr>
          <w:p>
            <w:r>
              <w:rPr>
                <w:sz w:val="18"/>
              </w:rPr>
              <w:t>—</w:t>
            </w:r>
          </w:p>
        </w:tc>
      </w:tr>
      <w:tr>
        <w:tc>
          <w:tcPr>
            <w:tcW w:type="dxa" w:w="2339"/>
          </w:tcPr>
          <w:p>
            <w:r>
              <w:rPr>
                <w:sz w:val="18"/>
              </w:rPr>
              <w:t>Kết cục nhị phân ≥4/5 (logistic nhị phân thứ cấp, nếu đủ điều kiện kích hoạt)</w:t>
            </w:r>
          </w:p>
        </w:tc>
        <w:tc>
          <w:tcPr>
            <w:tcW w:type="dxa" w:w="2339"/>
          </w:tcPr>
          <w:p>
            <w:r>
              <w:rPr>
                <w:sz w:val="18"/>
              </w:rPr>
              <w:t>aOR = —</w:t>
            </w:r>
          </w:p>
        </w:tc>
        <w:tc>
          <w:tcPr>
            <w:tcW w:type="dxa" w:w="2339"/>
          </w:tcPr>
          <w:p>
            <w:r>
              <w:rPr>
                <w:sz w:val="18"/>
              </w:rPr>
              <w:t>(—; —)</w:t>
            </w:r>
          </w:p>
        </w:tc>
        <w:tc>
          <w:tcPr>
            <w:tcW w:type="dxa" w:w="2339"/>
          </w:tcPr>
          <w:p>
            <w:r>
              <w:rPr>
                <w:sz w:val="18"/>
              </w:rPr>
              <w:t>—</w:t>
            </w:r>
          </w:p>
        </w:tc>
      </w:tr>
      <w:tr>
        <w:tc>
          <w:tcPr>
            <w:tcW w:type="dxa" w:w="2339"/>
          </w:tcPr>
          <w:p>
            <w:r>
              <w:rPr>
                <w:sz w:val="18"/>
              </w:rPr>
              <w:t>Logistic Firth (nếu separation ở kết cục nhị phân thứ cấp)</w:t>
            </w:r>
          </w:p>
        </w:tc>
        <w:tc>
          <w:tcPr>
            <w:tcW w:type="dxa" w:w="2339"/>
          </w:tcPr>
          <w:p>
            <w:r>
              <w:rPr>
                <w:sz w:val="18"/>
              </w:rPr>
              <w:t>aOR = —</w:t>
            </w:r>
          </w:p>
        </w:tc>
        <w:tc>
          <w:tcPr>
            <w:tcW w:type="dxa" w:w="2339"/>
          </w:tcPr>
          <w:p>
            <w:r>
              <w:rPr>
                <w:sz w:val="18"/>
              </w:rPr>
              <w:t>(—; —)</w:t>
            </w:r>
          </w:p>
        </w:tc>
        <w:tc>
          <w:tcPr>
            <w:tcW w:type="dxa" w:w="2339"/>
          </w:tcPr>
          <w:p>
            <w:r>
              <w:rPr>
                <w:sz w:val="18"/>
              </w:rPr>
              <w:t>—</w:t>
            </w:r>
          </w:p>
        </w:tc>
      </w:tr>
      <w:tr>
        <w:tc>
          <w:tcPr>
            <w:tcW w:type="dxa" w:w="2339"/>
          </w:tcPr>
          <w:p>
            <w:r>
              <w:rPr>
                <w:sz w:val="18"/>
              </w:rPr>
              <w:t>Có/không điểm ảnh hưởng lớn</w:t>
            </w:r>
          </w:p>
        </w:tc>
        <w:tc>
          <w:tcPr>
            <w:tcW w:type="dxa" w:w="2339"/>
          </w:tcPr>
          <w:p>
            <w:r>
              <w:rPr>
                <w:sz w:val="18"/>
              </w:rPr>
              <w:t>cOR = —</w:t>
            </w:r>
          </w:p>
        </w:tc>
        <w:tc>
          <w:tcPr>
            <w:tcW w:type="dxa" w:w="2339"/>
          </w:tcPr>
          <w:p>
            <w:r>
              <w:rPr>
                <w:sz w:val="18"/>
              </w:rPr>
              <w:t>(—; —)</w:t>
            </w:r>
          </w:p>
        </w:tc>
        <w:tc>
          <w:tcPr>
            <w:tcW w:type="dxa" w:w="2339"/>
          </w:tcPr>
          <w:p>
            <w:r>
              <w:rPr>
                <w:sz w:val="18"/>
              </w:rPr>
              <w:t>—</w:t>
            </w:r>
          </w:p>
        </w:tc>
      </w:tr>
      <w:tr>
        <w:tc>
          <w:tcPr>
            <w:tcW w:type="dxa" w:w="2339"/>
          </w:tcPr>
          <w:p>
            <w:r>
              <w:rPr>
                <w:sz w:val="18"/>
              </w:rPr>
              <w:t>Loại trừ phiếu có hỗ trợ ghi (mode_tra_loi = 2/3), chỉ giữ tự điền</w:t>
            </w:r>
          </w:p>
        </w:tc>
        <w:tc>
          <w:tcPr>
            <w:tcW w:type="dxa" w:w="2339"/>
          </w:tcPr>
          <w:p>
            <w:r>
              <w:rPr>
                <w:sz w:val="18"/>
              </w:rPr>
              <w:t>cOR = —</w:t>
            </w:r>
          </w:p>
        </w:tc>
        <w:tc>
          <w:tcPr>
            <w:tcW w:type="dxa" w:w="2339"/>
          </w:tcPr>
          <w:p>
            <w:r>
              <w:rPr>
                <w:sz w:val="18"/>
              </w:rPr>
              <w:t>(—; —)</w:t>
            </w:r>
          </w:p>
        </w:tc>
        <w:tc>
          <w:tcPr>
            <w:tcW w:type="dxa" w:w="2339"/>
          </w:tcPr>
          <w:p>
            <w:r>
              <w:rPr>
                <w:sz w:val="18"/>
              </w:rPr>
              <w:t>—</w:t>
            </w:r>
          </w:p>
        </w:tc>
      </w:tr>
      <w:tr>
        <w:tc>
          <w:tcPr>
            <w:tcW w:type="dxa" w:w="2339"/>
          </w:tcPr>
          <w:p>
            <w:r>
              <w:rPr>
                <w:sz w:val="18"/>
              </w:rPr>
              <w:t>Đối chiếu hội tụ: tương quan G1 vs SHLNBChung_TinhToan (r Pearson/Spearman)</w:t>
            </w:r>
          </w:p>
        </w:tc>
        <w:tc>
          <w:tcPr>
            <w:tcW w:type="dxa" w:w="2339"/>
          </w:tcPr>
          <w:p>
            <w:r>
              <w:rPr>
                <w:sz w:val="18"/>
              </w:rPr>
              <w:t>r = —</w:t>
            </w:r>
          </w:p>
        </w:tc>
        <w:tc>
          <w:tcPr>
            <w:tcW w:type="dxa" w:w="2339"/>
          </w:tcPr>
          <w:p>
            <w:r>
              <w:rPr>
                <w:sz w:val="18"/>
              </w:rPr>
              <w:t>(—; —)</w:t>
            </w:r>
          </w:p>
        </w:tc>
        <w:tc>
          <w:tcPr>
            <w:tcW w:type="dxa" w:w="2339"/>
          </w:tcPr>
          <w:p>
            <w:r>
              <w:rPr>
                <w:sz w:val="18"/>
              </w:rPr>
              <w:t>—</w:t>
            </w:r>
          </w:p>
        </w:tc>
      </w:tr>
    </w:tbl>
    <w:p/>
    <w:p>
      <w:pPr>
        <w:pStyle w:val="Heading3"/>
      </w:pPr>
      <w:r>
        <w:t>Sơ đồ luồng tham gia (STROBE flow diagram — dạng bảng/văn bản)</w:t>
      </w:r>
    </w:p>
    <w:p>
      <w:r>
        <w:t>Các bước tuyển chọn được trình bày dưới đây với placeholder số lượng, để cập nhật khi có dữ liệu thực:</w:t>
      </w:r>
    </w:p>
    <w:p>
      <w:pPr>
        <w:pStyle w:val="ListNumber"/>
      </w:pPr>
      <w:r>
        <w:t>Người bệnh được sàng lọc theo dòng khám tại Khoa C1a (n = —)</w:t>
      </w:r>
    </w:p>
    <w:p>
      <w:pPr>
        <w:pStyle w:val="ListNumber"/>
      </w:pPr>
      <w:r>
        <w:t>→ Đủ điều kiện chọn vào theo tiêu chuẩn 4.3.1/4.3.2 (n = —)</w:t>
      </w:r>
    </w:p>
    <w:p>
      <w:pPr>
        <w:pStyle w:val="ListNumber"/>
      </w:pPr>
      <w:r>
        <w:t xml:space="preserve">→ Được chọn theo hệ thống (người thứ </w:t>
      </w:r>
      <w:r>
        <w:rPr>
          <w:i/>
        </w:rPr>
        <w:t>k</w:t>
      </w:r>
      <w:r>
        <w:t>, mục 4.4.2) (n = —)</w:t>
      </w:r>
    </w:p>
    <w:p>
      <w:pPr>
        <w:pStyle w:val="ListNumber"/>
      </w:pPr>
      <w:r>
        <w:t>→ Được mời tham gia (n = —)</w:t>
      </w:r>
    </w:p>
    <w:p>
      <w:pPr>
        <w:pStyle w:val="ListNumber"/>
      </w:pPr>
      <w:r>
        <w:t>→ Từ chối (n = —) / Đồng ý (n = —)</w:t>
      </w:r>
    </w:p>
    <w:p>
      <w:pPr>
        <w:pStyle w:val="ListNumber"/>
      </w:pPr>
      <w:r>
        <w:t>→ Nộp phiếu khảo sát (n = —)</w:t>
      </w:r>
    </w:p>
    <w:p>
      <w:pPr>
        <w:pStyle w:val="ListNumber"/>
      </w:pPr>
      <w:r>
        <w:t>→ Phiếu hợp lệ (PhieuHopLe, đạt ngưỡng ≥ 80% mục/lĩnh vực hợp lệ, mục 4.10) (n = —)</w:t>
      </w:r>
    </w:p>
    <w:p>
      <w:pPr>
        <w:pStyle w:val="ListNumber"/>
      </w:pPr>
      <w:r>
        <w:t>→ Đưa vào phân tích chính (n = —)</w:t>
      </w:r>
    </w:p>
    <w:p>
      <w:pPr>
        <w:pStyle w:val="Heading1"/>
      </w:pPr>
      <w:r>
        <w:t>6. KẾ HOẠCH THỰC HIỆN</w:t>
      </w:r>
    </w:p>
    <w:p>
      <w:pPr>
        <w:pStyle w:val="Heading2"/>
      </w:pPr>
      <w:r>
        <w:t>6.1. Nhân lực và phân công (RACI)</w:t>
      </w:r>
    </w:p>
    <w:p>
      <w:r>
        <w:rPr>
          <w:i/>
        </w:rPr>
        <w:t>Bảng 6.1. Phân công vai trò (R = thực hiện; A = chịu trách nhiệm cuối/duyệt; C = tham vấn; I = được thông báo).</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Vai trò</w:t>
            </w:r>
          </w:p>
        </w:tc>
        <w:tc>
          <w:tcPr>
            <w:tcW w:type="dxa" w:w="2339"/>
          </w:tcPr>
          <w:p>
            <w:r>
              <w:rPr>
                <w:b/>
                <w:sz w:val="18"/>
              </w:rPr>
              <w:t>Nhiệm vụ chính</w:t>
            </w:r>
          </w:p>
        </w:tc>
        <w:tc>
          <w:tcPr>
            <w:tcW w:type="dxa" w:w="2339"/>
          </w:tcPr>
          <w:p>
            <w:r>
              <w:rPr>
                <w:b/>
                <w:sz w:val="18"/>
              </w:rPr>
              <w:t>RACI</w:t>
            </w:r>
          </w:p>
        </w:tc>
        <w:tc>
          <w:tcPr>
            <w:tcW w:type="dxa" w:w="2339"/>
          </w:tcPr>
          <w:p>
            <w:r>
              <w:rPr>
                <w:b/>
                <w:sz w:val="18"/>
              </w:rPr>
              <w:t>Độc lập bắt buộc?</w:t>
            </w:r>
          </w:p>
        </w:tc>
      </w:tr>
      <w:tr>
        <w:tc>
          <w:tcPr>
            <w:tcW w:type="dxa" w:w="2339"/>
          </w:tcPr>
          <w:p>
            <w:r>
              <w:rPr>
                <w:sz w:val="18"/>
              </w:rPr>
              <w:t>Chủ nhiệm đề tài</w:t>
            </w:r>
          </w:p>
        </w:tc>
        <w:tc>
          <w:tcPr>
            <w:tcW w:type="dxa" w:w="2339"/>
          </w:tcPr>
          <w:p>
            <w:r>
              <w:rPr>
                <w:sz w:val="18"/>
              </w:rPr>
              <w:t>Định hướng khoa học; duyệt đề cương; ký hồ sơ đạo đức; duyệt SAP; duyệt kinh phí; nghiệm thu</w:t>
            </w:r>
          </w:p>
        </w:tc>
        <w:tc>
          <w:tcPr>
            <w:tcW w:type="dxa" w:w="2339"/>
          </w:tcPr>
          <w:p>
            <w:r>
              <w:rPr>
                <w:sz w:val="18"/>
              </w:rPr>
              <w:t>A (toàn đề tài)</w:t>
            </w:r>
          </w:p>
        </w:tc>
        <w:tc>
          <w:tcPr>
            <w:tcW w:type="dxa" w:w="2339"/>
          </w:tcPr>
          <w:p>
            <w:r>
              <w:rPr>
                <w:sz w:val="18"/>
              </w:rPr>
              <w:t>—</w:t>
            </w:r>
          </w:p>
        </w:tc>
      </w:tr>
      <w:tr>
        <w:tc>
          <w:tcPr>
            <w:tcW w:type="dxa" w:w="2339"/>
          </w:tcPr>
          <w:p>
            <w:r>
              <w:rPr>
                <w:sz w:val="18"/>
              </w:rPr>
              <w:t>Thư ký/điều phối</w:t>
            </w:r>
          </w:p>
        </w:tc>
        <w:tc>
          <w:tcPr>
            <w:tcW w:type="dxa" w:w="2339"/>
          </w:tcPr>
          <w:p>
            <w:r>
              <w:rPr>
                <w:sz w:val="18"/>
              </w:rPr>
              <w:t>Quản lý tài liệu, lịch, sổ tiến độ; theo dõi mốc; tổng hợp Risk Register</w:t>
            </w:r>
          </w:p>
        </w:tc>
        <w:tc>
          <w:tcPr>
            <w:tcW w:type="dxa" w:w="2339"/>
          </w:tcPr>
          <w:p>
            <w:r>
              <w:rPr>
                <w:sz w:val="18"/>
              </w:rPr>
              <w:t>R điều phối</w:t>
            </w:r>
          </w:p>
        </w:tc>
        <w:tc>
          <w:tcPr>
            <w:tcW w:type="dxa" w:w="2339"/>
          </w:tcPr>
          <w:p>
            <w:r>
              <w:rPr>
                <w:sz w:val="18"/>
              </w:rPr>
              <w:t>Không</w:t>
            </w:r>
          </w:p>
        </w:tc>
      </w:tr>
      <w:tr>
        <w:tc>
          <w:tcPr>
            <w:tcW w:type="dxa" w:w="2339"/>
          </w:tcPr>
          <w:p>
            <w:r>
              <w:rPr>
                <w:sz w:val="18"/>
              </w:rPr>
              <w:t>Điều tra viên phát/thu phiếu</w:t>
            </w:r>
          </w:p>
        </w:tc>
        <w:tc>
          <w:tcPr>
            <w:tcW w:type="dxa" w:w="2339"/>
          </w:tcPr>
          <w:p>
            <w:r>
              <w:rPr>
                <w:sz w:val="18"/>
              </w:rPr>
              <w:t>Mời đối tượng theo bước k; phát phiếu; hỗ trợ đọc trung lập; quản hòm phiếu; ghi sổ nhật ký từ chối</w:t>
            </w:r>
          </w:p>
        </w:tc>
        <w:tc>
          <w:tcPr>
            <w:tcW w:type="dxa" w:w="2339"/>
          </w:tcPr>
          <w:p>
            <w:r>
              <w:rPr>
                <w:sz w:val="18"/>
              </w:rPr>
              <w:t>R thu thập</w:t>
            </w:r>
          </w:p>
        </w:tc>
        <w:tc>
          <w:tcPr>
            <w:tcW w:type="dxa" w:w="2339"/>
          </w:tcPr>
          <w:p>
            <w:r>
              <w:rPr>
                <w:b/>
                <w:sz w:val="18"/>
              </w:rPr>
              <w:t>Có – không thuộc Khoa C1a</w:t>
            </w:r>
          </w:p>
        </w:tc>
      </w:tr>
      <w:tr>
        <w:tc>
          <w:tcPr>
            <w:tcW w:type="dxa" w:w="2339"/>
          </w:tcPr>
          <w:p>
            <w:r>
              <w:rPr>
                <w:sz w:val="18"/>
              </w:rPr>
              <w:t>Người nhập liệu</w:t>
            </w:r>
          </w:p>
        </w:tc>
        <w:tc>
          <w:tcPr>
            <w:tcW w:type="dxa" w:w="2339"/>
          </w:tcPr>
          <w:p>
            <w:r>
              <w:rPr>
                <w:sz w:val="18"/>
              </w:rPr>
              <w:t>Nhập phiếu theo CRF/data dictionary; nhập đôi 100% số phiếu (đã khóa ở DMP, mục 6.5)</w:t>
            </w:r>
          </w:p>
        </w:tc>
        <w:tc>
          <w:tcPr>
            <w:tcW w:type="dxa" w:w="2339"/>
          </w:tcPr>
          <w:p>
            <w:r>
              <w:rPr>
                <w:sz w:val="18"/>
              </w:rPr>
              <w:t>R nhập liệu</w:t>
            </w:r>
          </w:p>
        </w:tc>
        <w:tc>
          <w:tcPr>
            <w:tcW w:type="dxa" w:w="2339"/>
          </w:tcPr>
          <w:p>
            <w:r>
              <w:rPr>
                <w:sz w:val="18"/>
              </w:rPr>
              <w:t>Nên khác điều tra viên</w:t>
            </w:r>
          </w:p>
        </w:tc>
      </w:tr>
      <w:tr>
        <w:tc>
          <w:tcPr>
            <w:tcW w:type="dxa" w:w="2339"/>
          </w:tcPr>
          <w:p>
            <w:r>
              <w:rPr>
                <w:sz w:val="18"/>
              </w:rPr>
              <w:t>Giám sát chất lượng (QC)</w:t>
            </w:r>
          </w:p>
        </w:tc>
        <w:tc>
          <w:tcPr>
            <w:tcW w:type="dxa" w:w="2339"/>
          </w:tcPr>
          <w:p>
            <w:r>
              <w:rPr>
                <w:sz w:val="18"/>
              </w:rPr>
              <w:t>Kiểm tra ngẫu nhiên phiếu/nhập liệu; giám sát tuân thủ chọn mẫu; đối chiếu tỷ lệ đáp ứng</w:t>
            </w:r>
          </w:p>
        </w:tc>
        <w:tc>
          <w:tcPr>
            <w:tcW w:type="dxa" w:w="2339"/>
          </w:tcPr>
          <w:p>
            <w:r>
              <w:rPr>
                <w:sz w:val="18"/>
              </w:rPr>
              <w:t>R QC</w:t>
            </w:r>
          </w:p>
        </w:tc>
        <w:tc>
          <w:tcPr>
            <w:tcW w:type="dxa" w:w="2339"/>
          </w:tcPr>
          <w:p>
            <w:r>
              <w:rPr>
                <w:sz w:val="18"/>
              </w:rPr>
              <w:t>Nên độc lập với điều tra viên</w:t>
            </w:r>
          </w:p>
        </w:tc>
      </w:tr>
      <w:tr>
        <w:tc>
          <w:tcPr>
            <w:tcW w:type="dxa" w:w="2339"/>
          </w:tcPr>
          <w:p>
            <w:r>
              <w:rPr>
                <w:sz w:val="18"/>
              </w:rPr>
              <w:t>Nhà thống kê/phân tích</w:t>
            </w:r>
          </w:p>
        </w:tc>
        <w:tc>
          <w:tcPr>
            <w:tcW w:type="dxa" w:w="2339"/>
          </w:tcPr>
          <w:p>
            <w:r>
              <w:rPr>
                <w:sz w:val="18"/>
              </w:rPr>
              <w:t>Góp ý cỡ mẫu; viết và khóa SAP; phân tích mô tả + hồi quy</w:t>
            </w:r>
          </w:p>
        </w:tc>
        <w:tc>
          <w:tcPr>
            <w:tcW w:type="dxa" w:w="2339"/>
          </w:tcPr>
          <w:p>
            <w:r>
              <w:rPr>
                <w:sz w:val="18"/>
              </w:rPr>
              <w:t>R phân tích; A về tính đúng thống kê</w:t>
            </w:r>
          </w:p>
        </w:tc>
        <w:tc>
          <w:tcPr>
            <w:tcW w:type="dxa" w:w="2339"/>
          </w:tcPr>
          <w:p>
            <w:r>
              <w:rPr>
                <w:b/>
                <w:sz w:val="18"/>
              </w:rPr>
              <w:t>Khuyến nghị độc lập</w:t>
            </w:r>
            <w:r>
              <w:rPr>
                <w:sz w:val="18"/>
              </w:rPr>
              <w:t xml:space="preserve"> với người thu thập</w:t>
            </w:r>
          </w:p>
        </w:tc>
      </w:tr>
    </w:tbl>
    <w:p/>
    <w:p>
      <w:r>
        <w:t xml:space="preserve">Số nhân lực thực tế mỗi vai trò được ấn định theo cỡ mẫu và lưu lượng khám. Điều tra viên độc lập ngoài khoa và nhà thống kê độc lập là </w:t>
      </w:r>
      <w:r>
        <w:rPr>
          <w:b/>
        </w:rPr>
        <w:t>yêu cầu kiểm soát sai lệch</w:t>
      </w:r>
      <w:r>
        <w:t>, không chỉ là phân công hành chính.</w:t>
      </w:r>
    </w:p>
    <w:p>
      <w:pPr>
        <w:pStyle w:val="Heading2"/>
      </w:pPr>
      <w:r>
        <w:t>6.2. Tiến độ</w:t>
      </w:r>
    </w:p>
    <w:p>
      <w:r>
        <w:t xml:space="preserve">Quy ước mốc: </w:t>
      </w:r>
      <w:r>
        <w:rPr>
          <w:b/>
        </w:rPr>
        <w:t>T0 = ngày Hội đồng Đạo đức/lãnh đạo BVQY 175 phê duyệt.</w:t>
      </w:r>
      <w:r>
        <w:t xml:space="preserve"> Đăng ký nghiên cứu công khai phải hoàn tất </w:t>
      </w:r>
      <w:r>
        <w:rPr>
          <w:b/>
        </w:rPr>
        <w:t>trước</w:t>
      </w:r>
      <w: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r>
        <w:rPr>
          <w:i/>
        </w:rPr>
        <w:t>Bảng 6.2. Các mốc công việc.</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w:t>
            </w:r>
          </w:p>
        </w:tc>
        <w:tc>
          <w:tcPr>
            <w:tcW w:type="dxa" w:w="2339"/>
          </w:tcPr>
          <w:p>
            <w:r>
              <w:rPr>
                <w:b/>
                <w:sz w:val="18"/>
              </w:rPr>
              <w:t>Công việc</w:t>
            </w:r>
          </w:p>
        </w:tc>
        <w:tc>
          <w:tcPr>
            <w:tcW w:type="dxa" w:w="2339"/>
          </w:tcPr>
          <w:p>
            <w:r>
              <w:rPr>
                <w:b/>
                <w:sz w:val="18"/>
              </w:rPr>
              <w:t>Bắt đầu (tương đối)</w:t>
            </w:r>
          </w:p>
        </w:tc>
        <w:tc>
          <w:tcPr>
            <w:tcW w:type="dxa" w:w="2339"/>
          </w:tcPr>
          <w:p>
            <w:r>
              <w:rPr>
                <w:b/>
                <w:sz w:val="18"/>
              </w:rPr>
              <w:t>Phụ thuộc cứng</w:t>
            </w:r>
          </w:p>
        </w:tc>
      </w:tr>
      <w:tr>
        <w:tc>
          <w:tcPr>
            <w:tcW w:type="dxa" w:w="2339"/>
          </w:tcPr>
          <w:p>
            <w:r>
              <w:rPr>
                <w:sz w:val="18"/>
              </w:rPr>
              <w:t>1</w:t>
            </w:r>
          </w:p>
        </w:tc>
        <w:tc>
          <w:tcPr>
            <w:tcW w:type="dxa" w:w="2339"/>
          </w:tcPr>
          <w:p>
            <w:r>
              <w:rPr>
                <w:sz w:val="18"/>
              </w:rPr>
              <w:t>Chốt câu hỏi và khoảng trống</w:t>
            </w:r>
          </w:p>
        </w:tc>
        <w:tc>
          <w:tcPr>
            <w:tcW w:type="dxa" w:w="2339"/>
          </w:tcPr>
          <w:p>
            <w:r>
              <w:rPr>
                <w:sz w:val="18"/>
              </w:rPr>
              <w:t>Đã xong</w:t>
            </w:r>
          </w:p>
        </w:tc>
        <w:tc>
          <w:tcPr>
            <w:tcW w:type="dxa" w:w="2339"/>
          </w:tcPr>
          <w:p>
            <w:r>
              <w:rPr>
                <w:sz w:val="18"/>
              </w:rPr>
              <w:t>—</w:t>
            </w:r>
          </w:p>
        </w:tc>
      </w:tr>
      <w:tr>
        <w:tc>
          <w:tcPr>
            <w:tcW w:type="dxa" w:w="2339"/>
          </w:tcPr>
          <w:p>
            <w:r>
              <w:rPr>
                <w:sz w:val="18"/>
              </w:rPr>
              <w:t>2</w:t>
            </w:r>
          </w:p>
        </w:tc>
        <w:tc>
          <w:tcPr>
            <w:tcW w:type="dxa" w:w="2339"/>
          </w:tcPr>
          <w:p>
            <w:r>
              <w:rPr>
                <w:sz w:val="18"/>
              </w:rPr>
              <w:t>Chốt thiết kế và kế hoạch triển khai</w:t>
            </w:r>
          </w:p>
        </w:tc>
        <w:tc>
          <w:tcPr>
            <w:tcW w:type="dxa" w:w="2339"/>
          </w:tcPr>
          <w:p>
            <w:r>
              <w:rPr>
                <w:sz w:val="18"/>
              </w:rPr>
              <w:t>Đang</w:t>
            </w:r>
          </w:p>
        </w:tc>
        <w:tc>
          <w:tcPr>
            <w:tcW w:type="dxa" w:w="2339"/>
          </w:tcPr>
          <w:p>
            <w:r>
              <w:rPr>
                <w:sz w:val="18"/>
              </w:rPr>
              <w:t>—</w:t>
            </w:r>
          </w:p>
        </w:tc>
      </w:tr>
      <w:tr>
        <w:tc>
          <w:tcPr>
            <w:tcW w:type="dxa" w:w="2339"/>
          </w:tcPr>
          <w:p>
            <w:r>
              <w:rPr>
                <w:sz w:val="18"/>
              </w:rPr>
              <w:t>3</w:t>
            </w:r>
          </w:p>
        </w:tc>
        <w:tc>
          <w:tcPr>
            <w:tcW w:type="dxa" w:w="2339"/>
          </w:tcPr>
          <w:p>
            <w:r>
              <w:rPr>
                <w:sz w:val="18"/>
              </w:rPr>
              <w:t>Tính cỡ mẫu và bảng N_h/n_h/k_h theo tầng ngày×khung giờ (mục 4.4.2)</w:t>
            </w:r>
          </w:p>
        </w:tc>
        <w:tc>
          <w:tcPr>
            <w:tcW w:type="dxa" w:w="2339"/>
          </w:tcPr>
          <w:p>
            <w:r>
              <w:rPr>
                <w:sz w:val="18"/>
              </w:rPr>
              <w:t>Song song/sau (2)</w:t>
            </w:r>
          </w:p>
        </w:tc>
        <w:tc>
          <w:tcPr>
            <w:tcW w:type="dxa" w:w="2339"/>
          </w:tcPr>
          <w:p>
            <w:r>
              <w:rPr>
                <w:sz w:val="18"/>
              </w:rPr>
              <w:t>Lưu lượng khám lịch sử theo tầng</w:t>
            </w:r>
          </w:p>
        </w:tc>
      </w:tr>
      <w:tr>
        <w:tc>
          <w:tcPr>
            <w:tcW w:type="dxa" w:w="2339"/>
          </w:tcPr>
          <w:p>
            <w:r>
              <w:rPr>
                <w:sz w:val="18"/>
              </w:rPr>
              <w:t>4</w:t>
            </w:r>
          </w:p>
        </w:tc>
        <w:tc>
          <w:tcPr>
            <w:tcW w:type="dxa" w:w="2339"/>
          </w:tcPr>
          <w:p>
            <w:r>
              <w:rPr>
                <w:sz w:val="18"/>
              </w:rPr>
              <w:t>Đặc tả biến + CRF + Phiếu khảo sát bản dự thảo đưa vào hội đồng chuyên gia (Phụ lục C) + Bản thông tin &amp; Đồng thuận ICF riêng (Phụ lục B)</w:t>
            </w:r>
          </w:p>
        </w:tc>
        <w:tc>
          <w:tcPr>
            <w:tcW w:type="dxa" w:w="2339"/>
          </w:tcPr>
          <w:p>
            <w:r>
              <w:rPr>
                <w:sz w:val="18"/>
              </w:rPr>
              <w:t>Sau (2)</w:t>
            </w:r>
          </w:p>
        </w:tc>
        <w:tc>
          <w:tcPr>
            <w:tcW w:type="dxa" w:w="2339"/>
          </w:tcPr>
          <w:p>
            <w:r>
              <w:rPr>
                <w:sz w:val="18"/>
              </w:rPr>
              <w:t>Thu thập chính chờ phê duyệt đạo đức</w:t>
            </w:r>
          </w:p>
        </w:tc>
      </w:tr>
      <w:tr>
        <w:tc>
          <w:tcPr>
            <w:tcW w:type="dxa" w:w="2339"/>
          </w:tcPr>
          <w:p>
            <w:r>
              <w:rPr>
                <w:sz w:val="18"/>
              </w:rPr>
              <w:t>5</w:t>
            </w:r>
          </w:p>
        </w:tc>
        <w:tc>
          <w:tcPr>
            <w:tcW w:type="dxa" w:w="2339"/>
          </w:tcPr>
          <w:p>
            <w:r>
              <w:rPr>
                <w:b/>
                <w:sz w:val="18"/>
              </w:rPr>
              <w:t>Đăng ký nghiên cứu công khai (cổng, trước người tham gia đầu tiên)</w:t>
            </w:r>
          </w:p>
        </w:tc>
        <w:tc>
          <w:tcPr>
            <w:tcW w:type="dxa" w:w="2339"/>
          </w:tcPr>
          <w:p>
            <w:r>
              <w:rPr>
                <w:sz w:val="18"/>
              </w:rPr>
              <w:t>Trước T0</w:t>
            </w:r>
          </w:p>
        </w:tc>
        <w:tc>
          <w:tcPr>
            <w:tcW w:type="dxa" w:w="2339"/>
          </w:tcPr>
          <w:p>
            <w:r>
              <w:rPr>
                <w:sz w:val="18"/>
              </w:rPr>
              <w:t>Mã đăng ký để trống, bổ sung khi có</w:t>
            </w:r>
          </w:p>
        </w:tc>
      </w:tr>
      <w:tr>
        <w:tc>
          <w:tcPr>
            <w:tcW w:type="dxa" w:w="2339"/>
          </w:tcPr>
          <w:p>
            <w:r>
              <w:rPr>
                <w:sz w:val="18"/>
              </w:rPr>
              <w:t>6</w:t>
            </w:r>
          </w:p>
        </w:tc>
        <w:tc>
          <w:tcPr>
            <w:tcW w:type="dxa" w:w="2339"/>
          </w:tcPr>
          <w:p>
            <w:r>
              <w:rPr>
                <w:b/>
                <w:sz w:val="18"/>
              </w:rPr>
              <w:t>Hồ sơ đạo đức → phê duyệt (cổng cứng, = T0)</w:t>
            </w:r>
            <w:r>
              <w:rPr>
                <w:sz w:val="18"/>
              </w:rPr>
              <w:t xml:space="preserve"> — phạm vi phê duyệt bao gồm CẢ pha phát triển công cụ (# 7 dưới) lẫn mẫu chính</w:t>
            </w:r>
          </w:p>
        </w:tc>
        <w:tc>
          <w:tcPr>
            <w:tcW w:type="dxa" w:w="2339"/>
          </w:tcPr>
          <w:p>
            <w:r>
              <w:rPr>
                <w:sz w:val="18"/>
              </w:rPr>
              <w:t>Sau khi đủ hồ sơ</w:t>
            </w:r>
          </w:p>
        </w:tc>
        <w:tc>
          <w:tcPr>
            <w:tcW w:type="dxa" w:w="2339"/>
          </w:tcPr>
          <w:p>
            <w:r>
              <w:rPr>
                <w:sz w:val="18"/>
              </w:rPr>
              <w:t>Đề cương + phiếu dự thảo + ICF + đăng ký nghiên cứu hoàn chỉnh</w:t>
            </w:r>
          </w:p>
        </w:tc>
      </w:tr>
      <w:tr>
        <w:tc>
          <w:tcPr>
            <w:tcW w:type="dxa" w:w="2339"/>
          </w:tcPr>
          <w:p>
            <w:r>
              <w:rPr>
                <w:sz w:val="18"/>
              </w:rPr>
              <w:t>7</w:t>
            </w:r>
          </w:p>
        </w:tc>
        <w:tc>
          <w:tcPr>
            <w:tcW w:type="dxa" w:w="2339"/>
          </w:tcPr>
          <w:p>
            <w:r>
              <w:rPr>
                <w:b/>
                <w:sz w:val="18"/>
              </w:rPr>
              <w:t>Pha phát triển &amp; kiểm định công cụ</w:t>
            </w:r>
            <w:r>
              <w:rPr>
                <w:sz w:val="18"/>
              </w:rPr>
              <w:t xml:space="preserve"> — bảng truy xuất item, hội đồng chuyên gia (I-CVI/S-CVI), cognitive interview 10–15 người bệnh, pilot thực địa n ≈ 50–100, khóa </w:t>
            </w:r>
            <w:r>
              <w:rPr>
                <w:b/>
                <w:sz w:val="18"/>
              </w:rPr>
              <w:t>vFinal</w:t>
            </w:r>
            <w:r>
              <w:rPr>
                <w:sz w:val="18"/>
              </w:rPr>
              <w:t xml:space="preserve"> (mục 4.5.1)</w:t>
            </w:r>
          </w:p>
        </w:tc>
        <w:tc>
          <w:tcPr>
            <w:tcW w:type="dxa" w:w="2339"/>
          </w:tcPr>
          <w:p>
            <w:r>
              <w:rPr>
                <w:sz w:val="18"/>
              </w:rPr>
              <w:t>Sau T0, trước thu thập chính</w:t>
            </w:r>
          </w:p>
        </w:tc>
        <w:tc>
          <w:tcPr>
            <w:tcW w:type="dxa" w:w="2339"/>
          </w:tcPr>
          <w:p>
            <w:r>
              <w:rPr>
                <w:sz w:val="18"/>
              </w:rPr>
              <w:t>Nằm trong phạm vi phê duyệt đạo đức ở (6); dry-run vận hành/chọn mẫu (mục 4.4.2) thực hiện cùng giai đoạn này với bản vFinal</w:t>
            </w:r>
          </w:p>
        </w:tc>
      </w:tr>
      <w:tr>
        <w:tc>
          <w:tcPr>
            <w:tcW w:type="dxa" w:w="2339"/>
          </w:tcPr>
          <w:p>
            <w:r>
              <w:rPr>
                <w:sz w:val="18"/>
              </w:rPr>
              <w:t>8</w:t>
            </w:r>
          </w:p>
        </w:tc>
        <w:tc>
          <w:tcPr>
            <w:tcW w:type="dxa" w:w="2339"/>
          </w:tcPr>
          <w:p>
            <w:r>
              <w:rPr>
                <w:b/>
                <w:sz w:val="18"/>
              </w:rPr>
              <w:t>Khóa SAP (cổng cứng)</w:t>
            </w:r>
          </w:p>
        </w:tc>
        <w:tc>
          <w:tcPr>
            <w:tcW w:type="dxa" w:w="2339"/>
          </w:tcPr>
          <w:p>
            <w:r>
              <w:rPr>
                <w:sz w:val="18"/>
              </w:rPr>
              <w:t>Sau (6)+(7), trước khi chạm dữ liệu mẫu chính</w:t>
            </w:r>
          </w:p>
        </w:tc>
        <w:tc>
          <w:tcPr>
            <w:tcW w:type="dxa" w:w="2339"/>
          </w:tcPr>
          <w:p>
            <w:r>
              <w:rPr>
                <w:sz w:val="18"/>
              </w:rPr>
              <w:t>Phải xong trước phân tích</w:t>
            </w:r>
          </w:p>
        </w:tc>
      </w:tr>
      <w:tr>
        <w:tc>
          <w:tcPr>
            <w:tcW w:type="dxa" w:w="2339"/>
          </w:tcPr>
          <w:p>
            <w:r>
              <w:rPr>
                <w:sz w:val="18"/>
              </w:rPr>
              <w:t>9</w:t>
            </w:r>
          </w:p>
        </w:tc>
        <w:tc>
          <w:tcPr>
            <w:tcW w:type="dxa" w:w="2339"/>
          </w:tcPr>
          <w:p>
            <w:r>
              <w:rPr>
                <w:b/>
                <w:sz w:val="18"/>
              </w:rPr>
              <w:t>Thu thập dữ liệu mẫu chính tại C1a (n = 1000, bộ câu hỏi vFinal)</w:t>
            </w:r>
          </w:p>
        </w:tc>
        <w:tc>
          <w:tcPr>
            <w:tcW w:type="dxa" w:w="2339"/>
          </w:tcPr>
          <w:p>
            <w:r>
              <w:rPr>
                <w:sz w:val="18"/>
              </w:rPr>
              <w:t>Sau (7)</w:t>
            </w:r>
          </w:p>
        </w:tc>
        <w:tc>
          <w:tcPr>
            <w:tcW w:type="dxa" w:w="2339"/>
          </w:tcPr>
          <w:p>
            <w:r>
              <w:rPr>
                <w:sz w:val="18"/>
              </w:rPr>
              <w:t>Không bắt đầu trước phê duyệt đạo đức và trước khi khóa vFinal; phủ đều khung giờ/ngày theo tầng</w:t>
            </w:r>
          </w:p>
        </w:tc>
      </w:tr>
      <w:tr>
        <w:tc>
          <w:tcPr>
            <w:tcW w:type="dxa" w:w="2339"/>
          </w:tcPr>
          <w:p>
            <w:r>
              <w:rPr>
                <w:sz w:val="18"/>
              </w:rPr>
              <w:t>10</w:t>
            </w:r>
          </w:p>
        </w:tc>
        <w:tc>
          <w:tcPr>
            <w:tcW w:type="dxa" w:w="2339"/>
          </w:tcPr>
          <w:p>
            <w:r>
              <w:rPr>
                <w:sz w:val="18"/>
              </w:rPr>
              <w:t>Nhập liệu, làm sạch, khóa dữ liệu</w:t>
            </w:r>
          </w:p>
        </w:tc>
        <w:tc>
          <w:tcPr>
            <w:tcW w:type="dxa" w:w="2339"/>
          </w:tcPr>
          <w:p>
            <w:r>
              <w:rPr>
                <w:sz w:val="18"/>
              </w:rPr>
              <w:t>Cuốn chiếu/sau thu thập</w:t>
            </w:r>
          </w:p>
        </w:tc>
        <w:tc>
          <w:tcPr>
            <w:tcW w:type="dxa" w:w="2339"/>
          </w:tcPr>
          <w:p>
            <w:r>
              <w:rPr>
                <w:sz w:val="18"/>
              </w:rPr>
              <w:t>Khóa dữ liệu trước phân tích</w:t>
            </w:r>
          </w:p>
        </w:tc>
      </w:tr>
      <w:tr>
        <w:tc>
          <w:tcPr>
            <w:tcW w:type="dxa" w:w="2339"/>
          </w:tcPr>
          <w:p>
            <w:r>
              <w:rPr>
                <w:sz w:val="18"/>
              </w:rPr>
              <w:t>11</w:t>
            </w:r>
          </w:p>
        </w:tc>
        <w:tc>
          <w:tcPr>
            <w:tcW w:type="dxa" w:w="2339"/>
          </w:tcPr>
          <w:p>
            <w:r>
              <w:rPr>
                <w:sz w:val="18"/>
              </w:rPr>
              <w:t>Phân tích (mô tả + hồi quy logistic thứ tự)</w:t>
            </w:r>
          </w:p>
        </w:tc>
        <w:tc>
          <w:tcPr>
            <w:tcW w:type="dxa" w:w="2339"/>
          </w:tcPr>
          <w:p>
            <w:r>
              <w:rPr>
                <w:sz w:val="18"/>
              </w:rPr>
              <w:t>Sau khóa dữ liệu</w:t>
            </w:r>
          </w:p>
        </w:tc>
        <w:tc>
          <w:tcPr>
            <w:tcW w:type="dxa" w:w="2339"/>
          </w:tcPr>
          <w:p>
            <w:r>
              <w:rPr>
                <w:sz w:val="18"/>
              </w:rPr>
              <w:t>Chỉ sau khi SAP và dữ liệu đã khóa</w:t>
            </w:r>
          </w:p>
        </w:tc>
      </w:tr>
      <w:tr>
        <w:tc>
          <w:tcPr>
            <w:tcW w:type="dxa" w:w="2339"/>
          </w:tcPr>
          <w:p>
            <w:r>
              <w:rPr>
                <w:sz w:val="18"/>
              </w:rPr>
              <w:t>12</w:t>
            </w:r>
          </w:p>
        </w:tc>
        <w:tc>
          <w:tcPr>
            <w:tcW w:type="dxa" w:w="2339"/>
          </w:tcPr>
          <w:p>
            <w:r>
              <w:rPr>
                <w:sz w:val="18"/>
              </w:rPr>
              <w:t>Viết bản thảo (STROBE)</w:t>
            </w:r>
          </w:p>
        </w:tc>
        <w:tc>
          <w:tcPr>
            <w:tcW w:type="dxa" w:w="2339"/>
          </w:tcPr>
          <w:p>
            <w:r>
              <w:rPr>
                <w:sz w:val="18"/>
              </w:rPr>
              <w:t>Sau phân tích</w:t>
            </w:r>
          </w:p>
        </w:tc>
        <w:tc>
          <w:tcPr>
            <w:tcW w:type="dxa" w:w="2339"/>
          </w:tcPr>
          <w:p>
            <w:r>
              <w:rPr>
                <w:sz w:val="18"/>
              </w:rPr>
              <w:t>—</w:t>
            </w:r>
          </w:p>
        </w:tc>
      </w:tr>
      <w:tr>
        <w:tc>
          <w:tcPr>
            <w:tcW w:type="dxa" w:w="2339"/>
          </w:tcPr>
          <w:p>
            <w:r>
              <w:rPr>
                <w:sz w:val="18"/>
              </w:rPr>
              <w:t>13</w:t>
            </w:r>
          </w:p>
        </w:tc>
        <w:tc>
          <w:tcPr>
            <w:tcW w:type="dxa" w:w="2339"/>
          </w:tcPr>
          <w:p>
            <w:r>
              <w:rPr>
                <w:sz w:val="18"/>
              </w:rPr>
              <w:t>Nghiệm thu/công bố</w:t>
            </w:r>
          </w:p>
        </w:tc>
        <w:tc>
          <w:tcPr>
            <w:tcW w:type="dxa" w:w="2339"/>
          </w:tcPr>
          <w:p>
            <w:r>
              <w:rPr>
                <w:sz w:val="18"/>
              </w:rPr>
              <w:t>Sau bản thảo</w:t>
            </w:r>
          </w:p>
        </w:tc>
        <w:tc>
          <w:tcPr>
            <w:tcW w:type="dxa" w:w="2339"/>
          </w:tcPr>
          <w:p>
            <w:r>
              <w:rPr>
                <w:sz w:val="18"/>
              </w:rPr>
              <w:t>Liêm chính tác giả/COI/khai báo AI</w:t>
            </w:r>
          </w:p>
        </w:tc>
      </w:tr>
    </w:tbl>
    <w:p/>
    <w:p>
      <w: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pStyle w:val="Heading2"/>
      </w:pPr>
      <w:r>
        <w:t>6.3. Dự trù kinh phí</w:t>
      </w:r>
    </w:p>
    <w:p>
      <w:r>
        <w:rPr>
          <w:b/>
        </w:rPr>
        <w:t>Nguồn kinh phí: tự túc (chủ nhiệm đề tài tự chi trả).</w:t>
      </w:r>
    </w:p>
    <w:p>
      <w: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r>
        <w:rPr>
          <w:i/>
        </w:rPr>
        <w:t>Bảng 6.3. Dự trù kinh phí (nguồn tự túc).</w:t>
      </w:r>
    </w:p>
    <w:tbl>
      <w:tblPr>
        <w:tblStyle w:val="LightGrid-Accent1"/>
        <w:tblW w:type="auto" w:w="0"/>
        <w:tblLook w:firstColumn="1" w:firstRow="1" w:lastColumn="0" w:lastRow="0" w:noHBand="0" w:noVBand="1" w:val="04A0"/>
      </w:tblPr>
      <w:tblGrid>
        <w:gridCol w:w="2339"/>
        <w:gridCol w:w="2339"/>
        <w:gridCol w:w="2339"/>
        <w:gridCol w:w="2339"/>
      </w:tblGrid>
      <w:tr>
        <w:tc>
          <w:tcPr>
            <w:tcW w:type="dxa" w:w="2339"/>
          </w:tcPr>
          <w:p>
            <w:r>
              <w:rPr>
                <w:b/>
                <w:sz w:val="18"/>
              </w:rPr>
              <w:t>Nhóm chi</w:t>
            </w:r>
          </w:p>
        </w:tc>
        <w:tc>
          <w:tcPr>
            <w:tcW w:type="dxa" w:w="2339"/>
          </w:tcPr>
          <w:p>
            <w:r>
              <w:rPr>
                <w:b/>
                <w:sz w:val="18"/>
              </w:rPr>
              <w:t>Số lượng</w:t>
            </w:r>
          </w:p>
        </w:tc>
        <w:tc>
          <w:tcPr>
            <w:tcW w:type="dxa" w:w="2339"/>
          </w:tcPr>
          <w:p>
            <w:r>
              <w:rPr>
                <w:b/>
                <w:sz w:val="18"/>
              </w:rPr>
              <w:t>Đơn giá</w:t>
            </w:r>
          </w:p>
        </w:tc>
        <w:tc>
          <w:tcPr>
            <w:tcW w:type="dxa" w:w="2339"/>
          </w:tcPr>
          <w:p>
            <w:r>
              <w:rPr>
                <w:b/>
                <w:sz w:val="18"/>
              </w:rPr>
              <w:t>Thành tiền</w:t>
            </w:r>
          </w:p>
        </w:tc>
      </w:tr>
      <w:tr>
        <w:tc>
          <w:tcPr>
            <w:tcW w:type="dxa" w:w="2339"/>
          </w:tcPr>
          <w:p>
            <w:r>
              <w:rPr>
                <w:sz w:val="18"/>
              </w:rPr>
              <w:t>In Phiếu khảo sát vFinal (Phần 1–4, chỉ mã nghiên cứu, Phụ lục C) + dự phòng</w:t>
            </w:r>
          </w:p>
        </w:tc>
        <w:tc>
          <w:tcPr>
            <w:tcW w:type="dxa" w:w="2339"/>
          </w:tcPr>
          <w:p>
            <w:r>
              <w:rPr>
                <w:sz w:val="18"/>
              </w:rPr>
              <w:t>≈ 1000 × (1 + hao/từ chối)</w:t>
            </w:r>
          </w:p>
        </w:tc>
        <w:tc>
          <w:tcPr>
            <w:tcW w:type="dxa" w:w="2339"/>
          </w:tcPr>
          <w:p>
            <w:r>
              <w:rPr>
                <w:sz w:val="18"/>
              </w:rPr>
              <w:t>……………</w:t>
            </w:r>
          </w:p>
        </w:tc>
        <w:tc>
          <w:tcPr>
            <w:tcW w:type="dxa" w:w="2339"/>
          </w:tcPr>
          <w:p>
            <w:r>
              <w:rPr>
                <w:sz w:val="18"/>
              </w:rPr>
              <w:t>……………</w:t>
            </w:r>
          </w:p>
        </w:tc>
      </w:tr>
      <w:tr>
        <w:tc>
          <w:tcPr>
            <w:tcW w:type="dxa" w:w="2339"/>
          </w:tcPr>
          <w:p>
            <w:r>
              <w:rPr>
                <w:sz w:val="18"/>
              </w:rPr>
              <w:t xml:space="preserve">In Bản thông tin &amp; Đồng thuận ICF riêng (có tên/chữ ký, Phụ lục B) — </w:t>
            </w:r>
            <w:r>
              <w:rPr>
                <w:b/>
                <w:sz w:val="18"/>
              </w:rPr>
              <w:t>tài liệu độc lập, in số lượng ngang phiếu khảo sát</w:t>
            </w:r>
          </w:p>
        </w:tc>
        <w:tc>
          <w:tcPr>
            <w:tcW w:type="dxa" w:w="2339"/>
          </w:tcPr>
          <w:p>
            <w:r>
              <w:rPr>
                <w:sz w:val="18"/>
              </w:rPr>
              <w:t>≈ số đối tượng tiếp cận (1180–1250)</w:t>
            </w:r>
          </w:p>
        </w:tc>
        <w:tc>
          <w:tcPr>
            <w:tcW w:type="dxa" w:w="2339"/>
          </w:tcPr>
          <w:p>
            <w:r>
              <w:rPr>
                <w:sz w:val="18"/>
              </w:rPr>
              <w:t>……………</w:t>
            </w:r>
          </w:p>
        </w:tc>
        <w:tc>
          <w:tcPr>
            <w:tcW w:type="dxa" w:w="2339"/>
          </w:tcPr>
          <w:p>
            <w:r>
              <w:rPr>
                <w:sz w:val="18"/>
              </w:rPr>
              <w:t>……………</w:t>
            </w:r>
          </w:p>
        </w:tc>
      </w:tr>
      <w:tr>
        <w:tc>
          <w:tcPr>
            <w:tcW w:type="dxa" w:w="2339"/>
          </w:tcPr>
          <w:p>
            <w:r>
              <w:rPr>
                <w:sz w:val="18"/>
              </w:rPr>
              <w:t>Chi phí pha phát triển công cụ: thù lao hội đồng chuyên gia (I-CVI/S-CVI), cognitive interview 10–15 người bệnh, pilot thực địa n ≈ 50–100 (mục 4.5.1, 4.9)</w:t>
            </w:r>
          </w:p>
        </w:tc>
        <w:tc>
          <w:tcPr>
            <w:tcW w:type="dxa" w:w="2339"/>
          </w:tcPr>
          <w:p>
            <w:r>
              <w:rPr>
                <w:sz w:val="18"/>
              </w:rPr>
              <w:t>1 đợt</w:t>
            </w:r>
          </w:p>
        </w:tc>
        <w:tc>
          <w:tcPr>
            <w:tcW w:type="dxa" w:w="2339"/>
          </w:tcPr>
          <w:p>
            <w:r>
              <w:rPr>
                <w:sz w:val="18"/>
              </w:rPr>
              <w:t>……………</w:t>
            </w:r>
          </w:p>
        </w:tc>
        <w:tc>
          <w:tcPr>
            <w:tcW w:type="dxa" w:w="2339"/>
          </w:tcPr>
          <w:p>
            <w:r>
              <w:rPr>
                <w:sz w:val="18"/>
              </w:rPr>
              <w:t>……………</w:t>
            </w:r>
          </w:p>
        </w:tc>
      </w:tr>
      <w:tr>
        <w:tc>
          <w:tcPr>
            <w:tcW w:type="dxa" w:w="2339"/>
          </w:tcPr>
          <w:p>
            <w:r>
              <w:rPr>
                <w:sz w:val="18"/>
              </w:rPr>
              <w:t>Thù lao điều tra viên phát/thu phiếu</w:t>
            </w:r>
          </w:p>
        </w:tc>
        <w:tc>
          <w:tcPr>
            <w:tcW w:type="dxa" w:w="2339"/>
          </w:tcPr>
          <w:p>
            <w:r>
              <w:rPr>
                <w:sz w:val="18"/>
              </w:rPr>
              <w:t>số điều tra viên × số công</w:t>
            </w:r>
          </w:p>
        </w:tc>
        <w:tc>
          <w:tcPr>
            <w:tcW w:type="dxa" w:w="2339"/>
          </w:tcPr>
          <w:p>
            <w:r>
              <w:rPr>
                <w:sz w:val="18"/>
              </w:rPr>
              <w:t>……………</w:t>
            </w:r>
          </w:p>
        </w:tc>
        <w:tc>
          <w:tcPr>
            <w:tcW w:type="dxa" w:w="2339"/>
          </w:tcPr>
          <w:p>
            <w:r>
              <w:rPr>
                <w:sz w:val="18"/>
              </w:rPr>
              <w:t>……………</w:t>
            </w:r>
          </w:p>
        </w:tc>
      </w:tr>
      <w:tr>
        <w:tc>
          <w:tcPr>
            <w:tcW w:type="dxa" w:w="2339"/>
          </w:tcPr>
          <w:p>
            <w:r>
              <w:rPr>
                <w:sz w:val="18"/>
              </w:rPr>
              <w:t>Thù lao giám sát chất lượng (QC)</w:t>
            </w:r>
          </w:p>
        </w:tc>
        <w:tc>
          <w:tcPr>
            <w:tcW w:type="dxa" w:w="2339"/>
          </w:tcPr>
          <w:p>
            <w:r>
              <w:rPr>
                <w:sz w:val="18"/>
              </w:rPr>
              <w:t>số công QC</w:t>
            </w:r>
          </w:p>
        </w:tc>
        <w:tc>
          <w:tcPr>
            <w:tcW w:type="dxa" w:w="2339"/>
          </w:tcPr>
          <w:p>
            <w:r>
              <w:rPr>
                <w:sz w:val="18"/>
              </w:rPr>
              <w:t>……………</w:t>
            </w:r>
          </w:p>
        </w:tc>
        <w:tc>
          <w:tcPr>
            <w:tcW w:type="dxa" w:w="2339"/>
          </w:tcPr>
          <w:p>
            <w:r>
              <w:rPr>
                <w:sz w:val="18"/>
              </w:rPr>
              <w:t>……………</w:t>
            </w:r>
          </w:p>
        </w:tc>
      </w:tr>
      <w:tr>
        <w:tc>
          <w:tcPr>
            <w:tcW w:type="dxa" w:w="2339"/>
          </w:tcPr>
          <w:p>
            <w:r>
              <w:rPr>
                <w:sz w:val="18"/>
              </w:rPr>
              <w:t>Công nhập liệu (nhập đôi 100% số phiếu, đã khóa ở DMP)</w:t>
            </w:r>
          </w:p>
        </w:tc>
        <w:tc>
          <w:tcPr>
            <w:tcW w:type="dxa" w:w="2339"/>
          </w:tcPr>
          <w:p>
            <w:r>
              <w:rPr>
                <w:sz w:val="18"/>
              </w:rPr>
              <w:t>số phiếu × 2 lần nhập</w:t>
            </w:r>
          </w:p>
        </w:tc>
        <w:tc>
          <w:tcPr>
            <w:tcW w:type="dxa" w:w="2339"/>
          </w:tcPr>
          <w:p>
            <w:r>
              <w:rPr>
                <w:sz w:val="18"/>
              </w:rPr>
              <w:t>……………</w:t>
            </w:r>
          </w:p>
        </w:tc>
        <w:tc>
          <w:tcPr>
            <w:tcW w:type="dxa" w:w="2339"/>
          </w:tcPr>
          <w:p>
            <w:r>
              <w:rPr>
                <w:sz w:val="18"/>
              </w:rPr>
              <w:t>……………</w:t>
            </w:r>
          </w:p>
        </w:tc>
      </w:tr>
      <w:tr>
        <w:tc>
          <w:tcPr>
            <w:tcW w:type="dxa" w:w="2339"/>
          </w:tcPr>
          <w:p>
            <w:r>
              <w:rPr>
                <w:sz w:val="18"/>
              </w:rPr>
              <w:t>Phần mềm thống kê</w:t>
            </w:r>
          </w:p>
        </w:tc>
        <w:tc>
          <w:tcPr>
            <w:tcW w:type="dxa" w:w="2339"/>
          </w:tcPr>
          <w:p>
            <w:r>
              <w:rPr>
                <w:sz w:val="18"/>
              </w:rPr>
              <w:t>1 (hoặc 0 nếu dùng R/JASP miễn phí)</w:t>
            </w:r>
          </w:p>
        </w:tc>
        <w:tc>
          <w:tcPr>
            <w:tcW w:type="dxa" w:w="2339"/>
          </w:tcPr>
          <w:p>
            <w:r>
              <w:rPr>
                <w:sz w:val="18"/>
              </w:rPr>
              <w:t>……………</w:t>
            </w:r>
          </w:p>
        </w:tc>
        <w:tc>
          <w:tcPr>
            <w:tcW w:type="dxa" w:w="2339"/>
          </w:tcPr>
          <w:p>
            <w:r>
              <w:rPr>
                <w:sz w:val="18"/>
              </w:rPr>
              <w:t>……………</w:t>
            </w:r>
          </w:p>
        </w:tc>
      </w:tr>
      <w:tr>
        <w:tc>
          <w:tcPr>
            <w:tcW w:type="dxa" w:w="2339"/>
          </w:tcPr>
          <w:p>
            <w:r>
              <w:rPr>
                <w:sz w:val="18"/>
              </w:rPr>
              <w:t>Thù lao nhà thống kê/phân tích</w:t>
            </w:r>
          </w:p>
        </w:tc>
        <w:tc>
          <w:tcPr>
            <w:tcW w:type="dxa" w:w="2339"/>
          </w:tcPr>
          <w:p>
            <w:r>
              <w:rPr>
                <w:sz w:val="18"/>
              </w:rPr>
              <w:t>công phân tích</w:t>
            </w:r>
          </w:p>
        </w:tc>
        <w:tc>
          <w:tcPr>
            <w:tcW w:type="dxa" w:w="2339"/>
          </w:tcPr>
          <w:p>
            <w:r>
              <w:rPr>
                <w:sz w:val="18"/>
              </w:rPr>
              <w:t>……………</w:t>
            </w:r>
          </w:p>
        </w:tc>
        <w:tc>
          <w:tcPr>
            <w:tcW w:type="dxa" w:w="2339"/>
          </w:tcPr>
          <w:p>
            <w:r>
              <w:rPr>
                <w:sz w:val="18"/>
              </w:rPr>
              <w:t>……………</w:t>
            </w:r>
          </w:p>
        </w:tc>
      </w:tr>
      <w:tr>
        <w:tc>
          <w:tcPr>
            <w:tcW w:type="dxa" w:w="2339"/>
          </w:tcPr>
          <w:p>
            <w:r>
              <w:rPr>
                <w:sz w:val="18"/>
              </w:rPr>
              <w:t>Văn phòng phẩm/hòm phiếu/vật tư</w:t>
            </w:r>
          </w:p>
        </w:tc>
        <w:tc>
          <w:tcPr>
            <w:tcW w:type="dxa" w:w="2339"/>
          </w:tcPr>
          <w:p>
            <w:r>
              <w:rPr>
                <w:sz w:val="18"/>
              </w:rPr>
              <w:t>theo nhu cầu</w:t>
            </w:r>
          </w:p>
        </w:tc>
        <w:tc>
          <w:tcPr>
            <w:tcW w:type="dxa" w:w="2339"/>
          </w:tcPr>
          <w:p>
            <w:r>
              <w:rPr>
                <w:sz w:val="18"/>
              </w:rPr>
              <w:t>……………</w:t>
            </w:r>
          </w:p>
        </w:tc>
        <w:tc>
          <w:tcPr>
            <w:tcW w:type="dxa" w:w="2339"/>
          </w:tcPr>
          <w:p>
            <w:r>
              <w:rPr>
                <w:sz w:val="18"/>
              </w:rPr>
              <w:t>……………</w:t>
            </w:r>
          </w:p>
        </w:tc>
      </w:tr>
      <w:tr>
        <w:tc>
          <w:tcPr>
            <w:tcW w:type="dxa" w:w="2339"/>
          </w:tcPr>
          <w:p>
            <w:r>
              <w:rPr>
                <w:sz w:val="18"/>
              </w:rPr>
              <w:t>Phí công bố/APC (nếu có)</w:t>
            </w:r>
          </w:p>
        </w:tc>
        <w:tc>
          <w:tcPr>
            <w:tcW w:type="dxa" w:w="2339"/>
          </w:tcPr>
          <w:p>
            <w:r>
              <w:rPr>
                <w:sz w:val="18"/>
              </w:rPr>
              <w:t>1 bài</w:t>
            </w:r>
          </w:p>
        </w:tc>
        <w:tc>
          <w:tcPr>
            <w:tcW w:type="dxa" w:w="2339"/>
          </w:tcPr>
          <w:p>
            <w:r>
              <w:rPr>
                <w:sz w:val="18"/>
              </w:rPr>
              <w:t>……………</w:t>
            </w:r>
          </w:p>
        </w:tc>
        <w:tc>
          <w:tcPr>
            <w:tcW w:type="dxa" w:w="2339"/>
          </w:tcPr>
          <w:p>
            <w:r>
              <w:rPr>
                <w:sz w:val="18"/>
              </w:rPr>
              <w:t>……………</w:t>
            </w:r>
          </w:p>
        </w:tc>
      </w:tr>
      <w:tr>
        <w:tc>
          <w:tcPr>
            <w:tcW w:type="dxa" w:w="2339"/>
          </w:tcPr>
          <w:p>
            <w:r>
              <w:rPr>
                <w:sz w:val="18"/>
              </w:rPr>
              <w:t>Dự phòng</w:t>
            </w:r>
          </w:p>
        </w:tc>
        <w:tc>
          <w:tcPr>
            <w:tcW w:type="dxa" w:w="2339"/>
          </w:tcPr>
          <w:p>
            <w:r>
              <w:rPr>
                <w:sz w:val="18"/>
              </w:rPr>
              <w:t>theo tỷ lệ</w:t>
            </w:r>
          </w:p>
        </w:tc>
        <w:tc>
          <w:tcPr>
            <w:tcW w:type="dxa" w:w="2339"/>
          </w:tcPr>
          <w:p>
            <w:r>
              <w:rPr>
                <w:sz w:val="18"/>
              </w:rPr>
              <w:t>……………</w:t>
            </w:r>
          </w:p>
        </w:tc>
        <w:tc>
          <w:tcPr>
            <w:tcW w:type="dxa" w:w="2339"/>
          </w:tcPr>
          <w:p>
            <w:r>
              <w:rPr>
                <w:sz w:val="18"/>
              </w:rPr>
              <w:t>……………</w:t>
            </w:r>
          </w:p>
        </w:tc>
      </w:tr>
      <w:tr>
        <w:tc>
          <w:tcPr>
            <w:tcW w:type="dxa" w:w="2339"/>
          </w:tcPr>
          <w:p>
            <w:r>
              <w:rPr>
                <w:b/>
                <w:sz w:val="18"/>
              </w:rPr>
              <w:t>TỔNG CỘNG</w:t>
            </w:r>
          </w:p>
        </w:tc>
        <w:tc>
          <w:tcPr>
            <w:tcW w:type="dxa" w:w="2339"/>
          </w:tcPr>
          <w:p/>
        </w:tc>
        <w:tc>
          <w:tcPr>
            <w:tcW w:type="dxa" w:w="2339"/>
          </w:tcPr>
          <w:p/>
        </w:tc>
        <w:tc>
          <w:tcPr>
            <w:tcW w:type="dxa" w:w="2339"/>
          </w:tcPr>
          <w:p>
            <w:r>
              <w:rPr>
                <w:b/>
                <w:sz w:val="18"/>
              </w:rPr>
              <w:t>……………</w:t>
            </w:r>
          </w:p>
        </w:tc>
      </w:tr>
    </w:tbl>
    <w:p/>
    <w:p>
      <w:pPr>
        <w:pStyle w:val="Heading2"/>
      </w:pPr>
      <w:r>
        <w:t>6.4. Quản trị rủi ro</w:t>
      </w:r>
    </w:p>
    <w:p>
      <w:r>
        <w:rPr>
          <w:i/>
        </w:rPr>
        <w:t>Bảng 6.4. Sổ rủi ro (rà lại sau mỗi mốc; Mức = Xác suất × Hậu quả).</w:t>
      </w:r>
    </w:p>
    <w:tbl>
      <w:tblPr>
        <w:tblStyle w:val="LightGrid-Accent1"/>
        <w:tblW w:type="auto" w:w="0"/>
        <w:tblLook w:firstColumn="1" w:firstRow="1" w:lastColumn="0" w:lastRow="0" w:noHBand="0" w:noVBand="1" w:val="04A0"/>
      </w:tblPr>
      <w:tblGrid>
        <w:gridCol w:w="1871"/>
        <w:gridCol w:w="1871"/>
        <w:gridCol w:w="1871"/>
        <w:gridCol w:w="1871"/>
        <w:gridCol w:w="1871"/>
      </w:tblGrid>
      <w:tr>
        <w:tc>
          <w:tcPr>
            <w:tcW w:type="dxa" w:w="1871"/>
          </w:tcPr>
          <w:p>
            <w:r>
              <w:rPr>
                <w:b/>
                <w:sz w:val="18"/>
              </w:rPr>
              <w:t>#</w:t>
            </w:r>
          </w:p>
        </w:tc>
        <w:tc>
          <w:tcPr>
            <w:tcW w:type="dxa" w:w="1871"/>
          </w:tcPr>
          <w:p>
            <w:r>
              <w:rPr>
                <w:b/>
                <w:sz w:val="18"/>
              </w:rPr>
              <w:t>Rủi ro</w:t>
            </w:r>
          </w:p>
        </w:tc>
        <w:tc>
          <w:tcPr>
            <w:tcW w:type="dxa" w:w="1871"/>
          </w:tcPr>
          <w:p>
            <w:r>
              <w:rPr>
                <w:b/>
                <w:sz w:val="18"/>
              </w:rPr>
              <w:t>Mức</w:t>
            </w:r>
          </w:p>
        </w:tc>
        <w:tc>
          <w:tcPr>
            <w:tcW w:type="dxa" w:w="1871"/>
          </w:tcPr>
          <w:p>
            <w:r>
              <w:rPr>
                <w:b/>
                <w:sz w:val="18"/>
              </w:rPr>
              <w:t>Giảm thiểu</w:t>
            </w:r>
          </w:p>
        </w:tc>
        <w:tc>
          <w:tcPr>
            <w:tcW w:type="dxa" w:w="1871"/>
          </w:tcPr>
          <w:p>
            <w:r>
              <w:rPr>
                <w:b/>
                <w:sz w:val="18"/>
              </w:rPr>
              <w:t>Khắc phục/Phòng ngừa</w:t>
            </w:r>
          </w:p>
        </w:tc>
      </w:tr>
      <w:tr>
        <w:tc>
          <w:tcPr>
            <w:tcW w:type="dxa" w:w="1871"/>
          </w:tcPr>
          <w:p>
            <w:r>
              <w:rPr>
                <w:sz w:val="18"/>
              </w:rPr>
              <w:t>R1</w:t>
            </w:r>
          </w:p>
        </w:tc>
        <w:tc>
          <w:tcPr>
            <w:tcW w:type="dxa" w:w="1871"/>
          </w:tcPr>
          <w:p>
            <w:r>
              <w:rPr>
                <w:sz w:val="18"/>
              </w:rPr>
              <w:t>Tỷ lệ từ chối cao → mẫu thiếu đại diện, kéo dài thu thập</w:t>
            </w:r>
          </w:p>
        </w:tc>
        <w:tc>
          <w:tcPr>
            <w:tcW w:type="dxa" w:w="1871"/>
          </w:tcPr>
          <w:p>
            <w:r>
              <w:rPr>
                <w:sz w:val="18"/>
              </w:rPr>
              <w:t>Cao</w:t>
            </w:r>
          </w:p>
        </w:tc>
        <w:tc>
          <w:tcPr>
            <w:tcW w:type="dxa" w:w="1871"/>
          </w:tcPr>
          <w:p>
            <w:r>
              <w:rPr>
                <w:sz w:val="18"/>
              </w:rPr>
              <w:t>Phiếu ngắn, ẩn danh, giải thích không ảnh hưởng quyền lợi; ghi sổ nhật ký từ chối</w:t>
            </w:r>
          </w:p>
        </w:tc>
        <w:tc>
          <w:tcPr>
            <w:tcW w:type="dxa" w:w="1871"/>
          </w:tcPr>
          <w:p>
            <w:r>
              <w:rPr>
                <w:sz w:val="18"/>
              </w:rPr>
              <w:t>Nới khung thời gian/bổ sung điều tra viên; kịch bản mời chuẩn hóa</w:t>
            </w:r>
          </w:p>
        </w:tc>
      </w:tr>
      <w:tr>
        <w:tc>
          <w:tcPr>
            <w:tcW w:type="dxa" w:w="1871"/>
          </w:tcPr>
          <w:p>
            <w:r>
              <w:rPr>
                <w:sz w:val="18"/>
              </w:rPr>
              <w:t>R2</w:t>
            </w:r>
          </w:p>
        </w:tc>
        <w:tc>
          <w:tcPr>
            <w:tcW w:type="dxa" w:w="1871"/>
          </w:tcPr>
          <w:p>
            <w:r>
              <w:rPr>
                <w:sz w:val="18"/>
              </w:rPr>
              <w:t>Thiếu điều tra viên/nghỉ giữa chừng</w:t>
            </w:r>
          </w:p>
        </w:tc>
        <w:tc>
          <w:tcPr>
            <w:tcW w:type="dxa" w:w="1871"/>
          </w:tcPr>
          <w:p>
            <w:r>
              <w:rPr>
                <w:sz w:val="18"/>
              </w:rPr>
              <w:t>TB–Cao</w:t>
            </w:r>
          </w:p>
        </w:tc>
        <w:tc>
          <w:tcPr>
            <w:tcW w:type="dxa" w:w="1871"/>
          </w:tcPr>
          <w:p>
            <w:r>
              <w:rPr>
                <w:sz w:val="18"/>
              </w:rPr>
              <w:t>Tuyển dự phòng; tập huấn dư</w:t>
            </w:r>
          </w:p>
        </w:tc>
        <w:tc>
          <w:tcPr>
            <w:tcW w:type="dxa" w:w="1871"/>
          </w:tcPr>
          <w:p>
            <w:r>
              <w:rPr>
                <w:sz w:val="18"/>
              </w:rPr>
              <w:t>Điều điều tra viên dự phòng; tài liệu tập huấn chuẩn</w:t>
            </w:r>
          </w:p>
        </w:tc>
      </w:tr>
      <w:tr>
        <w:tc>
          <w:tcPr>
            <w:tcW w:type="dxa" w:w="1871"/>
          </w:tcPr>
          <w:p>
            <w:r>
              <w:rPr>
                <w:sz w:val="18"/>
              </w:rPr>
              <w:t>R3</w:t>
            </w:r>
          </w:p>
        </w:tc>
        <w:tc>
          <w:tcPr>
            <w:tcW w:type="dxa" w:w="1871"/>
          </w:tcPr>
          <w:p>
            <w:r>
              <w:rPr>
                <w:sz w:val="18"/>
              </w:rPr>
              <w:t>Biến động lưu lượng theo mùa</w:t>
            </w:r>
          </w:p>
        </w:tc>
        <w:tc>
          <w:tcPr>
            <w:tcW w:type="dxa" w:w="1871"/>
          </w:tcPr>
          <w:p>
            <w:r>
              <w:rPr>
                <w:sz w:val="18"/>
              </w:rPr>
              <w:t>TB</w:t>
            </w:r>
          </w:p>
        </w:tc>
        <w:tc>
          <w:tcPr>
            <w:tcW w:type="dxa" w:w="1871"/>
          </w:tcPr>
          <w:p>
            <w:r>
              <w:rPr>
                <w:sz w:val="18"/>
              </w:rPr>
              <w:t>Ước lưu lượng theo mùa khi lập bảng N_h/n_h/k_h theo tầng (mục 4.4.2)</w:t>
            </w:r>
          </w:p>
        </w:tc>
        <w:tc>
          <w:tcPr>
            <w:tcW w:type="dxa" w:w="1871"/>
          </w:tcPr>
          <w:p>
            <w:r>
              <w:rPr>
                <w:sz w:val="18"/>
              </w:rPr>
              <w:t>Kéo dài kỳ thu thập để phủ đủ mùa; nếu dry-run cho thấy chọn mẫu hệ thống phân tầng không khả thi, DỪNG và sửa SOP/đề cương chính thức (mục 4.4.2 — không phải một "phương án dự phòng" kích hoạt âm thầm)</w:t>
            </w:r>
          </w:p>
        </w:tc>
      </w:tr>
      <w:tr>
        <w:tc>
          <w:tcPr>
            <w:tcW w:type="dxa" w:w="1871"/>
          </w:tcPr>
          <w:p>
            <w:r>
              <w:rPr>
                <w:sz w:val="18"/>
              </w:rPr>
              <w:t>R4</w:t>
            </w:r>
          </w:p>
        </w:tc>
        <w:tc>
          <w:tcPr>
            <w:tcW w:type="dxa" w:w="1871"/>
          </w:tcPr>
          <w:p>
            <w:r>
              <w:rPr>
                <w:sz w:val="18"/>
              </w:rPr>
              <w:t>Thiên kiến chiều lòng/ceiling effect</w:t>
            </w:r>
          </w:p>
        </w:tc>
        <w:tc>
          <w:tcPr>
            <w:tcW w:type="dxa" w:w="1871"/>
          </w:tcPr>
          <w:p>
            <w:r>
              <w:rPr>
                <w:sz w:val="18"/>
              </w:rPr>
              <w:t>Cao</w:t>
            </w:r>
          </w:p>
        </w:tc>
        <w:tc>
          <w:tcPr>
            <w:tcW w:type="dxa" w:w="1871"/>
          </w:tcPr>
          <w:p>
            <w:r>
              <w:rPr>
                <w:sz w:val="18"/>
              </w:rPr>
              <w:t>Tự điền ẩn danh + hòm phiếu kín + điều tra viên độc lập ngoài khoa + tách buồng khám</w:t>
            </w:r>
          </w:p>
        </w:tc>
        <w:tc>
          <w:tcPr>
            <w:tcW w:type="dxa" w:w="1871"/>
          </w:tcPr>
          <w:p>
            <w:r>
              <w:rPr>
                <w:sz w:val="18"/>
              </w:rPr>
              <w:t>Phân tích nhạy cảm; báo tỷ lệ đáp ứng</w:t>
            </w:r>
          </w:p>
        </w:tc>
      </w:tr>
      <w:tr>
        <w:tc>
          <w:tcPr>
            <w:tcW w:type="dxa" w:w="1871"/>
          </w:tcPr>
          <w:p>
            <w:r>
              <w:rPr>
                <w:sz w:val="18"/>
              </w:rPr>
              <w:t>R5</w:t>
            </w:r>
          </w:p>
        </w:tc>
        <w:tc>
          <w:tcPr>
            <w:tcW w:type="dxa" w:w="1871"/>
          </w:tcPr>
          <w:p>
            <w:r>
              <w:rPr>
                <w:sz w:val="18"/>
              </w:rPr>
              <w:t>Chờ phê duyệt đạo đức lâu → trượt tiến độ</w:t>
            </w:r>
          </w:p>
        </w:tc>
        <w:tc>
          <w:tcPr>
            <w:tcW w:type="dxa" w:w="1871"/>
          </w:tcPr>
          <w:p>
            <w:r>
              <w:rPr>
                <w:sz w:val="18"/>
              </w:rPr>
              <w:t>Cao</w:t>
            </w:r>
          </w:p>
        </w:tc>
        <w:tc>
          <w:tcPr>
            <w:tcW w:type="dxa" w:w="1871"/>
          </w:tcPr>
          <w:p>
            <w:r>
              <w:rPr>
                <w:sz w:val="18"/>
              </w:rPr>
              <w:t>Chuẩn bị hồ sơ đầy đủ sớm; chạy song song chuẩn bị phiếu/CRF</w:t>
            </w:r>
          </w:p>
        </w:tc>
        <w:tc>
          <w:tcPr>
            <w:tcW w:type="dxa" w:w="1871"/>
          </w:tcPr>
          <w:p>
            <w:r>
              <w:rPr>
                <w:sz w:val="18"/>
              </w:rPr>
              <w:t>Dời T0, cập nhật tiến độ; checklist hồ sơ trước khi nộp</w:t>
            </w:r>
          </w:p>
        </w:tc>
      </w:tr>
      <w:tr>
        <w:tc>
          <w:tcPr>
            <w:tcW w:type="dxa" w:w="1871"/>
          </w:tcPr>
          <w:p>
            <w:r>
              <w:rPr>
                <w:sz w:val="18"/>
              </w:rPr>
              <w:t>R6</w:t>
            </w:r>
          </w:p>
        </w:tc>
        <w:tc>
          <w:tcPr>
            <w:tcW w:type="dxa" w:w="1871"/>
          </w:tcPr>
          <w:p>
            <w:r>
              <w:rPr>
                <w:sz w:val="18"/>
              </w:rPr>
              <w:t>Rò rỉ PII/vi phạm ẩn danh</w:t>
            </w:r>
          </w:p>
        </w:tc>
        <w:tc>
          <w:tcPr>
            <w:tcW w:type="dxa" w:w="1871"/>
          </w:tcPr>
          <w:p>
            <w:r>
              <w:rPr>
                <w:sz w:val="18"/>
              </w:rPr>
              <w:t>Cao (hậu quả)</w:t>
            </w:r>
          </w:p>
        </w:tc>
        <w:tc>
          <w:tcPr>
            <w:tcW w:type="dxa" w:w="1871"/>
          </w:tcPr>
          <w:p>
            <w:r>
              <w:rPr>
                <w:sz w:val="18"/>
              </w:rPr>
              <w:t xml:space="preserve">Phiếu khảo sát (Phần 1–4) không ô định danh; hòm kín; ICF là tài liệu riêng, tách biệt vật lý ngay từ đầu (không phải tách sau khi thu, mục 4.11); </w:t>
            </w:r>
            <w:r>
              <w:rPr>
                <w:rFonts w:ascii="Consolas" w:hAnsi="Consolas"/>
                <w:sz w:val="18"/>
              </w:rPr>
              <w:t>MaSoBenhNhan</w:t>
            </w:r>
            <w:r>
              <w:rPr>
                <w:sz w:val="18"/>
              </w:rPr>
              <w:t xml:space="preserve"> không thuộc hệ thống của nhóm nghiên cứu ở bất kỳ bước nào (mục 6.5); khử định danh có kiểm soát khi trích mốc HIS (mã nghiên cứu + bảng ghép tạm thời do CNTT/QLCL giữ, hủy trong 30 ngày)</w:t>
            </w:r>
          </w:p>
        </w:tc>
        <w:tc>
          <w:tcPr>
            <w:tcW w:type="dxa" w:w="1871"/>
          </w:tcPr>
          <w:p>
            <w:r>
              <w:rPr>
                <w:sz w:val="18"/>
              </w:rPr>
              <w:t>Kiểm tra phiếu/bộ dữ liệu không chứa PII trước khi bàn giao phân tích</w:t>
            </w:r>
          </w:p>
        </w:tc>
      </w:tr>
      <w:tr>
        <w:tc>
          <w:tcPr>
            <w:tcW w:type="dxa" w:w="1871"/>
          </w:tcPr>
          <w:p>
            <w:r>
              <w:rPr>
                <w:sz w:val="18"/>
              </w:rPr>
              <w:t>R7</w:t>
            </w:r>
          </w:p>
        </w:tc>
        <w:tc>
          <w:tcPr>
            <w:tcW w:type="dxa" w:w="1871"/>
          </w:tcPr>
          <w:p>
            <w:r>
              <w:rPr>
                <w:sz w:val="18"/>
              </w:rPr>
              <w:t>Số biến cố không đủ tham số cho mô hình logistic thứ cấp</w:t>
            </w:r>
          </w:p>
        </w:tc>
        <w:tc>
          <w:tcPr>
            <w:tcW w:type="dxa" w:w="1871"/>
          </w:tcPr>
          <w:p>
            <w:r>
              <w:rPr>
                <w:sz w:val="18"/>
              </w:rPr>
              <w:t>Thấp (n=1000 đã dư)</w:t>
            </w:r>
          </w:p>
        </w:tc>
        <w:tc>
          <w:tcPr>
            <w:tcW w:type="dxa" w:w="1871"/>
          </w:tcPr>
          <w:p>
            <w:r>
              <w:rPr>
                <w:sz w:val="18"/>
              </w:rPr>
              <w:t>Giới hạn số tham số mô hình; khóa danh mục biến ở SAP; kết cục chính là liên tục</w:t>
            </w:r>
          </w:p>
        </w:tc>
        <w:tc>
          <w:tcPr>
            <w:tcW w:type="dxa" w:w="1871"/>
          </w:tcPr>
          <w:p>
            <w:r>
              <w:rPr>
                <w:sz w:val="18"/>
              </w:rPr>
              <w:t>Gộp/giảm biến theo SAP nếu tỷ lệ chưa hài lòng rất thấp</w:t>
            </w:r>
          </w:p>
        </w:tc>
      </w:tr>
      <w:tr>
        <w:tc>
          <w:tcPr>
            <w:tcW w:type="dxa" w:w="1871"/>
          </w:tcPr>
          <w:p>
            <w:r>
              <w:rPr>
                <w:sz w:val="18"/>
              </w:rPr>
              <w:t>R8</w:t>
            </w:r>
          </w:p>
        </w:tc>
        <w:tc>
          <w:tcPr>
            <w:tcW w:type="dxa" w:w="1871"/>
          </w:tcPr>
          <w:p>
            <w:r>
              <w:rPr>
                <w:sz w:val="18"/>
              </w:rPr>
              <w:t>Dữ liệu thiếu/phiếu bỏ trống</w:t>
            </w:r>
          </w:p>
        </w:tc>
        <w:tc>
          <w:tcPr>
            <w:tcW w:type="dxa" w:w="1871"/>
          </w:tcPr>
          <w:p>
            <w:r>
              <w:rPr>
                <w:sz w:val="18"/>
              </w:rPr>
              <w:t>TB</w:t>
            </w:r>
          </w:p>
        </w:tc>
        <w:tc>
          <w:tcPr>
            <w:tcW w:type="dxa" w:w="1871"/>
          </w:tcPr>
          <w:p>
            <w:r>
              <w:rPr>
                <w:sz w:val="18"/>
              </w:rPr>
              <w:t>Phiếu rõ; nhắc hoàn tất; theo dõi tỷ lệ thiếu; ngưỡng ≥ 80% mục/miền</w:t>
            </w:r>
          </w:p>
        </w:tc>
        <w:tc>
          <w:tcPr>
            <w:tcW w:type="dxa" w:w="1871"/>
          </w:tcPr>
          <w:p>
            <w:r>
              <w:rPr>
                <w:sz w:val="18"/>
              </w:rPr>
              <w:t>Xử lý thiếu theo SAP (định trước)</w:t>
            </w:r>
          </w:p>
        </w:tc>
      </w:tr>
      <w:tr>
        <w:tc>
          <w:tcPr>
            <w:tcW w:type="dxa" w:w="1871"/>
          </w:tcPr>
          <w:p>
            <w:r>
              <w:rPr>
                <w:sz w:val="18"/>
              </w:rPr>
              <w:t>R9</w:t>
            </w:r>
          </w:p>
        </w:tc>
        <w:tc>
          <w:tcPr>
            <w:tcW w:type="dxa" w:w="1871"/>
          </w:tcPr>
          <w:p>
            <w:r>
              <w:rPr>
                <w:sz w:val="18"/>
              </w:rPr>
              <w:t>Trùng đối tượng (khám nhiều lần)</w:t>
            </w:r>
          </w:p>
        </w:tc>
        <w:tc>
          <w:tcPr>
            <w:tcW w:type="dxa" w:w="1871"/>
          </w:tcPr>
          <w:p>
            <w:r>
              <w:rPr>
                <w:sz w:val="18"/>
              </w:rPr>
              <w:t>Thấp–TB</w:t>
            </w:r>
          </w:p>
        </w:tc>
        <w:tc>
          <w:tcPr>
            <w:tcW w:type="dxa" w:w="1871"/>
          </w:tcPr>
          <w:p>
            <w:r>
              <w:rPr>
                <w:sz w:val="18"/>
              </w:rPr>
              <w:t>Quy tắc chống trùng (chỉ tham gia một lần trong kỳ; hỏi nhanh trước khi phát phiếu)</w:t>
            </w:r>
          </w:p>
        </w:tc>
        <w:tc>
          <w:tcPr>
            <w:tcW w:type="dxa" w:w="1871"/>
          </w:tcPr>
          <w:p>
            <w:r>
              <w:rPr>
                <w:sz w:val="18"/>
              </w:rPr>
              <w:t>Loại bản ghi trùng khi làm sạch</w:t>
            </w:r>
          </w:p>
        </w:tc>
      </w:tr>
    </w:tbl>
    <w:p/>
    <w:p>
      <w:pPr>
        <w:pStyle w:val="Heading2"/>
      </w:pPr>
      <w:r>
        <w:t>6.5. Kế hoạch quản trị dữ liệu (DMP)</w:t>
      </w:r>
    </w:p>
    <w:p>
      <w: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b/>
        </w:rPr>
        <w:t>không lưu bất kỳ thông tin định danh cá nhân (PII) nào</w:t>
      </w:r>
      <w:r>
        <w:t>. Các mục dưới đây được khóa cụ thể, không để ở dạng "hoặc" ngang hàng.</w:t>
      </w:r>
    </w:p>
    <w:p>
      <w:pPr>
        <w:pStyle w:val="ListBullet"/>
      </w:pPr>
      <w:r>
        <w:rPr>
          <w:b/>
        </w:rPr>
        <w:t>Lưu phiếu giấy:</w:t>
      </w:r>
      <w:r>
        <w:t xml:space="preserve"> phiếu giấy được cất trong tủ có khóa tại đơn vị; chỉ nhóm nghiên cứu được truy cập.</w:t>
      </w:r>
    </w:p>
    <w:p>
      <w:pPr>
        <w:pStyle w:val="ListBullet"/>
      </w:pPr>
      <w:r>
        <w:rPr>
          <w:b/>
        </w:rPr>
        <w:t>Phần mềm nhập liệu (đã khóa):</w:t>
      </w:r>
      <w:r>
        <w:t xml:space="preserve"> </w:t>
      </w:r>
      <w:r>
        <w:rPr>
          <w:b/>
        </w:rPr>
        <w:t>REDCap</w:t>
      </w:r>
      <w:r>
        <w:t xml:space="preserve"> — ưu tiên, vì có sẵn range checks và audit trail. Nếu đơn vị không có sẵn REDCap, dùng </w:t>
      </w:r>
      <w:r>
        <w:rPr>
          <w:b/>
        </w:rPr>
        <w:t>EpiData</w:t>
      </w:r>
      <w:r>
        <w:t xml:space="preserve"> với luật kiểm tra tương đương, làm phương án dự phòng có điều kiện, không phải lựa chọn ngang hàng với REDCap.</w:t>
      </w:r>
    </w:p>
    <w:p>
      <w:pPr>
        <w:pStyle w:val="ListBullet"/>
      </w:pPr>
      <w:r>
        <w:rPr>
          <w:b/>
        </w:rPr>
        <w:t>Kiểm soát nhập liệu (đã khóa):</w:t>
      </w:r>
      <w:r>
        <w:t xml:space="preserve"> </w:t>
      </w:r>
      <w:r>
        <w:rPr>
          <w:b/>
        </w:rPr>
        <w:t>nhập đôi 100% số phiếu</w:t>
      </w:r>
      <w:r>
        <w:t xml:space="preserve"> (n = 1000 khả thi để nhập đôi toàn bộ).</w:t>
      </w:r>
    </w:p>
    <w:p>
      <w:pPr>
        <w:pStyle w:val="ListBullet"/>
      </w:pPr>
      <w:r>
        <w:rPr>
          <w:b/>
        </w:rPr>
        <w:t>Phân quyền (cụ thể theo vai trò):</w:t>
      </w:r>
    </w:p>
    <w:p>
      <w:pPr>
        <w:pStyle w:val="ListBullet"/>
      </w:pPr>
      <w:r>
        <w:t>Chủ nhiệm đề tài: toàn quyền.</w:t>
      </w:r>
    </w:p>
    <w:p>
      <w:pPr>
        <w:pStyle w:val="ListBullet"/>
      </w:pPr>
      <w:r>
        <w:t>Điều tra viên: chỉ nhập/xem phiếu do chính mình thu thập.</w:t>
      </w:r>
    </w:p>
    <w:p>
      <w:pPr>
        <w:pStyle w:val="ListBullet"/>
      </w:pPr>
      <w:r>
        <w:t>Người nhập liệu: chỉ nhập, không xem kết quả phân tích.</w:t>
      </w:r>
    </w:p>
    <w:p>
      <w:pPr>
        <w:pStyle w:val="ListBullet"/>
      </w:pPr>
      <w:r>
        <w:t>Giám sát chất lượng (QC): xem để đối chiếu, không sửa.</w:t>
      </w:r>
    </w:p>
    <w:p>
      <w:pPr>
        <w:pStyle w:val="ListBullet"/>
      </w:pPr>
      <w:r>
        <w:t>Nhà thống kê: chỉ xem dữ liệu đã khóa, không sửa.</w:t>
      </w:r>
    </w:p>
    <w:p>
      <w:pPr>
        <w:pStyle w:val="ListBullet"/>
      </w:pPr>
      <w:r>
        <w:rPr>
          <w:b/>
        </w:rPr>
        <w:t>`MaSoBenhNhan` không thuộc hệ thống của nhóm nghiên cứu (đã khóa, siết chặt hơn thiết kế trước — đối chiếu phản biện độc lập 07/07/2026):</w:t>
      </w:r>
      <w:r>
        <w:t xml:space="preserve"> trường </w:t>
      </w:r>
      <w:r>
        <w:rPr>
          <w:rFonts w:ascii="Consolas" w:hAnsi="Consolas"/>
        </w:rPr>
        <w:t>MaSoBenhNhan</w:t>
      </w:r>
      <w:r>
        <w:t xml:space="preserve"> (mã hồ sơ bệnh án) </w:t>
      </w:r>
      <w:r>
        <w:rPr>
          <w:b/>
        </w:rPr>
        <w:t>không</w:t>
      </w:r>
      <w:r>
        <w:t xml:space="preserve"> được nhập vào REDCap/EpiData hay bất kỳ hệ thống nhập liệu nào của nhóm nghiên cứu, dưới bất kỳ hình thức nào — kể cả tạm thời. Việc đối soát/chống trùng đối tượng dùng </w:t>
      </w:r>
      <w:r>
        <w:rPr>
          <w:rFonts w:ascii="Consolas" w:hAnsi="Consolas"/>
        </w:rPr>
        <w:t>MaSoBenhNhan</w:t>
      </w:r>
      <w:r>
        <w:t xml:space="preserve"> do </w:t>
      </w:r>
      <w:r>
        <w:rPr>
          <w:b/>
        </w:rPr>
        <w:t>Phòng CNTT/QLCL bệnh viện thực hiện hoàn toàn riêng biệt</w:t>
      </w:r>
      <w:r>
        <w:t xml:space="preserve">, ngoài phạm vi hệ thống dữ liệu của nhóm nghiên cứu; nhóm nghiên cứu chỉ nhận và chỉ nhập </w:t>
      </w:r>
      <w:r>
        <w:rPr>
          <w:rFonts w:ascii="Consolas" w:hAnsi="Consolas"/>
        </w:rPr>
        <w:t>ID</w:t>
      </w:r>
      <w:r>
        <w:t xml:space="preserve"> (mã số phiếu) làm định danh duy nhất trong toàn bộ vòng đời dữ liệu (thu thập → nhập liệu → phân tích).</w:t>
      </w:r>
    </w:p>
    <w:p>
      <w:pPr>
        <w:pStyle w:val="ListBullet"/>
      </w:pPr>
      <w:r>
        <w:rPr>
          <w:b/>
        </w:rPr>
        <w:t>Lưu file:</w:t>
      </w:r>
      <w:r>
        <w:t xml:space="preserve"> trên ổ đĩa mã hóa AES-256 tại đơn vị, do thư ký/điều phối nghiên cứu quản lý (tên cụ thể </w:t>
      </w:r>
      <w:r>
        <w:rPr>
          <w:b/>
        </w:rPr>
        <w:t>[CẦN CHỦ NHIỆM ẤN ĐỊNH]</w:t>
      </w:r>
      <w:r>
        <w:t>).</w:t>
      </w:r>
    </w:p>
    <w:p>
      <w:pPr>
        <w:pStyle w:val="ListBullet"/>
      </w:pPr>
      <w:r>
        <w:rPr>
          <w:b/>
        </w:rPr>
        <w:t>Mã hóa:</w:t>
      </w:r>
      <w:r>
        <w:t xml:space="preserve"> theo chuẩn CNTT bệnh viện áp dụng — </w:t>
      </w:r>
      <w:r>
        <w:rPr>
          <w:b/>
        </w:rPr>
        <w:t>[CẦN CNTT BỆNH VIỆN XÁC NHẬN phương pháp/chuẩn cụ thể]</w:t>
      </w:r>
      <w:r>
        <w:t>.</w:t>
      </w:r>
    </w:p>
    <w:p>
      <w:pPr>
        <w:pStyle w:val="ListBullet"/>
      </w:pPr>
      <w:r>
        <w:rPr>
          <w:b/>
        </w:rPr>
        <w:t>Thời hạn lưu:</w:t>
      </w:r>
      <w:r>
        <w:t xml:space="preserve"> dữ liệu (giấy và điện tử) được lưu tối thiểu </w:t>
      </w:r>
      <w:r>
        <w:rPr>
          <w:b/>
        </w:rPr>
        <w:t>05 năm</w:t>
      </w:r>
      <w:r>
        <w:t xml:space="preserve"> sau nghiệm thu/công bố, hoặc theo quy định lưu trữ của đơn vị nếu dài hơn.</w:t>
      </w:r>
    </w:p>
    <w:p>
      <w:pPr>
        <w:pStyle w:val="ListBullet"/>
      </w:pPr>
      <w:r>
        <w:rPr>
          <w:b/>
        </w:rPr>
        <w:t>Tiêu hủy an toàn:</w:t>
      </w:r>
      <w:r>
        <w:t xml:space="preserve"> sau thời hạn lưu, phiếu giấy được hủy bằng máy hủy tài liệu, tệp điện tử được xóa an toàn (secure delete).</w:t>
      </w:r>
    </w:p>
    <w:p>
      <w:pPr>
        <w:pStyle w:val="ListBullet"/>
      </w:pPr>
      <w:r>
        <w:rPr>
          <w:b/>
        </w:rPr>
        <w:t>Tách vai trò khi trích xuất thời gian chờ từ HIS:</w:t>
      </w:r>
      <w:r>
        <w:t xml:space="preserve"> nếu dùng nguồn HIS/eHospital cho biến thời gian chờ, chỉ </w:t>
      </w:r>
      <w:r>
        <w:rPr>
          <w:b/>
        </w:rPr>
        <w:t>nhân sự được ủy quyền của Phòng CNTT/quản lý chất lượng bệnh viện</w:t>
      </w:r>
      <w:r>
        <w:t xml:space="preserve"> được truy xuất dữ liệu HIS thô và giữ bảng ghép tạm thời giữa mã nghiên cứu và (số thứ tự khám, ngày khảo sát); họ chỉ bàn giao cho nhóm nghiên cứu </w:t>
      </w:r>
      <w:r>
        <w:rPr>
          <w:b/>
        </w:rPr>
        <w:t>biến phái sinh là khoảng thời gian chờ (phút)</w:t>
      </w:r>
      <w:r>
        <w:t xml:space="preserve"> gắn với mã nghiên cứu. </w:t>
      </w:r>
      <w:r>
        <w:rPr>
          <w:b/>
        </w:rPr>
        <w:t>Bảng ghép tạm thời bị xóa trong vòng 30 ngày</w:t>
      </w:r>
      <w:r>
        <w:t xml:space="preserve"> sau khi hoàn tất đối chiếu/làm sạch dữ liệu, có </w:t>
      </w:r>
      <w:r>
        <w:rPr>
          <w:b/>
        </w:rPr>
        <w:t>nhật ký hủy</w:t>
      </w:r>
      <w: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pPr>
      <w:r>
        <w:rPr>
          <w:b/>
        </w:rPr>
        <w:t>Sao lưu:</w:t>
      </w:r>
      <w:r>
        <w:t xml:space="preserve"> định kỳ </w:t>
      </w:r>
      <w:r>
        <w:rPr>
          <w:b/>
        </w:rPr>
        <w:t>hàng tuần</w:t>
      </w:r>
      <w:r>
        <w:t xml:space="preserve"> vào ổ lưu trữ nội bộ có mã hóa; người chịu trách nhiệm = thư ký/điều phối nghiên cứu.</w:t>
      </w:r>
    </w:p>
    <w:p>
      <w:pPr>
        <w:pStyle w:val="ListBullet"/>
      </w:pPr>
      <w:r>
        <w:rPr>
          <w:b/>
        </w:rPr>
        <w:t>Nhật ký thay đổi/audit trail:</w:t>
      </w:r>
      <w:r>
        <w:t xml:space="preserve"> data query log ghi lại mọi truy vấn/chỉnh sửa dữ liệu sau khi khóa cơ sở dữ liệu.</w:t>
      </w:r>
    </w:p>
    <w:p>
      <w:pPr>
        <w:pStyle w:val="ListBullet"/>
      </w:pPr>
      <w:r>
        <w:rPr>
          <w:b/>
        </w:rPr>
        <w:t>Bên kiểm soát dữ liệu:</w:t>
      </w:r>
      <w:r>
        <w:t xml:space="preserve"> chủ nhiệm đề tài là </w:t>
      </w:r>
      <w:r>
        <w:rPr>
          <w:b/>
        </w:rPr>
        <w:t>bên kiểm soát dữ liệu</w:t>
      </w:r>
      <w:r>
        <w:t xml:space="preserve"> (data controller) theo Luật Bảo vệ dữ liệu cá nhân 91/2025/QH15 và Nghị định 356/2025/NĐ-CP, chịu trách nhiệm khi có sự cố liên quan đến dữ liệu của đề tài.</w:t>
      </w:r>
    </w:p>
    <w:p>
      <w:pPr>
        <w:pStyle w:val="Heading1"/>
      </w:pPr>
      <w:r>
        <w:t>7. TÀI LIỆU THAM KHẢO</w:t>
      </w:r>
    </w:p>
    <w:p>
      <w:r>
        <w:rPr>
          <w:i/>
        </w:rPr>
        <w:t>Định dạng Vancouver. Toàn bộ 20 tài liệu có PMID (kèm DOI khi xác minh được) đã được đối chiếu với PubMed (tiêu đề · tạp chí · năm · tác giả đầu; mục [19] bổ sung ở vòng rà soát phương pháp gần nhất, mục [20] bổ sung ở vòng phản biện độc lập 07/07/2026 — cả hai đã xác minh qua PubMed E-utilities trước khi thêm vào danh mục); bảng đối chiếu nguồn (PMID/DOI – nội dung trích – vị trí) được lưu trong hồ sơ nội bộ của đề tài.</w:t>
      </w:r>
    </w:p>
    <w:p>
      <w:pPr>
        <w:pStyle w:val="ListNumber"/>
      </w:pPr>
      <w:r>
        <w:t>Thach Phuong N, Vu Hoang P, Mac Dang T, et al. Improving Hospital's Quality of Service in Vietnam: The Patient Satisfaction Evaluation in Multiple Health Facilities. Hosp Top. 2021;101(2):73-83. doi:10.1080/00185868.2021.1969871. PMID: 34445940.</w:t>
      </w:r>
    </w:p>
    <w:p>
      <w:pPr>
        <w:pStyle w:val="ListNumber"/>
      </w:pPr>
      <w: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pPr>
      <w:r>
        <w:t>Hwang J, Vu GT, Tran BX, et al. Measuring satisfaction with health care services for Vietnamese patients with cardiovascular diseases. PLoS One. 2020;15(6):e0235333. doi:10.1371/journal.pone.0235333. PMID: 32584904.</w:t>
      </w:r>
    </w:p>
    <w:p>
      <w:pPr>
        <w:pStyle w:val="ListNumber"/>
      </w:pPr>
      <w:r>
        <w:t>Nguyen BQ, Nguyen CTT. An Assessment of Outpatient Satisfaction with Hospital Pharmacy Quality and Influential Factors in the Context of the COVID-19 Pandemic. Healthcare (Basel). 2022;10(10). doi:10.3390/healthcare10101945. PMID: 36292392.</w:t>
      </w:r>
    </w:p>
    <w:p>
      <w:pPr>
        <w:pStyle w:val="ListNumber"/>
      </w:pPr>
      <w:r>
        <w:t>Tran BX, Dang AK, Vu GT, et al. Patient satisfaction with HIV services in Vietnam: Status, service models and association with treatment outcome. PLoS One. 2019;14(11):e0223723. doi:10.1371/journal.pone.0223723. PMID: 31703089.</w:t>
      </w:r>
    </w:p>
    <w:p>
      <w:pPr>
        <w:pStyle w:val="ListNumber"/>
      </w:pPr>
      <w:r>
        <w:t>Sinha S, Islam MN, Hassan MM, et al. Translation, cross-cultural adaptation and validation of short-form patient satisfaction questionnaire (PSQ-18) in Bengali. Int J Health Care Qual Assur. 2026:1-11. doi:10.1108/IJHCQA-07-2025-0100. PMID: 41645935.</w:t>
      </w:r>
    </w:p>
    <w:p>
      <w:pPr>
        <w:pStyle w:val="ListNumber"/>
      </w:pPr>
      <w:r>
        <w:t>Iglesias-Puzas Á, de Miguel-Abildúa E, Conde-Taboada A, et al. [Cross-cultural adaptation and Spanish validation of Patient Satisfaction Questionnaire in dermatology (PSQ-18)]. J Healthc Qual Res. 2021;36(5):269-274. doi:10.1016/j.jhqr.2021.04.004. PMID: 34053882.</w:t>
      </w:r>
    </w:p>
    <w:p>
      <w:pPr>
        <w:pStyle w:val="ListNumber"/>
      </w:pPr>
      <w:r>
        <w:t>Thayaparan AJ, Mahdi E. The Patient Satisfaction Questionnaire Short Form (PSQ-18) as an adaptable, reliable, and validated tool for use in various settings. Med Educ Online. 2013;18:21747. doi:10.3402/meo.v18i0.21747. PMID: 23883565.</w:t>
      </w:r>
    </w:p>
    <w:p>
      <w:pPr>
        <w:pStyle w:val="ListNumber"/>
      </w:pPr>
      <w:r>
        <w:t>Mahajan P, Anand A, Hossain S, et al. Exploring Patient Satisfaction and Determinants in Outpatient Services: A Cross-Sectional Study. Cureus. 2025;17(1):e77345. doi:10.7759/cureus.77345. PMID: 39944421.</w:t>
      </w:r>
    </w:p>
    <w:p>
      <w:pPr>
        <w:pStyle w:val="ListNumber"/>
      </w:pPr>
      <w:r>
        <w:t xml:space="preserve">Dibba Y, Boima F, Jerome JG, et al. Patient satisfaction and its associated factors in selected primary healthcare facilities in Kono District, Sierra Leone: a cross-sectional study. BMJ Open. 2025;15(4):e093501. doi:10.1136/bmjopen-2024-093501. PMID: 40295132. </w:t>
      </w:r>
      <w:r>
        <w:rPr>
          <w:i/>
        </w:rPr>
        <w:t>(Sierra Leone — trích như tham chiếu phương pháp, không phải Việt Nam.)</w:t>
      </w:r>
    </w:p>
    <w:p>
      <w:pPr>
        <w:pStyle w:val="ListNumber"/>
      </w:pPr>
      <w: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pPr>
      <w:r>
        <w:t>Peduzzi P, Concato J, Kemper E, et al. A simulation study of the number of events per variable in logistic regression analysis. J Clin Epidemiol. 1996;49(12):1373-9. doi:10.1016/s0895-4356(96)00236-3. PMID: 8970487.</w:t>
      </w:r>
    </w:p>
    <w:p>
      <w:pPr>
        <w:pStyle w:val="ListNumber"/>
      </w:pPr>
      <w: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pPr>
      <w:r>
        <w:t>Terwee CB, Bot SD, de Boer MR, et al. Quality criteria were proposed for measurement properties of health status questionnaires. J Clin Epidemiol. 2006;60(1):34-42. doi:10.1016/j.jclinepi.2006.03.012. PMID: 17161752.</w:t>
      </w:r>
    </w:p>
    <w:p>
      <w:pPr>
        <w:pStyle w:val="ListNumber"/>
      </w:pPr>
      <w:r>
        <w:t>Polit DF, Beck CT, Owen SV. Is the CVI an acceptable indicator of content validity? Appraisal and recommendations. Res Nurs Health. 2007;30(4):459-67. doi:10.1002/nur.20199. PMID: 17654487.</w:t>
      </w:r>
    </w:p>
    <w:p>
      <w:pPr>
        <w:pStyle w:val="ListNumber"/>
      </w:pPr>
      <w: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pPr>
      <w:r>
        <w:t>Heinze G, Schemper M. A solution to the problem of separation in logistic regression. Stat Med. 2002;21(16):2409-19. doi:10.1002/sim.1047. PMID: 12210625.</w:t>
      </w:r>
    </w:p>
    <w:p>
      <w:pPr>
        <w:pStyle w:val="ListNumber"/>
      </w:pPr>
      <w:r>
        <w:t>Karahalios A, Baglietto L, Carlin JB, et al. A review of the reporting and handling of missing data in cohort studies with repeated assessment of exposure measures. BMC Med Res Methodol. 2012;12:96. doi:10.1186/1471-2288-12-96. PMID: 22784200.</w:t>
      </w:r>
    </w:p>
    <w:p>
      <w:pPr>
        <w:pStyle w:val="ListNumber"/>
      </w:pPr>
      <w:r>
        <w:t>Green SB. How Many Subjects Does It Take To Do A Regression Analysis. Multivariate Behavioral Research. 1991;26(3):499-510. doi:10.1207/s15327906mbr2603_7. PMID: 26776715.</w:t>
      </w:r>
    </w:p>
    <w:p>
      <w:pPr>
        <w:pStyle w:val="ListNumber"/>
      </w:pPr>
      <w:r>
        <w:t>Bender R, Grouven U. Ordinal logistic regression in medical research. J R Coll Physicians Lond. 1997;31(5):546-551. PMID: 9429194.</w:t>
      </w:r>
    </w:p>
    <w:p>
      <w:r>
        <w:rPr>
          <w:b/>
        </w:rPr>
        <w:t>Văn bản pháp quy và thang đo (không có PMID/DOI):</w:t>
      </w:r>
    </w:p>
    <w:p>
      <w:pPr>
        <w:pStyle w:val="ListBullet"/>
      </w:pPr>
      <w:r>
        <w:t>[V1] Bộ Y tế. Quyết định 56/QĐ-BYT ngày 08/01/2024 "Hướng dẫn phương pháp đo lường sự hài lòng của người dân đối với dịch vụ y tế công giai đoạn 2024–2030" (ban hành Mẫu số 2 – phiếu ngoại trú; bãi bỏ/thay Mẫu phiếu số 1, số 2 của QĐ 3869/QĐ-BYT 2019).</w:t>
      </w:r>
    </w:p>
    <w:p>
      <w:pPr>
        <w:pStyle w:val="ListBullet"/>
      </w:pPr>
      <w:r>
        <w:t>[V2] Bộ Y tế. Quyết định 3869/QĐ-BYT ngày 28/8/2019 (văn bản tiền thân, đã hết hiệu lực đối với phiếu ngoại trú – nêu để đối chiếu lịch sử, không dùng làm công cụ).</w:t>
      </w:r>
    </w:p>
    <w:p>
      <w:pPr>
        <w:pStyle w:val="ListBullet"/>
      </w:pPr>
      <w:r>
        <w:t>Bộ Y tế. Thông tư 43/2024/TT-BYT (hiệu lực 01/02/2025) về Hội đồng đạo đức trong nghiên cứu y sinh học.</w:t>
      </w:r>
    </w:p>
    <w:p>
      <w:pPr>
        <w:pStyle w:val="ListBullet"/>
      </w:pPr>
      <w:r>
        <w:t>Quốc hội. Luật Khám bệnh, chữa bệnh 15/2023/QH15 (hiệu lực 01/01/2024).</w:t>
      </w:r>
    </w:p>
    <w:p>
      <w:pPr>
        <w:pStyle w:val="ListBullet"/>
      </w:pPr>
      <w:r>
        <w:t>Quốc hội. Luật Bảo vệ dữ liệu cá nhân 91/2025/QH15 và Nghị định 356/2025/NĐ-CP (hiệu lực 01/01/2026).</w:t>
      </w:r>
    </w:p>
    <w:p>
      <w:pPr>
        <w:pStyle w:val="ListBullet"/>
      </w:pPr>
      <w:r>
        <w:t>WMA. Tuyên ngôn Helsinki (bản sửa đổi 2024).</w:t>
      </w:r>
    </w:p>
    <w:p>
      <w:pPr>
        <w:pStyle w:val="ListBullet"/>
      </w:pPr>
      <w:r>
        <w:t>CIOMS. International Ethical Guidelines for Health-related Research Involving Humans, 2016.</w:t>
      </w:r>
    </w:p>
    <w:p>
      <w:pPr>
        <w:pStyle w:val="ListBullet"/>
      </w:pPr>
      <w:r>
        <w:t>Lwanga SK, Lemeshow S. Sample size determination in health studies (WHO, 1991).</w:t>
      </w:r>
    </w:p>
    <w:p>
      <w:pPr>
        <w:pStyle w:val="ListBullet"/>
      </w:pPr>
      <w:r>
        <w:t>Marshall GN, Hays RD. The Patient Satisfaction Questionnaire Short-Form (PSQ-18). RAND, 1994 (bản gốc RAND – không nằm trong PubMed; xác nhận gián tiếp qua các tài liệu dịch thuật).</w:t>
      </w:r>
    </w:p>
    <w:p>
      <w:pPr>
        <w:pStyle w:val="Heading1"/>
      </w:pPr>
      <w:r>
        <w:t xml:space="preserve">PHỤ LỤC A. KẾ HOẠCH PHÂN TÍCH THỐNG KÊ (SAP) CHI TIẾT — </w:t>
      </w:r>
      <w:r>
        <w:rPr>
          <w:i/>
        </w:rPr>
        <w:t>[DỰ THẢO v1.0 – CHỜ KHÓA TRƯỚC KHI MỞ DỮ LIỆU]</w:t>
      </w:r>
    </w:p>
    <w:p>
      <w:pPr>
        <w:ind w:left="425"/>
      </w:pPr>
      <w:r>
        <w:rPr>
          <w:i/>
          <w:color w:val="444444"/>
        </w:rPr>
        <w:t xml:space="preserve">Tài liệu này phải được chủ nhiệm và nhà thống kê ký và ghi "KHÓA ngày ___" </w:t>
      </w:r>
      <w:r>
        <w:rPr>
          <w:b/>
          <w:i/>
          <w:color w:val="444444"/>
        </w:rPr>
        <w:t>trước khi</w:t>
      </w:r>
      <w:r>
        <w:rPr>
          <w:i/>
          <w:color w:val="444444"/>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pStyle w:val="Heading2"/>
      </w:pPr>
      <w:r>
        <w:t>A.1. Nguyên tắc chung</w:t>
      </w:r>
    </w:p>
    <w:p>
      <w:pPr>
        <w:pStyle w:val="ListBullet"/>
      </w:pPr>
      <w:r>
        <w:t>α = 0,05 hai đuôi; khoảng tin cậy 95% cho mọi ước lượng.</w:t>
      </w:r>
    </w:p>
    <w:p>
      <w:pPr>
        <w:pStyle w:val="ListBullet"/>
      </w:pPr>
      <w:r>
        <w:rPr>
          <w:b/>
        </w:rPr>
        <w:t>Cấm p đơn độc:</w:t>
      </w:r>
      <w:r>
        <w:t xml:space="preserve"> luôn báo hiệu ứng (tỷ lệ, hiệu số tỷ lệ, β, OR, hệ số tương quan) kèm khoảng tin cậy 95%.</w:t>
      </w:r>
    </w:p>
    <w:p>
      <w:pPr>
        <w:pStyle w:val="ListBullet"/>
      </w:pPr>
      <w:r>
        <w:t>Phân biệt định trước (pre-specified) và thăm dò (exploratory).</w:t>
      </w:r>
    </w:p>
    <w:p>
      <w:pPr>
        <w:pStyle w:val="ListBullet"/>
      </w:pPr>
      <w:r>
        <w:t>Làm tròn: tỷ lệ 1 chữ số thập phân; điểm Likert 2 chữ số; β/OR 2 chữ số kèm KTC 95%; p báo trị số thực đến 3 chữ số (không viết "p &lt; 0,05" trơ).</w:t>
      </w:r>
    </w:p>
    <w:p>
      <w:pPr>
        <w:pStyle w:val="ListBullet"/>
      </w:pPr>
      <w:r>
        <w:t>Cố định seed cho các thủ tục ngẫu nhiên (MI, bootstrap); lưu script để tái lập.</w:t>
      </w:r>
    </w:p>
    <w:p>
      <w:pPr>
        <w:pStyle w:val="ListBullet"/>
      </w:pPr>
      <w:r>
        <w:t>Phần mềm (</w:t>
      </w:r>
      <w:r>
        <w:rPr>
          <w:b/>
        </w:rPr>
        <w:t>đã khóa</w:t>
      </w:r>
      <w:r>
        <w:t xml:space="preserve"> = R, mục 4.10): </w:t>
      </w:r>
      <w:r>
        <w:rPr>
          <w:b/>
        </w:rPr>
        <w:t>R ≥ 4.3</w:t>
      </w:r>
      <w:r>
        <w:t xml:space="preserve"> với </w:t>
      </w:r>
      <w:r>
        <w:rPr>
          <w:rFonts w:ascii="Consolas" w:hAnsi="Consolas"/>
        </w:rPr>
        <w:t>stats</w:t>
      </w:r>
      <w:r>
        <w:t>/</w:t>
      </w:r>
      <w:r>
        <w:rPr>
          <w:rFonts w:ascii="Consolas" w:hAnsi="Consolas"/>
        </w:rPr>
        <w:t>car</w:t>
      </w:r>
      <w:r>
        <w:t>/</w:t>
      </w:r>
      <w:r>
        <w:rPr>
          <w:rFonts w:ascii="Consolas" w:hAnsi="Consolas"/>
        </w:rPr>
        <w:t>rms</w:t>
      </w:r>
      <w:r>
        <w:t>/</w:t>
      </w:r>
      <w:r>
        <w:rPr>
          <w:rFonts w:ascii="Consolas" w:hAnsi="Consolas"/>
        </w:rPr>
        <w:t>logistf</w:t>
      </w:r>
      <w:r>
        <w:t>/</w:t>
      </w:r>
      <w:r>
        <w:rPr>
          <w:rFonts w:ascii="Consolas" w:hAnsi="Consolas"/>
        </w:rPr>
        <w:t>mice</w:t>
      </w:r>
      <w:r>
        <w:t xml:space="preserve"> cho các mô hình phụ trợ, cùng </w:t>
      </w:r>
      <w:r>
        <w:rPr>
          <w:rFonts w:ascii="Consolas" w:hAnsi="Consolas"/>
        </w:rPr>
        <w:t>MASS::polr</w:t>
      </w:r>
      <w:r>
        <w:t>/</w:t>
      </w:r>
      <w:r>
        <w:rPr>
          <w:rFonts w:ascii="Consolas" w:hAnsi="Consolas"/>
        </w:rPr>
        <w:t>rms::orm</w:t>
      </w:r>
      <w:r>
        <w:t>/</w:t>
      </w:r>
      <w:r>
        <w:rPr>
          <w:rFonts w:ascii="Consolas" w:hAnsi="Consolas"/>
        </w:rPr>
        <w:t>ordinal::clm</w:t>
      </w:r>
      <w:r>
        <w:t xml:space="preserve"> cho hồi quy logistic thứ tự (mô hình chính), </w:t>
      </w:r>
      <w:r>
        <w:rPr>
          <w:rFonts w:ascii="Consolas" w:hAnsi="Consolas"/>
        </w:rPr>
        <w:t>brant</w:t>
      </w:r>
      <w:r>
        <w:t>/</w:t>
      </w:r>
      <w:r>
        <w:rPr>
          <w:rFonts w:ascii="Consolas" w:hAnsi="Consolas"/>
        </w:rPr>
        <w:t>VGAM</w:t>
      </w:r>
      <w:r>
        <w:t>/</w:t>
      </w:r>
      <w:r>
        <w:rPr>
          <w:rFonts w:ascii="Consolas" w:hAnsi="Consolas"/>
        </w:rPr>
        <w:t>ordinal</w:t>
      </w:r>
      <w:r>
        <w:t xml:space="preserve"> cho kiểm định và mở rộng proportional odds (partial proportional odds/generalized ordered logit khi vi phạm).</w:t>
      </w:r>
    </w:p>
    <w:p>
      <w:pPr>
        <w:pStyle w:val="Heading2"/>
      </w:pPr>
      <w:r>
        <w:t>A.2. Mục tiêu 1 (mô tả)</w:t>
      </w:r>
    </w:p>
    <w:p>
      <w:pPr>
        <w:pStyle w:val="ListBullet"/>
      </w:pPr>
      <w:r>
        <w:t>Trình bày cả trung bình ± SD và trung vị [IQR]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pPr>
      <w:r>
        <w:t>Tỷ lệ hài lòng chung và theo lĩnh vực (ngưỡng cố định ≥ 4/5) kèm KTC 95% Wilson score.</w:t>
      </w:r>
    </w:p>
    <w:p>
      <w:pPr>
        <w:pStyle w:val="ListBullet"/>
      </w:pPr>
      <w:r>
        <w:t>Báo % đạt điểm sàn/trần mỗi lĩnh vực; nếu &gt; 15% (ngưỡng Terwee[14]) → ghi là hạn chế đo lường, ưu tiên trung vị [IQR] + phân tích nhạy cảm.</w:t>
      </w:r>
    </w:p>
    <w:p>
      <w:pPr>
        <w:pStyle w:val="ListBullet"/>
      </w:pPr>
      <w: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b/>
        </w:rPr>
        <w:t>29 mục A–E</w:t>
      </w:r>
      <w:r>
        <w:t xml:space="preserve"> (loại F1 — chỉ số đơn mục, không đưa vào EFA): ma trận tương quan </w:t>
      </w:r>
      <w:r>
        <w:rPr>
          <w:b/>
        </w:rPr>
        <w:t>polychoric</w:t>
      </w:r>
      <w:r>
        <w:t xml:space="preserve">, số nhân tố xác định bằng </w:t>
      </w:r>
      <w:r>
        <w:rPr>
          <w:b/>
        </w:rPr>
        <w:t>parallel analysis</w:t>
      </w:r>
      <w:r>
        <w:t xml:space="preserve">, xoay </w:t>
      </w:r>
      <w:r>
        <w:rPr>
          <w:b/>
        </w:rPr>
        <w:t>xiên (oblique)</w:t>
      </w:r>
      <w:r>
        <w:t>; EFA là bằng chứng bổ sung cho pha phát triển công cụ, không tự thân chứng minh công cụ "đã chuẩn hóa" (mục 4.5.3).</w:t>
      </w:r>
    </w:p>
    <w:p>
      <w:pPr>
        <w:pStyle w:val="Heading2"/>
      </w:pPr>
      <w:r>
        <w:t>A.3. Mục tiêu 2 (phân tích)</w:t>
      </w:r>
    </w:p>
    <w:p>
      <w:pPr>
        <w:pStyle w:val="ListBullet"/>
      </w:pPr>
      <w:r>
        <w:rPr>
          <w:b/>
        </w:rPr>
        <w:t>Kết cục chính:</w:t>
      </w:r>
      <w:r>
        <w:t xml:space="preserve"> </w:t>
      </w:r>
      <w:r>
        <w:rPr>
          <w:rFonts w:ascii="Consolas" w:hAnsi="Consolas"/>
        </w:rPr>
        <w:t>G1</w:t>
      </w:r>
      <w:r>
        <w:t xml:space="preserve"> (hài lòng chung, hỏi trực tiếp, </w:t>
      </w:r>
      <w:r>
        <w:rPr>
          <w:b/>
        </w:rPr>
        <w:t>thứ hạng 1–5</w:t>
      </w:r>
      <w:r>
        <w:t xml:space="preserve">) → </w:t>
      </w:r>
      <w:r>
        <w:rPr>
          <w:b/>
        </w:rPr>
        <w:t>hồi quy logistic thứ tự (ordinal/proportional odds) đa biến</w:t>
      </w:r>
      <w:r>
        <w:t xml:space="preserve">, báo </w:t>
      </w:r>
      <w:r>
        <w:rPr>
          <w:b/>
        </w:rPr>
        <w:t>tỷ số chênh chung hiệu chỉnh (cOR)</w:t>
      </w:r>
      <w:r>
        <w:t xml:space="preserve"> + KTC 95%. Exposure chính (thời gian chờ) báo hiệu ứng theo </w:t>
      </w:r>
      <w:r>
        <w:rPr>
          <w:b/>
        </w:rPr>
        <w:t>mỗi 15 phút</w:t>
      </w:r>
      <w:r>
        <w:t xml:space="preserve">. Kiểm phi tuyến của exposure bằng </w:t>
      </w:r>
      <w:r>
        <w:rPr>
          <w:b/>
        </w:rPr>
        <w:t>restricted cubic spline 3 nút</w:t>
      </w:r>
      <w:r>
        <w:t xml:space="preserve"> hoặc phân tích nhạy cảm theo phân vị. </w:t>
      </w:r>
      <w:r>
        <w:rPr>
          <w:b/>
        </w:rPr>
        <w:t>Kiểm định giả định proportional odds</w:t>
      </w:r>
      <w:r>
        <w:t xml:space="preserve"> (Brant/so sánh log-likelihood theo ranh giới cắt) trước khi diễn giải cOR như một tỷ số chênh chung duy nhất; </w:t>
      </w:r>
      <w:r>
        <w:rPr>
          <w:b/>
        </w:rPr>
        <w:t>nếu vi phạm</w:t>
      </w:r>
      <w:r>
        <w:t xml:space="preserve"> → </w:t>
      </w:r>
      <w:r>
        <w:rPr>
          <w:b/>
        </w:rPr>
        <w:t>partial proportional odds</w:t>
      </w:r>
      <w:r>
        <w:t>/</w:t>
      </w:r>
      <w:r>
        <w:rPr>
          <w:b/>
        </w:rPr>
        <w:t>generalized ordered logit</w:t>
      </w:r>
      <w:r>
        <w:t xml:space="preserve">, báo hệ số theo từng ranh giới cắt cho (các) biến vi phạm.[20] </w:t>
      </w:r>
      <w:r>
        <w:rPr>
          <w:b/>
        </w:rPr>
        <w:t>Phân tích nhạy cảm:</w:t>
      </w:r>
      <w:r>
        <w:t xml:space="preserve"> hồi quy tuyến tính đa biến trên G1 (coi liên tục), sai số chuẩn </w:t>
      </w:r>
      <w:r>
        <w:rPr>
          <w:b/>
        </w:rPr>
        <w:t>robust HC3</w:t>
      </w:r>
      <w:r>
        <w:t xml:space="preserve">, báo β + KTC 95% (Bảng 5.5) — không phải mô hình chi phối kết luận; </w:t>
      </w:r>
      <w:r>
        <w:rPr>
          <w:b/>
        </w:rPr>
        <w:t>không</w:t>
      </w:r>
      <w:r>
        <w:t xml:space="preserve"> đổi outcome/mô hình chính chỉ vì Shapiro–Wilk p &lt; 0,05 của phân tích nhạy cảm này.</w:t>
      </w:r>
    </w:p>
    <w:p>
      <w:pPr>
        <w:pStyle w:val="ListBullet"/>
      </w:pPr>
      <w:r>
        <w:rPr>
          <w:b/>
        </w:rPr>
        <w:t>Phân tích đối chiếu hội tụ:</w:t>
      </w:r>
      <w:r>
        <w:t xml:space="preserve"> tương quan Pearson/Spearman giữa </w:t>
      </w:r>
      <w:r>
        <w:rPr>
          <w:rFonts w:ascii="Consolas" w:hAnsi="Consolas"/>
        </w:rPr>
        <w:t>G1</w:t>
      </w:r>
      <w:r>
        <w:t xml:space="preserve"> và </w:t>
      </w:r>
      <w:r>
        <w:rPr>
          <w:rFonts w:ascii="Consolas" w:hAnsi="Consolas"/>
        </w:rPr>
        <w:t>SHLNBChung_TinhToan</w:t>
      </w:r>
      <w:r>
        <w:t xml:space="preserve"> (trung bình 30 mục A1–F1) — mô tả/thăm dò, không thay thế mô hình chính (Bảng 5.5).</w:t>
      </w:r>
    </w:p>
    <w:p>
      <w:pPr>
        <w:pStyle w:val="ListBullet"/>
      </w:pPr>
      <w:r>
        <w:rPr>
          <w:b/>
        </w:rPr>
        <w:t>Phân tích thứ cấp/mô tả:</w:t>
      </w:r>
      <w:r>
        <w:t xml:space="preserve"> </w:t>
      </w:r>
      <w:r>
        <w:rPr>
          <w:rFonts w:ascii="Consolas" w:hAnsi="Consolas"/>
        </w:rPr>
        <w:t>SHLNBChung_NhiPhan</w:t>
      </w:r>
      <w:r>
        <w:t xml:space="preserve"> (từ G1, ngưỡng cố định ≥ 4/5) → hồi quy logistic đa biến, báo aOR + KTC 95%, </w:t>
      </w:r>
      <w:r>
        <w:rPr>
          <w:b/>
        </w:rPr>
        <w:t>CHỈ khi</w:t>
      </w:r>
      <w: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b/>
        </w:rPr>
        <w:t>Không</w:t>
      </w:r>
      <w:r>
        <w:t xml:space="preserve"> dùng ngưỡng theo trung vị mẫu. AUC không thuộc kế hoạch phân tích thứ cấp.</w:t>
      </w:r>
    </w:p>
    <w:p>
      <w:pPr>
        <w:pStyle w:val="ListBullet"/>
      </w:pPr>
      <w:r>
        <w:rPr>
          <w:b/>
        </w:rPr>
        <w:t>Đơn biến:</w:t>
      </w:r>
      <w:r>
        <w:t xml:space="preserve"> với kết cục liên tục dùng t-test/ANOVA hoặc tương quan Pearson/Spearman; với kết cục nhị phân thứ cấp dùng χ²/Fisher exact; luôn kèm hiệu ứng + KTC 95%. </w:t>
      </w:r>
      <w:r>
        <w:rPr>
          <w:b/>
        </w:rPr>
        <w:t>Không</w:t>
      </w:r>
      <w:r>
        <w:t xml:space="preserve"> áp hiệu chỉnh đa so sánh (FDR/Holm) cho bảng đơn biến (xem A.3 mục "Đa so sánh" bên dưới).</w:t>
      </w:r>
    </w:p>
    <w:p>
      <w:pPr>
        <w:pStyle w:val="ListBullet"/>
      </w:pPr>
      <w:r>
        <w:rPr>
          <w:b/>
        </w:rPr>
        <w:t>Chọn biến đa biến — BA NHÓM đã khóa (xem thêm Phụ lục D — DAG):</w:t>
      </w:r>
    </w:p>
    <w:p>
      <w:pPr>
        <w:pStyle w:val="ListNumber"/>
      </w:pPr>
      <w:r>
        <w:rPr>
          <w:b/>
        </w:rPr>
        <w:t>Exposure chính:</w:t>
      </w:r>
      <w:r>
        <w:t xml:space="preserve"> thời gian chờ.</w:t>
      </w:r>
    </w:p>
    <w:p>
      <w:pPr>
        <w:pStyle w:val="ListNumber"/>
      </w:pPr>
      <w:r>
        <w:rPr>
          <w:b/>
        </w:rPr>
        <w:t>Biến điều chỉnh bắt buộc (forced-in, theo DAG, không theo ngưỡng đơn biến):</w:t>
      </w:r>
      <w:r>
        <w:t xml:space="preserve"> tuổi, giới, nơi cư trú, có thẻ BHYT, lý do khám, chuyên khoa, khung giờ khám, ngày trong tuần.</w:t>
      </w:r>
    </w:p>
    <w:p>
      <w:pPr>
        <w:pStyle w:val="ListNumber"/>
      </w:pPr>
      <w:r>
        <w:rPr>
          <w:b/>
        </w:rPr>
        <w:t>Biến thăm dò (exploratory):</w:t>
      </w:r>
      <w:r>
        <w:t xml:space="preserve"> học vấn, nghề nghiệp, thu nhập hộ gia đình, khoảng cách nhà–viện, phương tiện di chuyển, nguồn thông tin biết đến viện, số quầy (nếu đủ điều kiện), cận lâm sàng — ngưỡng đơn biến p &lt; 0,20 </w:t>
      </w:r>
      <w:r>
        <w:rPr>
          <w:b/>
        </w:rPr>
        <w:t>chỉ</w:t>
      </w:r>
      <w:r>
        <w:t xml:space="preserve"> áp dụng để chọn vào nhóm thăm dò này, gắn nhãn "exploratory"; </w:t>
      </w:r>
      <w:r>
        <w:rPr>
          <w:b/>
        </w:rPr>
        <w:t>không</w:t>
      </w:r>
      <w:r>
        <w:t xml:space="preserve"> dùng ngưỡng p &lt; 0,20 để quyết định biến vào mô hình chính.</w:t>
      </w:r>
    </w:p>
    <w:p>
      <w:pPr>
        <w:pStyle w:val="ListBullet"/>
      </w:pPr>
      <w:r>
        <w:rPr>
          <w:b/>
        </w:rPr>
        <w:t>Không</w:t>
      </w:r>
      <w:r>
        <w:t xml:space="preserve"> stepwise tự động làm phân tích chính; trần số tham số theo quy tắc cỡ mẫu (n ≥ 104 + p cho tuyến tính[19]; ≥ 10 biến cố/tham số cho logistic thứ cấp[12]); không hiệu chỉnh biến trung gian/collider (</w:t>
      </w:r>
      <w:r>
        <w:rPr>
          <w:rFonts w:ascii="Consolas" w:hAnsi="Consolas"/>
        </w:rPr>
        <w:t>co_cls</w:t>
      </w:r>
      <w:r>
        <w:t xml:space="preserve">, </w:t>
      </w:r>
      <w:r>
        <w:rPr>
          <w:rFonts w:ascii="Consolas" w:hAnsi="Consolas"/>
        </w:rPr>
        <w:t>so_quay_buoc</w:t>
      </w:r>
      <w:r>
        <w:t xml:space="preserve"> sau khám — xem Phụ lục D).</w:t>
      </w:r>
    </w:p>
    <w:p>
      <w:pPr>
        <w:pStyle w:val="ListBullet"/>
      </w:pPr>
      <w:r>
        <w:rPr>
          <w:b/>
        </w:rPr>
        <w:t>Nhiễu và tương tác:</w:t>
      </w:r>
      <w:r>
        <w:t xml:space="preserve"> đưa đồng thời tập biến điều chỉnh bắt buộc định trước. </w:t>
      </w:r>
      <w:r>
        <w:rPr>
          <w:b/>
        </w:rPr>
        <w:t>Không có số hạng tương tác định trước</w:t>
      </w:r>
      <w:r>
        <w:t xml:space="preserve"> ở phiên bản hiện tại (số hạng thời gian chờ × đối tượng quân/dân đã gỡ bỏ — mục 4.6.2); mọi phân tích tương tác khác là thăm dò.</w:t>
      </w:r>
    </w:p>
    <w:p>
      <w:pPr>
        <w:pStyle w:val="ListBullet"/>
      </w:pPr>
      <w:r>
        <w:rPr>
          <w:b/>
        </w:rPr>
        <w:t>Kiểm định giả định (logistic thứ tự, mô hình CHÍNH):</w:t>
      </w:r>
      <w:r>
        <w:t xml:space="preserve"> </w:t>
      </w:r>
      <w:r>
        <w:rPr>
          <w:b/>
        </w:rPr>
        <w:t>proportional odds</w:t>
      </w:r>
      <w:r>
        <w:t xml:space="preserve"> (Brant hoặc so sánh log-likelihood theo ranh giới cắt) — vi phạm → partial proportional odds/generalized ordered logit, báo hệ số riêng cho biến vi phạm[20]; đa cộng tuyến (VIF/GVIF &gt; 10 → xử lý); phi tuyến của exposure liên tục (restricted cubic spline 3 nút/phân tích theo phân vị); hiệu chuẩn.</w:t>
      </w:r>
    </w:p>
    <w:p>
      <w:pPr>
        <w:pStyle w:val="ListBullet"/>
      </w:pPr>
      <w:r>
        <w:rPr>
          <w:b/>
        </w:rPr>
        <w:t>Kiểm định giả định (tuyến tính, PHÂN TÍCH NHẠY CẢM):</w:t>
      </w:r>
      <w: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pPr>
      <w:r>
        <w:rPr>
          <w:b/>
        </w:rPr>
        <w:t>Kiểm định giả định (logistic nhị phân, thứ cấp — chỉ khi đủ điều kiện kích hoạt):</w:t>
      </w:r>
      <w:r>
        <w:t xml:space="preserve"> VIF/GVIF; tuyến tính log-odds (Box–Tidwell); hiệu chuẩn (calibration plot); </w:t>
      </w:r>
      <w:r>
        <w:rPr>
          <w:b/>
        </w:rPr>
        <w:t>Firth</w:t>
      </w:r>
      <w:r>
        <w:t xml:space="preserve"> chỉ áp dụng nếu separation VÀ đủ thông tin khoa học để ước lượng ổn định.[17] AUC không thuộc kế hoạch phân tích này.</w:t>
      </w:r>
    </w:p>
    <w:p>
      <w:pPr>
        <w:pStyle w:val="ListBullet"/>
      </w:pPr>
      <w:r>
        <w:rPr>
          <w:b/>
        </w:rPr>
        <w:t>Dữ liệu thiếu:</w:t>
      </w:r>
      <w:r>
        <w:t xml:space="preserve"> ba mã tách riêng — </w:t>
      </w:r>
      <w:r>
        <w:rPr>
          <w:b/>
        </w:rPr>
        <w:t>7 = không áp dụng/không sử dụng dịch vụ này</w:t>
      </w:r>
      <w:r>
        <w:t xml:space="preserve"> (loại khỏi cả tử số và mẫu số khi tính điểm miền), </w:t>
      </w:r>
      <w:r>
        <w:rPr>
          <w:b/>
        </w:rPr>
        <w:t>8 = không biết/không nhớ</w:t>
      </w:r>
      <w:r>
        <w:t xml:space="preserve">, </w:t>
      </w:r>
      <w:r>
        <w:rPr>
          <w:b/>
        </w:rPr>
        <w:t>9 = không trả lời/từ chối</w:t>
      </w:r>
      <w:r>
        <w:t xml:space="preserve"> (cả hai loại khỏi tử số, tính là "thiếu"). Điểm một lĩnh vực chỉ tính khi </w:t>
      </w:r>
      <w:r>
        <w:rPr>
          <w:b/>
        </w:rPr>
        <w:t>≥ 80% mục ÁP DỤNG của lĩnh vực có điểm hợp lệ</w:t>
      </w:r>
      <w:r>
        <w:t xml:space="preserve">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 — </w:t>
      </w:r>
      <w:r>
        <w:rPr>
          <w:b/>
        </w:rPr>
        <w:t>không thể xác định chắc chắn cơ chế MAR/MNAR chỉ bằng dữ liệu quan sát</w:t>
      </w:r>
      <w:r>
        <w:t xml:space="preserve">. Phân tích chính là </w:t>
      </w:r>
      <w:r>
        <w:rPr>
          <w:b/>
        </w:rPr>
        <w:t>complete-case khi tỷ lệ thiếu rất thấp (&lt; 5%)</w:t>
      </w:r>
      <w:r>
        <w:t xml:space="preserve">. </w:t>
      </w:r>
      <w:r>
        <w:rPr>
          <w:b/>
        </w:rPr>
        <w:t>MICE (m ≥ 20, quy tắc Rubin[18])</w:t>
      </w:r>
      <w:r>
        <w:t xml:space="preserve"> chỉ dùng cho biến nền/phơi nhiễm khi MAR hợp lý và tỷ lệ thiếu đáng kể; </w:t>
      </w:r>
      <w:r>
        <w:rPr>
          <w:b/>
        </w:rPr>
        <w:t>outcome phải được đưa vào mô hình nội suy như một predictor</w:t>
      </w:r>
      <w:r>
        <w:t xml:space="preserve"> (không tự nội suy trực tiếp outcome); </w:t>
      </w:r>
      <w:r>
        <w:rPr>
          <w:b/>
        </w:rPr>
        <w:t>không</w:t>
      </w:r>
      <w:r>
        <w:t xml:space="preserve"> áp MICE cho biến kết cục; </w:t>
      </w:r>
      <w:r>
        <w:rPr>
          <w:b/>
        </w:rPr>
        <w:t>không</w:t>
      </w:r>
      <w:r>
        <w:t xml:space="preserve"> dùng mean substitution/LOCF.</w:t>
      </w:r>
    </w:p>
    <w:p>
      <w:pPr>
        <w:pStyle w:val="ListBullet"/>
      </w:pPr>
      <w:r>
        <w:rPr>
          <w:b/>
        </w:rPr>
        <w:t>Đa so sánh:</w:t>
      </w:r>
      <w:r>
        <w:t xml:space="preserve"> </w:t>
      </w:r>
      <w:r>
        <w:rPr>
          <w:b/>
        </w:rPr>
        <w:t>không</w:t>
      </w:r>
      <w:r>
        <w:t xml:space="preserve"> áp FDR/Holm cho bảng đơn biến (Bảng 5.3); kết luận dựa vào mô hình đa biến chính, effect size và KTC 95%. Nguyên tắc chung vẫn là "cấm p đơn độc" (A.1).</w:t>
      </w:r>
    </w:p>
    <w:p>
      <w:pPr>
        <w:pStyle w:val="ListBullet"/>
      </w:pPr>
      <w:r>
        <w:rPr>
          <w:b/>
        </w:rPr>
        <w:t>Nếu phương án dự phòng chọn mẫu cụm thời gian được kích hoạt (mục 4.4.2):</w:t>
      </w:r>
      <w:r>
        <w:t xml:space="preserve"> bổ sung phân tích có xét đến design effect/hiệu ứng cụm (ví dụ sai số chuẩn cụm hoặc mô hình hỗn hợp theo cụm khung giờ) thay vì xử lý như chọn mẫu hệ thống cá thể thông thường.</w:t>
      </w:r>
    </w:p>
    <w:p>
      <w:pPr>
        <w:pStyle w:val="Heading2"/>
      </w:pPr>
      <w:r>
        <w:t>A.4. Phân tích nhóm nhỏ (định trước)</w:t>
      </w:r>
    </w:p>
    <w:p>
      <w:pPr>
        <w:pStyle w:val="ListBullet"/>
      </w:pPr>
      <w:r>
        <w:rPr>
          <w:b/>
        </w:rPr>
        <w:t>Không có phân nhóm định trước</w:t>
      </w:r>
      <w:r>
        <w:t xml:space="preserve"> ở phiên bản hiện tại (phân nhóm theo đối tượng quân/dân của bản trước đã gỡ bỏ —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pStyle w:val="Heading2"/>
      </w:pPr>
      <w:r>
        <w:t>A.5. Phân tích nhạy cảm (định trước)</w:t>
      </w:r>
    </w:p>
    <w:p>
      <w:pPr>
        <w:pStyle w:val="ListBullet"/>
      </w:pPr>
      <w: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pPr>
      <w:r>
        <w:rPr>
          <w:b/>
        </w:rPr>
        <w:t>Loại trừ phiếu có hỗ trợ ghi</w:t>
      </w:r>
      <w:r>
        <w:t xml:space="preserve"> (</w:t>
      </w:r>
      <w:r>
        <w:rPr>
          <w:rFonts w:ascii="Consolas" w:hAnsi="Consolas"/>
        </w:rPr>
        <w:t>mode_tra_loi</w:t>
      </w:r>
      <w:r>
        <w:t xml:space="preserve"> = 2 hoặc 3 — người nhà/điều tra viên ghi hộ) khỏi mô hình chính, chạy lại trên tập chỉ gồm phiếu tự điền (</w:t>
      </w:r>
      <w:r>
        <w:rPr>
          <w:rFonts w:ascii="Consolas" w:hAnsi="Consolas"/>
        </w:rPr>
        <w:t>mode_tra_loi</w:t>
      </w:r>
      <w:r>
        <w:t xml:space="preserve"> = 1), so sánh chiều/độ lớn cOR với mô hình đầy đủ (đối chiếu phản biện độc lập 07/07/2026 — mục 4.6.2).</w:t>
      </w:r>
    </w:p>
    <w:p>
      <w:pPr>
        <w:pStyle w:val="Heading2"/>
      </w:pPr>
      <w:r>
        <w:t>A.6. Danh mục phải ấn định trước khi khóa SAP (cổng cứng)</w:t>
      </w:r>
    </w:p>
    <w:p>
      <w:pPr>
        <w:ind w:left="425"/>
      </w:pPr>
      <w:r>
        <w:rPr>
          <w:i/>
          <w:color w:val="444444"/>
        </w:rPr>
        <w:t xml:space="preserve">Nhắc lại quyết định bắt buộc: </w:t>
      </w:r>
      <w:r>
        <w:rPr>
          <w:b/>
          <w:i/>
          <w:color w:val="444444"/>
        </w:rPr>
        <w:t>ngưỡng nhị phân hóa "hài lòng" là G1 ≥ 4/5, khóa trong SAP TRƯỚC khi thu thập số liệu.</w:t>
      </w:r>
      <w:r>
        <w:rPr>
          <w:i/>
          <w:color w:val="444444"/>
        </w:rPr>
        <w:t xml:space="preserve"> Vì G1 là một mục đơn, ngưỡng này </w:t>
      </w:r>
      <w:r>
        <w:rPr>
          <w:b/>
          <w:i/>
          <w:color w:val="444444"/>
        </w:rPr>
        <w:t>tương đương</w:t>
      </w:r>
      <w:r>
        <w:rPr>
          <w:i/>
          <w:color w:val="444444"/>
        </w:rPr>
        <w:t xml:space="preserve"> với top-two-box của chính mục G1 (khác với bản trước, khi kết cục là trung bình nhiều mục — mục 4.5.2). Ngưỡng này chi phối toàn bộ kết cục thứ cấp của Mục tiêu 2; không được ấn định hay thay đổi sau khi đã nhìn dữ liệu. Không dùng ngưỡng theo trung vị mẫu.</w:t>
      </w:r>
    </w:p>
    <w:p>
      <w:pPr>
        <w:pStyle w:val="ListNumber"/>
      </w:pPr>
      <w:r>
        <w:t xml:space="preserve">Cách tính điểm hài lòng chung: </w:t>
      </w:r>
      <w:r>
        <w:rPr>
          <w:b/>
        </w:rPr>
        <w:t>đã khóa</w:t>
      </w:r>
      <w:r>
        <w:t xml:space="preserve"> = G1 (hỏi trực tiếp, mục 4.5.2); </w:t>
      </w:r>
      <w:r>
        <w:rPr>
          <w:rFonts w:ascii="Consolas" w:hAnsi="Consolas"/>
        </w:rPr>
        <w:t>SHLNBChung_TinhToan</w:t>
      </w:r>
      <w:r>
        <w:t xml:space="preserve"> (trung bình A1–F1) chỉ là kết cục đối chiếu/thứ cấp, không phải kết cục chính.</w:t>
      </w:r>
    </w:p>
    <w:p>
      <w:pPr>
        <w:pStyle w:val="ListNumber"/>
      </w:pPr>
      <w:r>
        <w:t xml:space="preserve">Danh mục biến MT2 theo ba nhóm đã khóa (exposure/forced-in/thăm dò) + tập hiệu chỉnh tối thiểu theo DAG (Phụ lục D); </w:t>
      </w:r>
      <w:r>
        <w:rPr>
          <w:b/>
        </w:rPr>
        <w:t>không có</w:t>
      </w:r>
      <w:r>
        <w:t xml:space="preserve"> số hạng tương tác định trước ở phiên bản hiện tại (mục A.3, A.4).</w:t>
      </w:r>
    </w:p>
    <w:p>
      <w:pPr>
        <w:pStyle w:val="ListNumber"/>
      </w:pPr>
      <w:r>
        <w:t xml:space="preserve">Ngưỡng đơn biến p &lt; 0,20 </w:t>
      </w:r>
      <w:r>
        <w:rPr>
          <w:b/>
        </w:rPr>
        <w:t>chỉ</w:t>
      </w:r>
      <w:r>
        <w:t xml:space="preserve"> dùng để chọn biến vào nhóm thăm dò (exploratory); </w:t>
      </w:r>
      <w:r>
        <w:rPr>
          <w:b/>
        </w:rPr>
        <w:t>không</w:t>
      </w:r>
      <w:r>
        <w:t xml:space="preserve"> dùng để chọn biến vào mô hình chính. Trần số tham số theo cỡ mẫu (mục 4.4.1).</w:t>
      </w:r>
    </w:p>
    <w:p>
      <w:pPr>
        <w:pStyle w:val="ListNumber"/>
      </w:pPr>
      <w:r>
        <w:t xml:space="preserve">Chiến lược đa so sánh: </w:t>
      </w:r>
      <w:r>
        <w:rPr>
          <w:b/>
        </w:rPr>
        <w:t>không</w:t>
      </w:r>
      <w:r>
        <w:t xml:space="preserve"> áp FDR/Holm cho bảng đơn biến; kết cục chính giữ α = 0,05, kết luận dựa vào mô hình đa biến chính.</w:t>
      </w:r>
    </w:p>
    <w:p>
      <w:pPr>
        <w:pStyle w:val="ListNumber"/>
      </w:pPr>
      <w:r>
        <w:t>Quy tắc dữ liệu thiếu (ngưỡng % thiếu để giữ complete-case; m của MICE cho biến nền/phơi nhiễm với outcome đưa vào làm predictor; giữ quy tắc ≥ 80% mục tính điểm lĩnh vực).</w:t>
      </w:r>
    </w:p>
    <w:p>
      <w:pPr>
        <w:pStyle w:val="ListNumber"/>
      </w:pPr>
      <w:r>
        <w:t>Mã hóa danh mục (học vấn/nghề/chuyên khoa/nhóm tuổi — các danh mục nhân khẩu khác đã có mã cố định theo phiếu thật, mục 4.6.2).</w:t>
      </w:r>
    </w:p>
    <w:p>
      <w:pPr>
        <w:pStyle w:val="ListNumber"/>
      </w:pPr>
      <w:r>
        <w:t>Phần mềm cuối và phiên bản.</w:t>
      </w:r>
    </w:p>
    <w:p>
      <w:pPr>
        <w:pStyle w:val="ListNumber"/>
      </w:pPr>
      <w:r>
        <w:t>Nếu phương án dự phòng chọn mẫu cụm thời gian được kích hoạt: phương pháp phân tích có xét cụm cụ thể (sai số chuẩn cụm/mô hình hỗn hợp).</w:t>
      </w:r>
    </w:p>
    <w:p>
      <w:r>
        <w:rPr>
          <w:i/>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 cả ba đã được ấn định ở thân đề cương, không còn để ngỏ.)</w:t>
      </w:r>
    </w:p>
    <w:p>
      <w:pPr>
        <w:pStyle w:val="Heading1"/>
      </w:pPr>
      <w:r>
        <w:t xml:space="preserve">PHỤ LỤC B. BẢN THÔNG TIN &amp; ĐỒNG THUẬN THAM GIA (ICF – TIẾNG VIỆT) — </w:t>
      </w:r>
      <w:r>
        <w:rPr>
          <w:i/>
        </w:rPr>
        <w:t>[DỰ THẢO v1.0, chờ Hội đồng phê duyệt]</w:t>
      </w:r>
    </w:p>
    <w:p>
      <w:pPr>
        <w:ind w:left="425"/>
      </w:pPr>
      <w:r>
        <w:rPr>
          <w:b/>
          <w:i/>
          <w:color w:val="444444"/>
        </w:rPr>
        <w:t>TÀI LIỆU GIẤY RIÊNG, ĐỘC LẬP với Phiếu khảo sát (Phụ lục C)</w:t>
      </w:r>
      <w:r>
        <w:rPr>
          <w:i/>
          <w:color w:val="444444"/>
        </w:rPr>
        <w:t xml:space="preserve"> — đối chiếu phản biện độc lập 07/07/2026 (P0-9): đây </w:t>
      </w:r>
      <w:r>
        <w:rPr>
          <w:b/>
          <w:i/>
          <w:color w:val="444444"/>
        </w:rPr>
        <w:t>không còn</w:t>
      </w:r>
      <w:r>
        <w:rPr>
          <w:i/>
          <w:color w:val="444444"/>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 không có bảng ghép nối hai tài liệu theo từng cá nhân cụ thể (mục 4.9, 4.11).</w:t>
      </w:r>
    </w:p>
    <w:p>
      <w:r>
        <w:rPr>
          <w:b/>
        </w:rPr>
        <w:t>Đề tài:</w:t>
      </w:r>
      <w:r>
        <w:t xml:space="preserve"> Đánh giá sự hài lòng của bệnh nhân trong hoạt động khám chữa bệnh tại Khoa Khám bệnh C1a, Trung tâm C1, Bệnh viện Quân y 175.</w:t>
      </w:r>
    </w:p>
    <w:p>
      <w:r>
        <w:rPr>
          <w:b/>
        </w:rPr>
        <w:t>Số thứ tự ICF:</w:t>
      </w:r>
      <w:r>
        <w:t xml:space="preserve"> …………… </w:t>
      </w:r>
      <w:r>
        <w:rPr>
          <w:i/>
        </w:rPr>
        <w:t>(đánh số độc lập với mã nghiên cứu của phiếu khảo sát — không phải cùng một mã)</w:t>
      </w:r>
      <w:r>
        <w:t>.</w:t>
      </w:r>
    </w:p>
    <w:p>
      <w:r>
        <w:t>Kính chào Quý Ông/Bà,</w:t>
      </w:r>
    </w:p>
    <w:p>
      <w:r>
        <w:t xml:space="preserve">Chúng tôi trân trọng mời Ông/Bà tham gia một khảo sát ngắn về mức độ hài lòng đối với dịch vụ khám chữa bệnh tại Khoa. Xin đọc kỹ thông tin sau trước khi quyết định. Việc tham gia là </w:t>
      </w:r>
      <w:r>
        <w:rPr>
          <w:b/>
        </w:rPr>
        <w:t>hoàn toàn tự nguyện</w:t>
      </w:r>
      <w:r>
        <w:t>.</w:t>
      </w:r>
    </w:p>
    <w:p>
      <w:r>
        <w:rPr>
          <w:b/>
        </w:rPr>
        <w:t>1. Mục đích.</w:t>
      </w:r>
      <w:r>
        <w:t xml:space="preserve"> Khảo sát nhằm tìm hiểu mức độ hài lòng của người bệnh và các yếu tố liên quan, để Khoa/Bệnh viện cải tiến chất lượng phục vụ. Nghiên cứu do Khoa Khám bệnh C1a – Trung tâm C1 – Bệnh viện Quân y 175 thực hiện.</w:t>
      </w:r>
    </w:p>
    <w:p>
      <w:r>
        <w:rPr>
          <w:b/>
        </w:rPr>
        <w:t>2. Quy trình.</w:t>
      </w:r>
      <w:r>
        <w:t xml:space="preserve"> Nếu đồng ý, Ông/Bà ký/điểm chỉ vào chính tờ Bản thông tin &amp; Đồng thuận này, sau đó nhận </w:t>
      </w:r>
      <w:r>
        <w:rPr>
          <w:b/>
        </w:rPr>
        <w:t>một phiếu khảo sát riêng</w:t>
      </w:r>
      <w:r>
        <w:t xml:space="preserve"> (chỉ mang mã nghiên cứu, không có tên/chữ ký của Ông/Bà) để tự điền (thông tin chung, đánh giá hài lòng theo lĩnh vực, hài lòng chung, ý kiến đóng góp —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r>
        <w:rPr>
          <w:b/>
        </w:rPr>
        <w:t>3. Về việc bảo mật danh tính.</w:t>
      </w:r>
      <w:r>
        <w:t xml:space="preserve"> Phiếu khảo sát mà Ông/Bà điền </w:t>
      </w:r>
      <w:r>
        <w:rPr>
          <w:b/>
        </w:rPr>
        <w:t>không</w:t>
      </w:r>
      <w:r>
        <w:t xml:space="preserve"> hỏi tên, số hồ sơ, số căn cước, số thẻ bảo hiểm y tế, số điện thoại hay địa chỉ — nội dung trả lời của Ông/Bà là </w:t>
      </w:r>
      <w:r>
        <w:rPr>
          <w:b/>
        </w:rPr>
        <w:t>ẩn danh</w:t>
      </w:r>
      <w:r>
        <w:t xml:space="preserve">. Tên/chữ ký của Ông/Bà chỉ xuất hiện trên chính tờ Bản thông tin &amp; Đồng thuận này (lưu riêng, có kiểm soát truy cập), </w:t>
      </w:r>
      <w:r>
        <w:rPr>
          <w:b/>
        </w:rPr>
        <w:t>không</w:t>
      </w:r>
      <w: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 đây là dữ liệu đã </w:t>
      </w:r>
      <w:r>
        <w:rPr>
          <w:b/>
        </w:rPr>
        <w:t>khử định danh có kiểm soát</w:t>
      </w:r>
      <w:r>
        <w:t>, nhóm nghiên cứu không nhận thông tin bệnh án hoặc thông tin nhận diện cá nhân.</w:t>
      </w:r>
    </w:p>
    <w:p>
      <w:r>
        <w:rPr>
          <w:b/>
        </w:rPr>
        <w:t>4. Rủi ro và bất tiện.</w:t>
      </w:r>
      <w: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r>
        <w:rPr>
          <w:b/>
        </w:rPr>
        <w:t>5. Lợi ích.</w:t>
      </w:r>
      <w:r>
        <w:t xml:space="preserve"> Không có lợi ích cá nhân trực tiếp. Ý kiến của Ông/Bà giúp Khoa/Bệnh viện phục vụ tốt hơn.</w:t>
      </w:r>
    </w:p>
    <w:p>
      <w:r>
        <w:rPr>
          <w:b/>
        </w:rPr>
        <w:t>6. Bảo mật.</w:t>
      </w:r>
      <w: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r>
        <w:rPr>
          <w:b/>
        </w:rPr>
        <w:t>7. Quyền tự nguyện và không ảnh hưởng chăm sóc.</w:t>
      </w:r>
      <w: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w:t>
      </w:r>
      <w:r>
        <w:rPr>
          <w:b/>
        </w:rPr>
        <w:t>trước khi nộp phiếu khảo sát</w:t>
      </w:r>
      <w:r>
        <w: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r>
        <w:rPr>
          <w:b/>
        </w:rPr>
        <w:t>8. Thông tin liên hệ.</w:t>
      </w:r>
      <w:r>
        <w:t xml:space="preserve"> Chủ nhiệm đề tài: …………… – Điện thoại/Email: ……………. Thắc mắc/khiếu nại về quyền của người tham gia: Hội đồng Đạo đức BVQY 175: …………….</w:t>
      </w:r>
    </w:p>
    <w:p>
      <w:r>
        <w:rPr>
          <w:b/>
        </w:rPr>
        <w:t>XÁC NHẬN ĐỒNG Ý THAM GIA</w:t>
      </w:r>
    </w:p>
    <w:p>
      <w: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r>
        <w:t>Họ và tên người tham gia: ……………………………</w:t>
      </w:r>
    </w:p>
    <w:p>
      <w:r>
        <w:t>☐ Tôi đồng ý tham gia nghiên cứu.</w:t>
      </w:r>
    </w:p>
    <w:p>
      <w:r>
        <w:t>Chữ ký/Điểm chỉ tay: ……………………</w:t>
      </w:r>
    </w:p>
    <w:p>
      <w:r>
        <w:t>Ngày: ……… / ……… / ………</w:t>
      </w:r>
    </w:p>
    <w:p>
      <w:r>
        <w:t>Tên/chữ ký người giải thích/thu thập số liệu: ……………………</w:t>
      </w:r>
    </w:p>
    <w:p>
      <w:r>
        <w:rPr>
          <w:i/>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 không phải đồng thuận ngụ ý qua hành vi nộp phiếu, và không phải một phần của phiếu khảo sát.</w:t>
      </w:r>
    </w:p>
    <w:p>
      <w:pPr>
        <w:pStyle w:val="Heading1"/>
      </w:pPr>
      <w:r>
        <w:t xml:space="preserve">PHỤ LỤC C. BỘ CÔNG CỤ — TOÀN VĂN "PHIẾU KHẢO SÁT Ý KIẾN NGƯỜI BỆNH NGOẠI TRÚ" — </w:t>
      </w:r>
      <w:r>
        <w:rPr>
          <w:i/>
        </w:rPr>
        <w:t>[DỰ THẢO v_pilot — CHỜ HỘI ĐỒNG CHUYÊN GIA + COGNITIVE INTERVIEW + PILOT, xem mục 4.5.1/4.5.3/4.9 — CHƯA PHẢI vFinal]</w:t>
      </w:r>
    </w:p>
    <w:p>
      <w:r>
        <w:t xml:space="preserve">Đây là bộ câu hỏi </w:t>
      </w:r>
      <w:r>
        <w:rPr>
          <w:b/>
        </w:rPr>
        <w:t>tự xây dựng</w:t>
      </w:r>
      <w:r>
        <w:t xml:space="preserve"> cho đề tài này (không phải Mẫu số 2 — xem so sánh ở mục 3.2.1, 4.5.1). Bản gốc lấy từ phiếu "hoàn chỉnh, có số thứ tự phiếu" do chủ nhiệm cung cấp (2026-07-06); không có nội dung nào được suy đoán hay dựng thay. </w:t>
      </w:r>
      <w:r>
        <w:rPr>
          <w:b/>
        </w:rPr>
        <w:t>Toàn văn dưới đây đã qua một vòng chỉnh sửa item theo phản biện độc lập 07/07/2026</w:t>
      </w:r>
      <w:r>
        <w:t xml:space="preserve"> (tách mã thiếu 7/8/9, thêm nhánh "không áp dụng", đổi C8 sang hành vi quan sát được, làm rõ mục 10 Phần 1, mở rộng mục 1 Phần 1 thành ba mức, bỏ Phần 5 ra khỏi phiếu — chuyển thành tài liệu đồng thuận riêng ở Phụ lục B, mục 4.11) — đây vẫn là </w:t>
      </w:r>
      <w:r>
        <w:rPr>
          <w:b/>
        </w:rPr>
        <w:t>bản đưa vào hội đồng chuyên gia + cognitive interview + pilot</w:t>
      </w:r>
      <w:r>
        <w:t xml:space="preserve"> (mục 4.5.1), </w:t>
      </w:r>
      <w:r>
        <w:rPr>
          <w:b/>
        </w:rPr>
        <w:t>chưa</w:t>
      </w:r>
      <w:r>
        <w:t xml:space="preserve"> phải phiên bản khóa cuối (vFinal); phiên bản khóa cuối chỉ chốt sau khi hoàn tất pha phát triển công cụ.</w:t>
      </w:r>
    </w:p>
    <w:p>
      <w:r>
        <w:rPr>
          <w:b/>
        </w:rPr>
        <w:t>Trang bìa/đầu phiếu:</w:t>
      </w:r>
      <w: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b/>
        </w:rPr>
        <w:t>Không</w:t>
      </w:r>
      <w:r>
        <w:t xml:space="preserve"> còn mục xác nhận đồng thuận trên phiếu này — đồng thuận là tài liệu riêng (Phụ lục B, mục 4.11).</w:t>
      </w:r>
    </w:p>
    <w:p>
      <w:pPr>
        <w:pStyle w:val="Heading2"/>
      </w:pPr>
      <w:r>
        <w:t>C.1. Phần 1 — Thông tin chung của người bệnh/người trả lời (14 mục)</w:t>
      </w:r>
    </w:p>
    <w:p>
      <w:pPr>
        <w:pStyle w:val="ListNumber"/>
      </w:pPr>
      <w:r>
        <w:t xml:space="preserve">Phiếu này được hoàn thành như thế nào (biến </w:t>
      </w:r>
      <w:r>
        <w:rPr>
          <w:rFonts w:ascii="Consolas" w:hAnsi="Consolas"/>
        </w:rPr>
        <w:t>mode_tra_loi</w:t>
      </w:r>
      <w:r>
        <w:t xml:space="preserve">, mục 4.6.2): (1) Người bệnh tự điền · (2) Người nhà/người chăm sóc </w:t>
      </w:r>
      <w:r>
        <w:rPr>
          <w:b/>
        </w:rPr>
        <w:t>ghi lại đúng nguyên văn</w:t>
      </w:r>
      <w:r>
        <w:t xml:space="preserve"> lời người bệnh trả lời (không phải người nhà tự trả lời thay) · (3) Điều tra viên </w:t>
      </w:r>
      <w:r>
        <w:rPr>
          <w:b/>
        </w:rPr>
        <w:t>ghi lại đúng nguyên văn</w:t>
      </w:r>
      <w:r>
        <w:t xml:space="preserve"> lời người bệnh trả lời (không phải điều tra viên diễn giải/gợi ý đáp án). </w:t>
      </w:r>
      <w:r>
        <w:rPr>
          <w:b/>
        </w:rPr>
        <w:t>Nghiêm cấm</w:t>
      </w:r>
      <w:r>
        <w:t xml:space="preserve"> người khác trả lời THAY người bệnh (proxy response) ở cả ba trường hợp.</w:t>
      </w:r>
    </w:p>
    <w:p>
      <w:pPr>
        <w:pStyle w:val="ListNumber"/>
      </w:pPr>
      <w:r>
        <w:t>Tuổi (năm).</w:t>
      </w:r>
    </w:p>
    <w:p>
      <w:pPr>
        <w:pStyle w:val="ListNumber"/>
      </w:pPr>
      <w:r>
        <w:t>Giới tính: (1) Nam · (2) Nữ.</w:t>
      </w:r>
    </w:p>
    <w:p>
      <w:pPr>
        <w:pStyle w:val="ListNumber"/>
      </w:pPr>
      <w:r>
        <w:t>Trình độ học vấn cao nhất: (1) Mù chữ/chưa đi học · (2) Tiểu học · (3) THCS · (4) THPT · (5) Trung cấp/Cao đẳng · (6) Đại học · (7) Sau đại học.</w:t>
      </w:r>
    </w:p>
    <w:p>
      <w:pPr>
        <w:pStyle w:val="ListNumber"/>
      </w:pPr>
      <w: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pPr>
      <w:r>
        <w:t>Tình trạng hôn nhân: (1) Độc thân/Chưa kết hôn · (2) Đã kết hôn/Chung sống · (3) Ly hôn/Ly thân · (4) Góa bụa.</w:t>
      </w:r>
    </w:p>
    <w:p>
      <w:pPr>
        <w:pStyle w:val="ListNumber"/>
      </w:pPr>
      <w:r>
        <w:t>Nơi cư trú chính: (1) Thành thị · (2) Nông thôn.</w:t>
      </w:r>
    </w:p>
    <w:p>
      <w:pPr>
        <w:pStyle w:val="ListNumber"/>
      </w:pPr>
      <w:r>
        <w:t>Thu nhập trung bình hàng tháng của hộ gia đình: (1) Dưới 5 triệu · (2) 5–&lt;10 triệu · (3) 10–&lt;20 triệu · (4) ≥20 triệu VNĐ.</w:t>
      </w:r>
    </w:p>
    <w:p>
      <w:pPr>
        <w:pStyle w:val="ListNumber"/>
      </w:pPr>
      <w:r>
        <w:t>Có thẻ BHYT không: (1) Có · (2) Không.</w:t>
      </w:r>
    </w:p>
    <w:p>
      <w:pPr>
        <w:pStyle w:val="ListNumber"/>
      </w:pPr>
      <w: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pPr>
      <w:r>
        <w:t>Trong 12 tháng qua (không tính lần này), số lần đã khám tại Khoa: (1) 0 lần · (2) 1–2 lần · (3) ≥3 lần.</w:t>
      </w:r>
    </w:p>
    <w:p>
      <w:pPr>
        <w:pStyle w:val="ListNumber"/>
      </w:pPr>
      <w:r>
        <w:t>Khoảng cách ước lượng từ nhà đến bệnh viện: (1) Dưới 5 km · (2) 5–10 km · (3) Trên 10 km.</w:t>
      </w:r>
    </w:p>
    <w:p>
      <w:pPr>
        <w:pStyle w:val="ListNumber"/>
      </w:pPr>
      <w: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pPr>
      <w: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pStyle w:val="Heading2"/>
      </w:pPr>
      <w:r>
        <w:t>C.2. Phần 2 — Đánh giá mức độ hài lòng theo lĩnh vực (30 mục, Likert 5 mức: 1 = Rất không hài lòng … 5 = Rất hài lòng)</w:t>
      </w:r>
    </w:p>
    <w:p>
      <w:r>
        <w:rPr>
          <w:b/>
        </w:rPr>
        <w:t>A. Khả năng tiếp cận dịch vụ (6 mục)</w:t>
      </w:r>
    </w:p>
    <w:p>
      <w:r>
        <w:t xml:space="preserve">A1. Thời gian chờ đợi để làm thủ tục đăng ký khám. A2. Thời gian chờ đợi để được vào gặp bác sĩ khám. A3. Thời gian chờ đợi để thực hiện các dịch vụ cận lâm sàng </w:t>
      </w:r>
      <w:r>
        <w:rPr>
          <w:b/>
        </w:rPr>
        <w:t>(mục 7 = "Không sử dụng dịch vụ này" nếu không có chỉ định cận lâm sàng)</w:t>
      </w:r>
      <w:r>
        <w:t xml:space="preserve">. A4. Thời gian chờ đợi để nhận kết quả cận lâm sàng </w:t>
      </w:r>
      <w:r>
        <w:rPr>
          <w:b/>
        </w:rPr>
        <w:t>(mục 7 = "Không sử dụng dịch vụ này" nếu không có chỉ định cận lâm sàng)</w:t>
      </w:r>
      <w:r>
        <w:t>. A5. Sự dễ dàng và thuận tiện của thủ tục đăng ký khám bệnh. A6. Sự rõ ràng và đầy đủ của việc được hướng dẫn về quy trình khám bệnh.</w:t>
      </w:r>
    </w:p>
    <w:p>
      <w:r>
        <w:rPr>
          <w:b/>
        </w:rPr>
        <w:t>B. Cơ sở vật chất và phương tiện phục vụ (8 mục)</w:t>
      </w:r>
    </w:p>
    <w:p>
      <w: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r>
        <w:rPr>
          <w:b/>
        </w:rPr>
        <w:t>C. Thái độ ứng xử và năng lực chuyên môn của nhân viên y tế (10 mục)</w:t>
      </w:r>
    </w:p>
    <w:p>
      <w: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b/>
        </w:rPr>
        <w:t>C6. Thái độ niềm nở, nhiệt tình, sẵn sàng giúp đỡ của điều dưỡng/kỹ thuật viên/NVYT khác</w:t>
      </w:r>
      <w:r>
        <w:t xml:space="preserve"> </w:t>
      </w:r>
      <w:r>
        <w:rPr>
          <w:i/>
        </w:rPr>
        <w:t>(⚠️ ĐÁNH DẤU đối chiếu phản biện độc lập 07/07/2026 — item gộp nhiều vai trò nhân viên khác nhau (multi-barreled item), CHƯA tách; xem đề xuất tách cụ thể ở Phụ lục C.5, BẮT BUỘC hội đồng chuyên gia quyết định trước khi khóa vFinal — mục 4.5.1)</w:t>
      </w:r>
      <w:r>
        <w:t xml:space="preserve">. C7. Sự hướng dẫn rõ ràng, cụ thể về các thủ tục. </w:t>
      </w:r>
      <w:r>
        <w:rPr>
          <w:b/>
        </w:rPr>
        <w:t>C8. Sự cẩn thận, nhẹ nhàng và tôn trọng sự riêng tư của nhân viên khi thực hiện thủ thuật/y lệnh (nếu có)</w:t>
      </w:r>
      <w:r>
        <w:t xml:space="preserve"> </w:t>
      </w:r>
      <w:r>
        <w:rPr>
          <w:i/>
        </w:rPr>
        <w:t>(đối chiếu phản biện độc lập 07/07/2026: đổi từ "kỹ năng thực hiện y lệnh, thủ thuật" —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t xml:space="preserve">. </w:t>
      </w:r>
      <w:r>
        <w:rPr>
          <w:b/>
        </w:rPr>
        <w:t>C9. Thái độ lịch sự, thân thiện của nhân viên bảo vệ/hướng dẫn/tiếp đón</w:t>
      </w:r>
      <w:r>
        <w:t xml:space="preserve"> </w:t>
      </w:r>
      <w:r>
        <w:rPr>
          <w:i/>
        </w:rPr>
        <w:t>(⚠️ ĐÁNH DẤU cùng lý do như C6 — gộp vai trò bảo vệ với vai trò hướng dẫn/tiếp đón, xem Phụ lục C.5)</w:t>
      </w:r>
      <w:r>
        <w:t>. C10. Sự sẵn sàng chỉ dẫn, giúp đỡ khi cần.</w:t>
      </w:r>
    </w:p>
    <w:p>
      <w:r>
        <w:rPr>
          <w:b/>
        </w:rPr>
        <w:t>D. Minh bạch thông tin và thủ tục khám bệnh (3 mục)</w:t>
      </w:r>
    </w:p>
    <w:p>
      <w:r>
        <w:t xml:space="preserve">D1. Sự công khai, rõ ràng về giá các dịch vụ y tế. D2. Sự giải thích về các khoản chi phí phải trả </w:t>
      </w:r>
      <w:r>
        <w:rPr>
          <w:b/>
        </w:rPr>
        <w:t>(mục 7 = "Không sử dụng dịch vụ này" nếu không có thắc mắc/không cần hỏi)</w:t>
      </w:r>
      <w:r>
        <w:t xml:space="preserve">. D3. Sự hướng dẫn rõ ràng, đầy đủ về cách sử dụng thuốc </w:t>
      </w:r>
      <w:r>
        <w:rPr>
          <w:b/>
        </w:rPr>
        <w:t>(mục 7 = "Không sử dụng dịch vụ này" nếu không được kê/cấp thuốc lần này)</w:t>
      </w:r>
      <w:r>
        <w:t>.</w:t>
      </w:r>
    </w:p>
    <w:p>
      <w:r>
        <w:rPr>
          <w:b/>
        </w:rPr>
        <w:t>E. Kết quả cung cấp dịch vụ (2 mục)</w:t>
      </w:r>
    </w:p>
    <w:p>
      <w:r>
        <w:t>E1. Mức độ đáp ứng nhu cầu khám chữa bệnh. E2. Sự tin tưởng vào kết quả chẩn đoán và điều trị tại khoa.</w:t>
      </w:r>
    </w:p>
    <w:p>
      <w:r>
        <w:rPr>
          <w:b/>
        </w:rPr>
        <w:t>F. Chi phí dịch vụ (1 mục)</w:t>
      </w:r>
    </w:p>
    <w:p>
      <w:r>
        <w:t>F1. Sự phù hợp của chi phí khám chữa bệnh so với chất lượng dịch vụ nhận được.</w:t>
      </w:r>
    </w:p>
    <w:p>
      <w:pPr>
        <w:pStyle w:val="Heading2"/>
      </w:pPr>
      <w:r>
        <w:t>C.3. Phần 3 — Đánh giá sự hài lòng chung (1 mục, G1)</w:t>
      </w:r>
    </w:p>
    <w:p>
      <w:r>
        <w:t xml:space="preserve">G1. "Nói chung, Ông/Bà hài lòng ở mức độ nào với tất cả các dịch vụ đã nhận được tại Khoa Khám bệnh trong lần khám này?" (Likert 5 mức, độc lập với các lĩnh vực A–F — dùng làm </w:t>
      </w:r>
      <w:r>
        <w:rPr>
          <w:b/>
        </w:rPr>
        <w:t>kết cục chính</w:t>
      </w:r>
      <w:r>
        <w:t>, mục 4.5.2).</w:t>
      </w:r>
    </w:p>
    <w:p>
      <w:pPr>
        <w:pStyle w:val="Heading2"/>
      </w:pPr>
      <w:r>
        <w:t>C.4. Phần 4 — Ý kiến đóng góp khác (1 mục mở)</w:t>
      </w:r>
    </w:p>
    <w:p>
      <w:r>
        <w:t xml:space="preserve">Câu hỏi mở, thu thập góp ý tự do của người bệnh; tổng hợp mô tả/theo chủ đề (biến </w:t>
      </w:r>
      <w:r>
        <w:rPr>
          <w:rFonts w:ascii="Consolas" w:hAnsi="Consolas"/>
        </w:rPr>
        <w:t>Ykiendonggop</w:t>
      </w:r>
      <w:r>
        <w:t>), không lượng hóa vào kết cục. Quy trình mã hóa nội dung mở ở mục 4.10.</w:t>
      </w:r>
    </w:p>
    <w:p>
      <w:r>
        <w:rPr>
          <w:b/>
        </w:rPr>
        <w:t>Phiếu khảo sát kết thúc ở Phần 4.</w:t>
      </w:r>
      <w:r>
        <w:t xml:space="preserve"> </w:t>
      </w:r>
      <w:r>
        <w:rPr>
          <w:i/>
        </w:rPr>
        <w:t>(Đối chiếu phản biện độc lập 07/07/2026 — P0-9: đã bỏ hẳn "Phần 5 — Xác nhận đồng ý tham gia nghiên cứu" ra khỏi phiếu khảo sát.)</w:t>
      </w:r>
      <w:r>
        <w:t xml:space="preserve"> Phiếu khảo sát </w:t>
      </w:r>
      <w:r>
        <w:rPr>
          <w:b/>
        </w:rPr>
        <w:t>không còn</w:t>
      </w:r>
      <w:r>
        <w:t xml:space="preserve"> mục tick/ký/họ tên/mã số phiếu nào để xác nhận đồng thuận — phiếu chỉ mang một </w:t>
      </w:r>
      <w:r>
        <w:rPr>
          <w:b/>
        </w:rPr>
        <w:t>mã nghiên cứu</w:t>
      </w:r>
      <w:r>
        <w:t xml:space="preserve"> (không phải số thứ tự khám công khai) để phục vụ ghép nối thời gian chờ (mục 4.6.3). Đồng thuận tham gia nay là </w:t>
      </w:r>
      <w:r>
        <w:rPr>
          <w:b/>
        </w:rPr>
        <w:t>MỘT TÀI LIỆU RIÊNG, TÁCH BIỆT HOÀN TOÀN</w:t>
      </w:r>
      <w:r>
        <w:t xml:space="preserve"> khỏi phiếu khảo sát — xem Phụ lục B; quy trình phát hai tài liệu và thu phiếu riêng ở mục 4.7, 4.9, 4.11.</w:t>
      </w:r>
    </w:p>
    <w:p>
      <w:pPr>
        <w:pStyle w:val="Heading2"/>
      </w:pPr>
      <w:r>
        <w:t>C.5. Ghi chú kỹ thuật</w:t>
      </w:r>
    </w:p>
    <w:p>
      <w:pPr>
        <w:pStyle w:val="ListBullet"/>
      </w:pPr>
      <w:r>
        <w:rPr>
          <w:b/>
        </w:rPr>
        <w:t>Ba mã thiếu tách riêng</w:t>
      </w:r>
      <w:r>
        <w:t xml:space="preserve"> trong Phần 2 (đối chiếu phản biện độc lập 07/07/2026 — không còn gộp chung một mã 9): </w:t>
      </w:r>
      <w:r>
        <w:rPr>
          <w:b/>
        </w:rPr>
        <w:t>7 = không áp dụng/không sử dụng dịch vụ này</w:t>
      </w:r>
      <w:r>
        <w:t xml:space="preserve"> (chỉ hợp lệ ở A3, A4, C8, D2, D3 — xem ghi chú tại từng mục ở C.2); </w:t>
      </w:r>
      <w:r>
        <w:rPr>
          <w:b/>
        </w:rPr>
        <w:t>8 = không biết/không nhớ</w:t>
      </w:r>
      <w:r>
        <w:t xml:space="preserve">; </w:t>
      </w:r>
      <w:r>
        <w:rPr>
          <w:b/>
        </w:rPr>
        <w:t>9 = không trả lời/từ chối</w:t>
      </w:r>
      <w:r>
        <w:t>. Cách loại khỏi tính điểm miền ở mục 4.5.2, 4.10.</w:t>
      </w:r>
    </w:p>
    <w:p>
      <w:pPr>
        <w:pStyle w:val="ListBullet"/>
      </w:pPr>
      <w:r>
        <w:t xml:space="preserve">Biến </w:t>
      </w:r>
      <w:r>
        <w:rPr>
          <w:rFonts w:ascii="Consolas" w:hAnsi="Consolas"/>
        </w:rPr>
        <w:t>MaSoBenhNhan</w:t>
      </w:r>
      <w:r>
        <w:t xml:space="preserve"> (mã hồ sơ bệnh án) </w:t>
      </w:r>
      <w:r>
        <w:rPr>
          <w:b/>
        </w:rPr>
        <w:t>không</w:t>
      </w:r>
      <w:r>
        <w:t xml:space="preserve"> xuất hiện trên bản in phiếu giấy và </w:t>
      </w:r>
      <w:r>
        <w:rPr>
          <w:b/>
        </w:rPr>
        <w:t>không</w:t>
      </w:r>
      <w:r>
        <w:t xml:space="preserve"> được nhập vào hệ thống nhập liệu của nhóm nghiên cứu dưới bất kỳ hình thức nào — đối soát/chống trùng lúc thu thập do Phòng CNTT/QLCL bệnh viện thực hiện riêng, ngoài quy trình nhập liệu của nhóm nghiên cứu (mục 4.6.3, 6.5).</w:t>
      </w:r>
    </w:p>
    <w:p>
      <w:pPr>
        <w:pStyle w:val="ListBullet"/>
      </w:pPr>
      <w:r>
        <w:t xml:space="preserve">Biến </w:t>
      </w:r>
      <w:r>
        <w:rPr>
          <w:rFonts w:ascii="Consolas" w:hAnsi="Consolas"/>
        </w:rPr>
        <w:t>mode_tra_loi</w:t>
      </w:r>
      <w:r>
        <w:t xml:space="preserve"> (C.1 mục 1) ghi nhận cách hoàn thành phiếu (tự điền/người nhà ghi hộ nguyên văn/điều tra viên ghi hộ nguyên văn); dùng cho phân tích nhạy cảm loại bỏ phiếu có hỗ trợ (mục 4.10).</w:t>
      </w:r>
    </w:p>
    <w:p>
      <w:pPr>
        <w:pStyle w:val="ListBullet"/>
      </w:pPr>
      <w:r>
        <w:rPr>
          <w:b/>
        </w:rPr>
        <w:t>C6 và C9 gộp nhiều vai trò nhân viên khác nhau trong cùng một mục (multi-barreled item)</w:t>
      </w:r>
      <w:r>
        <w:t xml:space="preserve"> — đối chiếu phản biện độc lập 07/07/2026, yêu cầu con "tách vai trò nhân viên" của P0-6 </w:t>
      </w:r>
      <w:r>
        <w:rPr>
          <w:b/>
        </w:rPr>
        <w:t>chưa xử lý</w:t>
      </w:r>
      <w:r>
        <w:t xml:space="preserve"> (khác C8/D2/D3/mục 10/mục 1 đã sửa trực tiếp): C6 gộp "điều dưỡng" + "kỹ thuật viên/NVYT khác"; C9 gộp "bảo vệ" + "hướng dẫn/tiếp đón" — một người bệnh có thể hài lòng với vai trò này nhưng không hài lòng với vai trò kia, làm mất thông tin và khó diễn giải. </w:t>
      </w:r>
      <w:r>
        <w:rPr>
          <w:b/>
        </w:rPr>
        <w:t>Không tự ý tách item ngay trong bản đề cương này</w:t>
      </w:r>
      <w:r>
        <w:t xml:space="preserve">, vì việc tách sẽ tăng số mục (30 → tối đa 32) và cần bổ sung biến mới vào codebook </w:t>
      </w:r>
      <w:r>
        <w:rPr>
          <w:rFonts w:ascii="Consolas" w:hAnsi="Consolas"/>
        </w:rPr>
        <w:t>.sav</w:t>
      </w:r>
      <w:r>
        <w:t xml:space="preserve"> 63 biến thật do chủ nhiệm đã dựng sẵn (một tài liệu ngoài phạm vi chỉnh sửa của đề cương) — đây là quyết định thuộc hội đồng chuyên gia ở pha phát triển công cụ (mục 4.5.1), không phải một sửa lỗi câu chữ đơn thuần. </w:t>
      </w:r>
      <w:r>
        <w:rPr>
          <w:b/>
        </w:rPr>
        <w:t>Đề xuất khởi điểm cho hội đồng chuyên gia</w:t>
      </w:r>
      <w:r>
        <w:t xml:space="preserve">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w:t>
      </w:r>
      <w:r>
        <w:rPr>
          <w:rFonts w:ascii="Consolas" w:hAnsi="Consolas"/>
        </w:rPr>
        <w:t>.sav</w:t>
      </w:r>
      <w:r>
        <w:t xml:space="preserve"> thêm 2 biến mới (65 biến); (b) cập nhật lại mọi chỗ trong đề cương ghi "30 mục"/"10 mục lĩnh vực C" thành 32/12; (c) in lại phiếu.</w:t>
      </w:r>
    </w:p>
    <w:p>
      <w:pPr>
        <w:pStyle w:val="ListBullet"/>
      </w:pPr>
      <w:r>
        <w:t xml:space="preserve">Đây vẫn là </w:t>
      </w:r>
      <w:r>
        <w:rPr>
          <w:b/>
        </w:rPr>
        <w:t>bản đưa vào hội đồng chuyên gia + cognitive interview + pilot</w:t>
      </w:r>
      <w:r>
        <w:t xml:space="preserve"> (mục 4.5.1) — chưa phải vFinal; các chỉnh sửa item ở trên (C8, D2/D3 mục 7, mục 10 Phần 1, mục 1 Phần 1) là điểm khởi đầu cho vòng kiểm định đó; C6/C9 là quyết định còn treo, nêu trên, chưa phải kết luận cuối cùng về câu chữ.</w:t>
      </w:r>
    </w:p>
    <w:p>
      <w:pPr>
        <w:pStyle w:val="Heading1"/>
      </w:pPr>
      <w:r>
        <w:t>PHỤ LỤC D. SƠ ĐỒ NHÂN QUẢ (DAG) CHO MÔ HÌNH CHÍNH MỤC TIÊU 2</w:t>
      </w:r>
    </w:p>
    <w:p>
      <w:r>
        <w:t>Trình bày dưới dạng mô tả luồng mũi tên bằng văn bản (không cần hình vẽ), phục vụ chọn biến điều chỉnh cho mô hình chính (mục 4.6.2, 4.10, Phụ lục A).</w:t>
      </w:r>
    </w:p>
    <w:p>
      <w:r>
        <w:rPr>
          <w:b/>
        </w:rPr>
        <w:t>D.1. Exposure chính:</w:t>
      </w:r>
      <w:r>
        <w:t xml:space="preserve"> thời gian chờ khám (từ lấy số đến khi vào buồng khám).</w:t>
      </w:r>
    </w:p>
    <w:p>
      <w:r>
        <w:rPr>
          <w:b/>
        </w:rPr>
        <w:t>D.2. Outcome chính:</w:t>
      </w:r>
      <w:r>
        <w:t xml:space="preserve"> hài lòng chung (</w:t>
      </w:r>
      <w:r>
        <w:rPr>
          <w:rFonts w:ascii="Consolas" w:hAnsi="Consolas"/>
        </w:rPr>
        <w:t>G1</w:t>
      </w:r>
      <w:r>
        <w:t xml:space="preserve">, hỏi trực tiếp — mục 4.5.2). </w:t>
      </w:r>
      <w:r>
        <w:rPr>
          <w:rFonts w:ascii="Consolas" w:hAnsi="Consolas"/>
        </w:rPr>
        <w:t>SHLNBChung_TinhToan</w:t>
      </w:r>
      <w:r>
        <w:t xml:space="preserve"> (trung bình A1–F1) chỉ dùng đối chiếu hội tụ, không phải outcome của DAG này.</w:t>
      </w:r>
    </w:p>
    <w:p>
      <w:r>
        <w:rPr>
          <w:b/>
        </w:rPr>
        <w:t>D.3. Đường nhiễu (đối chiếu phản biện độc lập 07/07/2026 — tách rõ biến FORCED-IN khỏi biến nhiễu hợp lý nhưng chủ động giữ ở tầng thăm dò, để DAG và tập hiệu chỉnh của mô hình chính thống nhất — mục 4.10, A.3):</w:t>
      </w:r>
    </w:p>
    <w:p>
      <w:pPr>
        <w:pStyle w:val="ListBullet"/>
      </w:pPr>
      <w:r>
        <w:t xml:space="preserve">Tuổi, giới, nơi cư trú → có thẻ BHYT → thời gian chờ → hài lòng (đường nhiễu qua BHYT) — </w:t>
      </w:r>
      <w:r>
        <w:rPr>
          <w:b/>
        </w:rPr>
        <w:t>forced-in</w:t>
      </w:r>
      <w:r>
        <w:t>.</w:t>
      </w:r>
    </w:p>
    <w:p>
      <w:pPr>
        <w:pStyle w:val="ListBullet"/>
      </w:pPr>
      <w:r>
        <w:t xml:space="preserve">Tuổi, giới, nơi cư trú → thời gian chờ → hài lòng (đường nhiễu trực tiếp) — </w:t>
      </w:r>
      <w:r>
        <w:rPr>
          <w:b/>
        </w:rPr>
        <w:t>forced-in</w:t>
      </w:r>
      <w:r>
        <w:t>.</w:t>
      </w:r>
    </w:p>
    <w:p>
      <w:pPr>
        <w:pStyle w:val="ListBullet"/>
      </w:pPr>
      <w:r>
        <w:t xml:space="preserve">Tuổi, giới, nơi cư trú → hài lòng (đường nhiễu trực tiếp tới outcome, không qua thời gian chờ) — </w:t>
      </w:r>
      <w:r>
        <w:rPr>
          <w:b/>
        </w:rPr>
        <w:t>forced-in</w:t>
      </w:r>
      <w:r>
        <w:t>.</w:t>
      </w:r>
    </w:p>
    <w:p>
      <w:pPr>
        <w:pStyle w:val="ListBullet"/>
      </w:pPr>
      <w:r>
        <w:rPr>
          <w:b/>
        </w:rPr>
        <w:t>Học vấn → thời gian chờ → hài lòng, và học vấn → hài lòng (trực tiếp)</w:t>
      </w:r>
      <w:r>
        <w:t xml:space="preserve"> — về lý thuyết là một đường nhiễu hợp lý (tương tự tuổi/giới/nơi cư trú), nhưng đề tài </w:t>
      </w:r>
      <w:r>
        <w:rPr>
          <w:b/>
        </w:rPr>
        <w:t>chủ động giữ học vấn ở tầng biến thăm dò</w:t>
      </w:r>
      <w:r>
        <w:t xml:space="preserve">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b/>
        </w:rPr>
        <w:t>trước khi khóa SAP</w:t>
      </w:r>
      <w:r>
        <w:t xml:space="preserve"> (không phải sau khi xem kết quả).</w:t>
      </w:r>
    </w:p>
    <w:p>
      <w:pPr>
        <w:pStyle w:val="ListBullet"/>
      </w:pPr>
      <w: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w:t>
      </w:r>
      <w:r>
        <w:rPr>
          <w:rFonts w:ascii="Consolas" w:hAnsi="Consolas"/>
        </w:rPr>
        <w:t>LyDoKham</w:t>
      </w:r>
      <w:r>
        <w:t xml:space="preserve"> — </w:t>
      </w:r>
      <w:r>
        <w:rPr>
          <w:b/>
        </w:rPr>
        <w:t>forced-in</w:t>
      </w:r>
      <w:r>
        <w:t>.</w:t>
      </w:r>
    </w:p>
    <w:p>
      <w:pPr>
        <w:pStyle w:val="ListBullet"/>
      </w:pPr>
      <w: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 </w:t>
      </w:r>
      <w:r>
        <w:rPr>
          <w:b/>
        </w:rPr>
        <w:t>forced-in</w:t>
      </w:r>
      <w:r>
        <w:t>.</w:t>
      </w:r>
    </w:p>
    <w:p>
      <w:r>
        <w:rPr>
          <w:i/>
        </w:rPr>
        <w:t>(Đã gỡ bỏ nhánh "đối tượng quân nhân/thân nhân/dân sự" và số hạng tương tác thời gian chờ × đối tượng — quyết định 2026-07-06, mục 4.6.2: phiếu khảo sát và codebook thật không thu thập biến này.)</w:t>
      </w:r>
    </w:p>
    <w:p>
      <w:r>
        <w:rPr>
          <w:b/>
        </w:rPr>
        <w:t>D.4. Biến là HẬU QUẢ của exposure, không được hiệu chỉnh trong mô hình chính (tránh over-adjustment):</w:t>
      </w:r>
    </w:p>
    <w:p>
      <w:pPr>
        <w:pStyle w:val="ListBullet"/>
      </w:pPr>
      <w:r>
        <w:rPr>
          <w:rFonts w:ascii="Consolas" w:hAnsi="Consolas"/>
        </w:rPr>
        <w:t>co_cls</w:t>
      </w:r>
      <w:r>
        <w:t xml:space="preserve"> (có làm cận lâm sàng): thường xảy ra </w:t>
      </w:r>
      <w:r>
        <w:rPr>
          <w:b/>
        </w:rPr>
        <w:t>sau</w:t>
      </w:r>
      <w: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pPr>
      <w:r>
        <w:rPr>
          <w:rFonts w:ascii="Consolas" w:hAnsi="Consolas"/>
        </w:rPr>
        <w:t>so_quay_buoc</w:t>
      </w:r>
      <w:r>
        <w:t xml:space="preserve"> khi phát sinh </w:t>
      </w:r>
      <w:r>
        <w:rPr>
          <w:b/>
        </w:rPr>
        <w:t>sau</w:t>
      </w:r>
      <w:r>
        <w:t xml:space="preserve"> khi vào khám (ví dụ quay lại đóng thêm phí sau khi có chỉ định cận lâm sàng): là hậu quả của quy trình khám, không hiệu chỉnh trong mô hình chính. Nếu toàn bộ các lượt quay đều xảy ra </w:t>
      </w:r>
      <w:r>
        <w:rPr>
          <w:b/>
        </w:rPr>
        <w:t>trước</w:t>
      </w:r>
      <w:r>
        <w:t xml:space="preserve"> khi vào khám, biến này được coi là biến trước exposure và có thể xem xét đưa vào phân tích thăm dò; nếu có quay sau khám thì loại khỏi mô hình thời gian chờ trước khám.</w:t>
      </w:r>
    </w:p>
    <w:p>
      <w:r>
        <w:rPr>
          <w:b/>
        </w:rPr>
        <w:t>D.5. Diễn giải:</w:t>
      </w:r>
      <w: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b/>
        </w:rPr>
        <w:t>mối liên quan hiệu chỉnh</w:t>
      </w:r>
      <w:r>
        <w:t xml:space="preserve"> ước lượng được giữa thời gian chờ và hài lòng (không dùng ngôn ngữ nhân quả "hiệu ứng của thời gian chờ" — đối chiếu mục 4.10, phù hợp thiết kế cắt ngang không suy diễn nhân quả).</w:t>
      </w:r>
    </w:p>
    <w:p>
      <w:r>
        <w:rPr>
          <w:i/>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