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Rule="auto" w:line="312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KẾ HOẠCH TRIỂN KHAI (A13) — hai-long-benh-nhan-C1a-BVQY175</w:t>
      </w:r>
    </w:p>
    <w:p>
      <w:pPr>
        <w:spacing w:before="120" w:after="200" w:lineRule="auto" w:line="312"/>
        <w:jc w:val="both"/>
        <w:ind w:left="567" w:right="567"/>
      </w:pPr>
      <w:r>
        <w:rPr>
          <w:rFonts w:ascii="Times New Roman" w:hAnsi="Times New Roman" w:eastAsia="Times New Roman" w:cs="Times New Roman"/>
          <w:b/>
          <w:i/>
          <w:color w:val="CC7700"/>
          <w:sz w:val="22"/>
        </w:rPr>
        <w:t>[DỰ THẢO]</w:t>
      </w:r>
      <w:r>
        <w:rPr>
          <w:rFonts w:ascii="Times New Roman" w:hAnsi="Times New Roman" w:eastAsia="Times New Roman" w:cs="Times New Roman"/>
          <w:b w:val="0"/>
          <w:i/>
          <w:sz w:val="22"/>
        </w:rPr>
        <w:t xml:space="preserve"> Đơn giá, nhân sự và thời lượng thật do chủ nhiệm/đơn vị xác nhận.</w:t>
      </w:r>
    </w:p>
    <w:p>
      <w:pPr>
        <w:spacing w:before="280" w:after="160" w:lineRule="auto" w:line="312"/>
      </w:pPr>
      <w:r>
        <w:rPr>
          <w:rFonts w:ascii="Times New Roman" w:hAnsi="Times New Roman" w:eastAsia="Times New Roman" w:cs="Times New Roman"/>
          <w:b/>
          <w:i w:val="0"/>
          <w:sz w:val="28"/>
        </w:rPr>
        <w:t>RACI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Công việc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PI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Methodologist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Biostatistician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Data Manager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Site team</w:t>
            </w:r>
          </w:p>
        </w:tc>
      </w:tr>
      <w:tr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Chốt thiết kế/protocol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Cỡ mẫu/SAP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</w:t>
            </w:r>
          </w:p>
        </w:tc>
      </w:tr>
      <w:tr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IRB/consent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</w:t>
            </w:r>
          </w:p>
        </w:tc>
      </w:tr>
      <w:tr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Thu thập/QC dữ liệu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</w:t>
            </w:r>
          </w:p>
        </w:tc>
      </w:tr>
      <w:tr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tích/báo cáo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1512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</w:t>
            </w:r>
          </w:p>
        </w:tc>
      </w:tr>
    </w:tbl>
    <w:p/>
    <w:p>
      <w:pPr>
        <w:spacing w:before="280" w:after="160" w:lineRule="auto" w:line="312"/>
      </w:pPr>
      <w:r>
        <w:rPr>
          <w:rFonts w:ascii="Times New Roman" w:hAnsi="Times New Roman" w:eastAsia="Times New Roman" w:cs="Times New Roman"/>
          <w:b/>
          <w:i w:val="0"/>
          <w:sz w:val="28"/>
        </w:rPr>
        <w:t>GANTT theo cổng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Chặng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Phụ thuộc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Thời lượng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Mốc nghiệm thu</w:t>
            </w:r>
          </w:p>
        </w:tc>
      </w:tr>
      <w:tr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G0–G1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+ protocol map</w:t>
            </w:r>
          </w:p>
        </w:tc>
      </w:tr>
      <w:tr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G2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G1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IRB/registration</w:t>
            </w:r>
          </w:p>
        </w:tc>
      </w:tr>
      <w:tr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G3–G4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G1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Cỡ mẫu + SAP lock</w:t>
            </w:r>
          </w:p>
        </w:tc>
      </w:tr>
      <w:tr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G5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G2/G4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Pilot/SOP/data tools</w:t>
            </w:r>
          </w:p>
        </w:tc>
      </w:tr>
      <w:tr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G6–G10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Data lock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2268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Analysis/report/review/closeout</w:t>
            </w:r>
          </w:p>
        </w:tc>
      </w:tr>
    </w:tbl>
    <w:p/>
    <w:p>
      <w:pPr>
        <w:spacing w:before="280" w:after="160" w:lineRule="auto" w:line="312"/>
      </w:pPr>
      <w:r>
        <w:rPr>
          <w:rFonts w:ascii="Times New Roman" w:hAnsi="Times New Roman" w:eastAsia="Times New Roman" w:cs="Times New Roman"/>
          <w:b/>
          <w:i w:val="0"/>
          <w:sz w:val="28"/>
        </w:rPr>
        <w:t>KINH PHÍ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Nhóm chi phí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Số lượng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Đơn giá có nguồn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tiền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  <w:shd w:fill="D9EAF7"/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Trạng thái</w:t>
            </w:r>
          </w:p>
        </w:tc>
      </w:tr>
      <w:tr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Nhân công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 CHỦ NHIỆM ẤN ĐỊNH]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Dự thảo</w:t>
            </w:r>
          </w:p>
        </w:tc>
      </w:tr>
      <w:tr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Thu thập/xét nghiệm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Dự thảo</w:t>
            </w:r>
          </w:p>
        </w:tc>
      </w:tr>
      <w:tr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Dữ liệu/phần mềm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Dự thảo</w:t>
            </w:r>
          </w:p>
        </w:tc>
      </w:tr>
      <w:tr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Công bố/lưu trữ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/>
                <w:i/>
                <w:color w:val="CC7700"/>
                <w:sz w:val="22"/>
              </w:rPr>
              <w:t>[CẦN]</w:t>
            </w:r>
          </w:p>
        </w:tc>
        <w:tc>
          <w:tcPr>
            <w:tcW w:type="dxa" w:w="1814"/>
            <w:vAlign w:val="top"/>
            <w:tcMar>
              <w:top w:w="108" w:type="dxa"/>
              <w:left w:w="108" w:type="dxa"/>
              <w:bottom w:w="108" w:type="dxa"/>
              <w:right w:w="108" w:type="dxa"/>
            </w:tcMar>
          </w:tcPr>
          <w:p>
            <w:pPr>
              <w:spacing w:before="40" w:after="40" w:lineRule="auto" w:line="276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Dự thảo</w:t>
            </w:r>
          </w:p>
        </w:tc>
      </w:tr>
    </w:tbl>
    <w:p/>
    <w:p>
      <w:pPr>
        <w:spacing w:before="280" w:after="160" w:lineRule="auto" w:line="312"/>
      </w:pPr>
      <w:r>
        <w:rPr>
          <w:rFonts w:ascii="Times New Roman" w:hAnsi="Times New Roman" w:eastAsia="Times New Roman" w:cs="Times New Roman"/>
          <w:b/>
          <w:i w:val="0"/>
          <w:sz w:val="28"/>
        </w:rPr>
        <w:t>QUALITY-BY-DESIGN</w:t>
      </w:r>
    </w:p>
    <w:p>
      <w:pPr>
        <w:pStyle w:val="ListBullet"/>
        <w:spacing w:before="0" w:after="8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Critical-to-quality factors: quyền/an toàn người tham gia; tính tin cậy kết cục chính;</w:t>
      </w:r>
    </w:p>
    <w:p>
      <w:pPr>
        <w:spacing w:before="0" w:after="16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tuyển mẫu; missing data; tuân thủ protocol; truy nguyên dữ liệu.</w:t>
      </w:r>
    </w:p>
    <w:p>
      <w:pPr>
        <w:pStyle w:val="ListBullet"/>
        <w:spacing w:before="0" w:after="8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Quality tolerance limits: </w:t>
      </w:r>
      <w:r>
        <w:rPr>
          <w:rFonts w:ascii="Times New Roman" w:hAnsi="Times New Roman" w:eastAsia="Times New Roman" w:cs="Times New Roman"/>
          <w:b/>
          <w:i/>
          <w:color w:val="CC7700"/>
          <w:sz w:val="26"/>
        </w:rPr>
        <w:t>[CẦN PI/methodologist ấn định trước triển khai]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</w:t>
      </w:r>
    </w:p>
    <w:p>
      <w:pPr>
        <w:pStyle w:val="ListBullet"/>
        <w:spacing w:before="0" w:after="80" w:lineRule="auto" w:line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Monitoring và escalation: </w:t>
      </w:r>
      <w:r>
        <w:rPr>
          <w:rFonts w:ascii="Times New Roman" w:hAnsi="Times New Roman" w:eastAsia="Times New Roman" w:cs="Times New Roman"/>
          <w:b/>
          <w:i/>
          <w:color w:val="CC7700"/>
          <w:sz w:val="26"/>
        </w:rPr>
        <w:t>[CẦN xác nhận tại đơn vị]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</w:t>
      </w:r>
    </w:p>
    <w:p>
      <w:pPr>
        <w:spacing w:before="120" w:after="200" w:lineRule="auto" w:line="312"/>
        <w:jc w:val="both"/>
        <w:ind w:left="567" w:right="567"/>
      </w:pPr>
      <w:r>
        <w:rPr>
          <w:rFonts w:ascii="Times New Roman" w:hAnsi="Times New Roman" w:eastAsia="Times New Roman" w:cs="Times New Roman"/>
          <w:b w:val="0"/>
          <w:i/>
          <w:sz w:val="22"/>
        </w:rPr>
        <w:t>Cần bác sĩ kiểm chứng.</w:t>
      </w:r>
    </w:p>
    <w:sectPr w:rsidR="00FC693F" w:rsidRPr="0006063C" w:rsidSect="00034616">
      <w:footerReference w:type="default" r:id="rId9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Times New Roman" w:hAnsi="Times New Roman" w:eastAsia="Times New Roman" w:cs="Times New Roman"/>
        <w:b w:val="0"/>
        <w:i w:val="0"/>
        <w:sz w:val="20"/>
      </w:rPr>
      <w:t xml:space="preserve">Trang </w:t>
    </w:r>
    <w:r>
      <w:rPr>
        <w:rFonts w:ascii="Times New Roman" w:hAnsi="Times New Roman" w:eastAsia="Times New Roman" w:cs="Times New Roman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