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[CẦN XÁC NHẬN TẠI ĐƠN VỊ]</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Sự hài lòng của bệnh nhân trong hoạt động khám chữa bệnh tại Khoa Khám bệnh theo yêu cầu, bệnh viện quân y tuyến cuối</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i w:val="0"/>
          <w:sz w:val="26"/>
        </w:rPr>
        <w:t xml:space="preserve"> </w:t>
      </w:r>
      <w:r>
        <w:rPr>
          <w:rFonts w:ascii="Times New Roman" w:hAnsi="Times New Roman" w:eastAsia="Times New Roman" w:cs="Times New Roman"/>
          <w:b/>
          <w:i/>
          <w:color w:val="CC7700"/>
          <w:sz w:val="26"/>
        </w:rPr>
        <w:t>[CẦN BỔ SUNG]</w:t>
      </w:r>
    </w:p>
    <w:p/>
    <w:p/>
    <w:p/>
    <w:p>
      <w:pPr>
        <w:spacing w:before="0" w:after="120" w:lineRule="auto" w:line="312"/>
        <w:jc w:val="center"/>
      </w:pPr>
      <w:r>
        <w:rPr>
          <w:rFonts w:ascii="Times New Roman" w:hAnsi="Times New Roman" w:eastAsia="Times New Roman" w:cs="Times New Roman"/>
          <w:b w:val="0"/>
          <w:i w:val="0"/>
          <w:sz w:val="26"/>
        </w:rPr>
        <w:t>[CẦN BỔ SUNG] (địa điểm – năm)</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[Đang dừng] </w:t>
      </w:r>
      <w:r>
        <w:rPr>
          <w:rFonts w:ascii="Times New Roman" w:hAnsi="Times New Roman" w:eastAsia="Times New Roman" w:cs="Times New Roman"/>
          <w:b/>
          <w:i/>
          <w:sz w:val="22"/>
        </w:rPr>
        <w:t>BẢN NHÁP — CHƯA SẴN SÀNG NỘP.</w:t>
      </w:r>
      <w:r>
        <w:rPr>
          <w:rFonts w:ascii="Times New Roman" w:hAnsi="Times New Roman" w:eastAsia="Times New Roman" w:cs="Times New Roman"/>
          <w:b w:val="0"/>
          <w:i/>
          <w:sz w:val="22"/>
        </w:rPr>
        <w:t xml:space="preserve"> Cổng A12 (trích dẫn): chưa chạy agent `kiem-chung-trich-dan` (thiếu artifact A12). KHÔNG dùng tài liệu này để nộp Hội đồng/tạp chí.</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2026-09-06 03:51 từ checkpoint G0–G9 của đề tài `hai-long-benh-nhan-C1a-BVQY175`, theo mẫu 18 chương và ma trận bao phủ 23 thành phần protocol lõi của skill `nghien-cuu-y-khoa-chuan-quoc-te`. Dữ liệu cấu trúc (thiết kế, cỡ mẫu, công thức, đạo đức, chuẩn báo cáo, 12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2026-09-06 03:51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2026-09-06 03:51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systematic review tổng hợp bằng chứng; Chưa có RCT kiểm định hiệu quả can thiệp; Chưa có guideline/khuyến cáo chính thức cho vấn đề này; Không có SR/MA, RCT hay guideline mới trong 5 năm gần đây (2021-2026) — nhánh này KHÔNG soi nghiên cứu quan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mục tiêu: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Câu hỏi mô tả (tỷ lệ/đặc điểm) đến cắt ngang là tiêu chuẩn. Không suy nhân quả từ thiết kế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gian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định nghĩa: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thời điểm: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dữ liệu thật/nguồn chưa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TỐI THIỂU; bảo mật: </w:t>
            </w:r>
            <w:r>
              <w:rPr>
                <w:rFonts w:ascii="Times New Roman" w:hAnsi="Times New Roman" w:eastAsia="Times New Roman" w:cs="Times New Roman"/>
                <w:b/>
                <w:i/>
                <w:color w:val="CC7700"/>
                <w:sz w:val="22"/>
              </w:rPr>
              <w:t>[CẦN BỔ SUNG]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G0-G2 — còn quyết định khoa học cần xác nhận; mức máy-đánh giá: `STRUCTURE_COMPLETE_WITH_OPEN_DECISIONS`</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DỰ THẢO (ĐẠT guardrail)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ĐẠT (dự thảo — chờ bác sĩ điền/nộp)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453).</w:t>
      </w:r>
    </w:p>
    <w:p>
      <w:pPr>
        <w:spacing w:before="0" w:after="160" w:lineRule="auto" w:line="360"/>
        <w:jc w:val="both"/>
      </w:pPr>
      <w:r>
        <w:rPr>
          <w:rFonts w:ascii="Times New Roman" w:hAnsi="Times New Roman" w:eastAsia="Times New Roman" w:cs="Times New Roman"/>
          <w:b/>
          <w:i w:val="0"/>
          <w:sz w:val="26"/>
        </w:rPr>
        <w:t>Mục tiêu và phương pháp tóm tắt: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hoàn thiện tóm tắt có cấu trúc Bối cảnh–Mục tiêu–Phương pháp. Phần Kết quả/Kết luận chỉ được điền sau khi có dữ liệu thật.</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CÓ NỀN QUAN SÁT — ~12 NC quan sát, chưa có RCT/SR</w:t>
      </w:r>
      <w:r>
        <w:rPr>
          <w:rFonts w:ascii="Times New Roman" w:hAnsi="Times New Roman" w:eastAsia="Times New Roman" w:cs="Times New Roman"/>
          <w:b w:val="0"/>
          <w:i w:val="0"/>
          <w:sz w:val="26"/>
        </w:rPr>
        <w:t>, dựa trên 12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Chưa có systematic review tổng hợp bằng chứng</w:t>
      </w:r>
    </w:p>
    <w:p>
      <w:pPr>
        <w:pStyle w:val="ListBullet"/>
        <w:spacing w:before="0" w:after="80" w:lineRule="auto" w:line="360"/>
        <w:jc w:val="both"/>
      </w:pPr>
      <w:r>
        <w:rPr>
          <w:rFonts w:ascii="Times New Roman" w:hAnsi="Times New Roman" w:eastAsia="Times New Roman" w:cs="Times New Roman"/>
          <w:b w:val="0"/>
          <w:i w:val="0"/>
          <w:sz w:val="26"/>
        </w:rPr>
        <w:t>Chưa có RCT kiểm định hiệu quả can thiệp</w:t>
      </w:r>
    </w:p>
    <w:p>
      <w:pPr>
        <w:pStyle w:val="ListBullet"/>
        <w:spacing w:before="0" w:after="80" w:lineRule="auto" w:line="360"/>
        <w:jc w:val="both"/>
      </w:pPr>
      <w:r>
        <w:rPr>
          <w:rFonts w:ascii="Times New Roman" w:hAnsi="Times New Roman" w:eastAsia="Times New Roman" w:cs="Times New Roman"/>
          <w:b w:val="0"/>
          <w:i w:val="0"/>
          <w:sz w:val="26"/>
        </w:rPr>
        <w:t>Chưa có guideline/khuyến cáo chính thức cho vấn đề này</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Phần đặt vấn đề dạng VĂN XUÔI HỌC THUẬT (tầm quan trọng lâm sàng, bối cảnh Việt Nam/đơn vị, lập luận tính cần thiết) do agent `viet-ban-thao`/`tong-quan-y-van` hoặc bác sĩ soạn — G10 không tự viết để tránh bịa bối cảnh.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12 tài liệu PubMed liên quan; 0 tổng quan hệ thống; 0 RCT; mức chứng cứ hiện có: </w:t>
      </w:r>
      <w:r>
        <w:rPr>
          <w:rFonts w:ascii="Times New Roman" w:hAnsi="Times New Roman" w:eastAsia="Times New Roman" w:cs="Times New Roman"/>
          <w:b/>
          <w:i w:val="0"/>
          <w:sz w:val="26"/>
        </w:rPr>
        <w:t>CÓ NỀN QUAN SÁT — ~12 NC quan sát, chưa có RCT/SR</w:t>
      </w:r>
      <w:r>
        <w:rPr>
          <w:rFonts w:ascii="Times New Roman" w:hAnsi="Times New Roman" w:eastAsia="Times New Roman" w:cs="Times New Roman"/>
          <w:b w:val="0"/>
          <w:i w:val="0"/>
          <w:sz w:val="26"/>
        </w:rPr>
        <w:t>. Nguồn truy xuất từng bài: `exports/hai-long-benh-nhan-C1a-BVQY175/G1_A2b_EVIDENCE_LEDGER_hai-long-benh-nhan-C1a-BVQY175.md`.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Đã có nhiều nghiên cứu quan sát: KHÔNG phải khoảng trống. Cần đọc kỹ nhóm này trước khi biện minh tính mới; hướng khả dĩ là SR/MA tổng hợp chúng, hoặc nghiên cứu ở quần thể/bối cảnh chưa được phủ.</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(nêu khung dùng để chọn biến và giải thích kết quả — vd Donabedian, SERVQUAL, mô hình hành vi, khung sinh lý bệnh; thiết kế thuần sinh học/dược lý ghi rõ "không áp dụng" kèm lý do, không bỏ trống)</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0" w:after="160" w:lineRule="auto" w:line="360"/>
        <w:jc w:val="both"/>
      </w:pPr>
      <w:r>
        <w:rPr>
          <w:rFonts w:ascii="Times New Roman" w:hAnsi="Times New Roman" w:eastAsia="Times New Roman" w:cs="Times New Roman"/>
          <w:b/>
          <w:i w:val="0"/>
          <w:sz w:val="26"/>
        </w:rPr>
        <w:t>Câu hỏi PICO/PECO: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nhận 4 thành phần P-I/E-C-O (đã khởi tạo ở G0, chờ chốt).</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(với nghiên cứu mô tả có thể không cần giả thuyết kiểm định; với nghiên cứu phân tích: nêu H0/H1).</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mục tiêu chung của đề tài.</w:t>
      </w:r>
    </w:p>
    <w:p>
      <w:pPr>
        <w:spacing w:before="280" w:after="160" w:lineRule="auto" w:line="312"/>
      </w:pPr>
      <w:r>
        <w:rPr>
          <w:rFonts w:ascii="Times New Roman" w:hAnsi="Times New Roman" w:eastAsia="Times New Roman" w:cs="Times New Roman"/>
          <w:b/>
          <w:i w:val="0"/>
          <w:sz w:val="28"/>
        </w:rPr>
        <w:t>5.2. Mục tiêu cụ thể</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liệt kê các mục tiêu cụ thể (đánh số). Nếu đã có trong study_meta.json sẽ tự điền.</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280" w:after="160" w:lineRule="auto" w:line="312"/>
      </w:pPr>
      <w:r>
        <w:rPr>
          <w:rFonts w:ascii="Times New Roman" w:hAnsi="Times New Roman" w:eastAsia="Times New Roman" w:cs="Times New Roman"/>
          <w:b/>
          <w:i w:val="0"/>
          <w:sz w:val="28"/>
        </w:rPr>
        <w:t>7.1. Tiêu chuẩn chọn</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nhận (tuổi, tình trạng, đồng thuận...).</w:t>
      </w:r>
    </w:p>
    <w:p>
      <w:pPr>
        <w:spacing w:before="280" w:after="160" w:lineRule="auto" w:line="312"/>
      </w:pPr>
      <w:r>
        <w:rPr>
          <w:rFonts w:ascii="Times New Roman" w:hAnsi="Times New Roman" w:eastAsia="Times New Roman" w:cs="Times New Roman"/>
          <w:b/>
          <w:i w:val="0"/>
          <w:sz w:val="28"/>
        </w:rPr>
        <w:t>7.2. Tiêu chuẩn loại</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xác định tiêu chuẩn loại trừ.</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phương pháp chọn mẫu (thuận tiện/ngẫu nhiên hệ thống/phân tầng...) và quy trình tuyển. Cỡ mẫu xem Mục 8.</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chính/phụ + định nghĩa vận hành + thời điểm đo: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chốt (nối agent `bien-so-nghien-cuu`).</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385</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(453).</w:t>
      </w:r>
    </w:p>
    <w:p>
      <w:pPr>
        <w:spacing w:before="120" w:after="200" w:lineRule="auto" w:line="312"/>
        <w:jc w:val="both"/>
        <w:ind w:left="567" w:right="567"/>
      </w:pPr>
      <w:r>
        <w:rPr>
          <w:rFonts w:ascii="Times New Roman" w:hAnsi="Times New Roman" w:eastAsia="Times New Roman" w:cs="Times New Roman"/>
          <w:b w:val="0"/>
          <w:i/>
          <w:sz w:val="22"/>
        </w:rPr>
        <w:t>Lưu ý: nếu effect size/tỷ lệ giả định lấy từ y văn, PHẢI ghi PMID/DOI nguồn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G3 dùng quy ước thận trọng khi chưa có ước tính từ khảo sát tương tự tại cơ sở.</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bác sĩ CUNG CẤP bộ công cụ ĐÃ KIỂM ĐỊNH (không tự chế).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dùng `python3 tools/import_real_dataset.py --study &lt;MÃ&gt; --data &lt;file.csv&gt;` để quét PII, copy raw read-only và tạo manifest trước G6.</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sau khi làm sạch trên bản sao, dùng `python3 tools/lock_analysis_dataset.py --study &lt;MÃ&gt; --clean-data &lt;df_clean.csv&gt; --query-log &lt;query_log.csv&gt; --lock-date &lt;YYYY-MM-DD&gt; --approved-by &lt;PI&gt; --sap-version &lt;x.y&gt; --confirm-deidentified --confirm-clean-copy --confirm-no-open-query --confirm-sap-locked`.</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đã có bản nháp ở G2 (TL6). Bác sĩ xác nhận nơi lưu trữ, thời hạn, phân quyền tại đơn vị.</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spacing w:before="0" w:after="160" w:lineRule="auto" w:line="360"/>
        <w:jc w:val="both"/>
      </w:pPr>
      <w:r>
        <w:rPr>
          <w:rFonts w:ascii="Times New Roman" w:hAnsi="Times New Roman" w:eastAsia="Times New Roman" w:cs="Times New Roman"/>
          <w:b/>
          <w:i w:val="0"/>
          <w:sz w:val="26"/>
        </w:rPr>
        <w:t>Phân tích dự kiến (định trước):</w:t>
      </w:r>
    </w:p>
    <w:p>
      <w:pPr>
        <w:pStyle w:val="ListBullet"/>
        <w:spacing w:before="0" w:after="80" w:lineRule="auto" w:line="360"/>
        <w:jc w:val="both"/>
      </w:pPr>
      <w:r>
        <w:rPr>
          <w:rFonts w:ascii="Times New Roman" w:hAnsi="Times New Roman" w:eastAsia="Times New Roman" w:cs="Times New Roman"/>
          <w:b w:val="0"/>
          <w:i w:val="0"/>
          <w:sz w:val="26"/>
        </w:rPr>
        <w:t>Mô tả: tần số/tỷ lệ (biến định tính), TB±ĐLC hoặc trung vị (IQR) tuỳ phân phối; tỷ lệ kèm KTC 95%.</w:t>
      </w:r>
    </w:p>
    <w:p>
      <w:pPr>
        <w:pStyle w:val="ListBullet"/>
        <w:spacing w:before="0" w:after="80" w:lineRule="auto" w:line="360"/>
        <w:jc w:val="both"/>
      </w:pPr>
      <w:r>
        <w:rPr>
          <w:rFonts w:ascii="Times New Roman" w:hAnsi="Times New Roman" w:eastAsia="Times New Roman" w:cs="Times New Roman"/>
          <w:b w:val="0"/>
          <w:i w:val="0"/>
          <w:sz w:val="26"/>
        </w:rPr>
        <w:t>Phân tích yếu tố liên quan: đơn biến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/Fisher, t-test/Mann-Whitney) đến đa biến (hồi quy logistic/tuyến tính tuỳ kết cục — không áp dụng Cox vì thiết kế không có trục thời gian-đến-biến cố), báo cáo ước lượng + KTC 95% (CẤM p-value đơn độc).</w:t>
      </w:r>
    </w:p>
    <w:p>
      <w:pPr>
        <w:pStyle w:val="ListBullet"/>
        <w:spacing w:before="0" w:after="80" w:lineRule="auto" w:line="360"/>
        <w:jc w:val="both"/>
      </w:pPr>
      <w:r>
        <w:rPr>
          <w:rFonts w:ascii="Times New Roman" w:hAnsi="Times New Roman" w:eastAsia="Times New Roman" w:cs="Times New Roman"/>
          <w:b w:val="0"/>
          <w:i w:val="0"/>
          <w:sz w:val="26"/>
        </w:rPr>
        <w:t xml:space="preserve">Phần mềm + seed + ngưỡng ý nghĩa: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KHOÁ (G4 Lock Certificate) TRƯỚC khi xem dữ liệu. Mã thiết kế `cross_sectional` quyết định test phù hợp (nối `thiet-ke-nghien-cuu`/`phan-tich-thong-ke`).</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khai `table_shells` trong study_meta.json (tối thiểu Bảng 1 đặc điểm nền · Bảng 2 kết cục chính · Bảng 3 mô hình chính), mỗi mục tiêu cụ thể ở mục 5 có ít nhất một bảng/hình tương ứng.</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w:t>
      </w:r>
      <w:r>
        <w:rPr>
          <w:rFonts w:ascii="Times New Roman" w:hAnsi="Times New Roman" w:eastAsia="Times New Roman" w:cs="Times New Roman"/>
          <w:b/>
          <w:i/>
          <w:color w:val="CC7700"/>
          <w:sz w:val="26"/>
        </w:rPr>
        <w:t>[CẦN BỔ SUNG]</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 đánh giá nguy cơ sai lệch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Các loại sai số cần khống chế:</w:t>
      </w:r>
      <w:r>
        <w:rPr>
          <w:rFonts w:ascii="Times New Roman" w:hAnsi="Times New Roman" w:eastAsia="Times New Roman" w:cs="Times New Roman"/>
          <w:b w:val="0"/>
          <w:i w:val="0"/>
          <w:sz w:val="26"/>
        </w:rPr>
        <w:t xml:space="preserve"> sai số chọn mẫu, sai số thông tin, sai số nhớ lại, nhiễu (confounding); và — với nghiên cứu hài lòng/khảo sát — sai lệch mong muốn xã hội (social desirability) và </w:t>
      </w:r>
      <w:r>
        <w:rPr>
          <w:rFonts w:ascii="Times New Roman" w:hAnsi="Times New Roman" w:eastAsia="Times New Roman" w:cs="Times New Roman"/>
          <w:b/>
          <w:i w:val="0"/>
          <w:sz w:val="26"/>
        </w:rPr>
        <w:t>sai lệch không trả lời (non-response bias)</w:t>
      </w:r>
      <w:r>
        <w:rPr>
          <w:rFonts w:ascii="Times New Roman" w:hAnsi="Times New Roman" w:eastAsia="Times New Roman" w:cs="Times New Roman"/>
          <w:b w:val="0"/>
          <w:i w:val="0"/>
          <w:sz w:val="26"/>
        </w:rPr>
        <w:t xml:space="preserve"> (người không hài lòng có xu hướng từ chối/bỏ dở phiếu cao hơn, có thể làm ước lượng mức hài lòng bị thổi phồng — cần ghi nhận tỷ lệ từ chối + lý do, đối chiếu đặc điểm cơ bản giữa người từ chối và người tham gia nếu khả thi).</w:t>
      </w:r>
    </w:p>
    <w:p>
      <w:pPr>
        <w:spacing w:before="0" w:after="160" w:lineRule="auto" w:line="360"/>
        <w:jc w:val="both"/>
      </w:pPr>
      <w:r>
        <w:rPr>
          <w:rFonts w:ascii="Times New Roman" w:hAnsi="Times New Roman" w:eastAsia="Times New Roman" w:cs="Times New Roman"/>
          <w:b/>
          <w:i w:val="0"/>
          <w:sz w:val="26"/>
        </w:rPr>
        <w:t>Biện pháp khống chế cụ thể tại đơn vị:</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(chuẩn hoá công cụ, tập huấn điều tra viên, ẩn danh, tự điền phiếu, giám sát chéo...).</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BẮT BUỘC nếu TIẾN CỨU khảo sát người tham gia mới (Helsinki §35, trước NTG đầu tiên) — TÙY CHỌN chỉ khi HỒI CỨU hồ sơ/dữ liệu thứ cấp thuần túy, không khảo sát ai mới — loại hình thu thập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CHƯA có, phải nộp Hội đồng Đạo đức và nhận số thật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ICH-GCP, Thông tư 43/2024/TT-BYT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ICF đồng thuận tham gia; tự nguyện; ẩn danh; bảo mật.</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chưa có PMID hạt giống trong checkpoint.</w:t>
      </w:r>
    </w:p>
    <w:p>
      <w:pPr>
        <w:spacing w:before="120" w:after="200" w:lineRule="auto" w:line="312"/>
        <w:jc w:val="both"/>
        <w:ind w:left="567" w:right="567"/>
      </w:pP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sz w:val="22"/>
        </w:rPr>
        <w:t>: Tài liệu tham khảo TIẾNG VIỆT (luận văn/tạp chí trong nước) hệ thống tra cứu tự động (PubMed) không tiếp cận đủ — bác sĩ bổ sung.</w:t>
      </w:r>
    </w:p>
    <w:p>
      <w:r>
        <w:br w:type="page"/>
      </w:r>
    </w:p>
    <w:p>
      <w:pPr>
        <w:spacing w:before="0" w:after="320" w:lineRule="auto" w:line="312"/>
        <w:jc w:val="center"/>
      </w:pPr>
      <w:r>
        <w:rPr>
          <w:rFonts w:ascii="Times New Roman" w:hAnsi="Times New Roman" w:eastAsia="Times New Roman" w:cs="Times New Roman"/>
          <w:b/>
          <w:i w:val="0"/>
          <w:sz w:val="32"/>
        </w:rPr>
        <w:t>Ma trận bao phủ 23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23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Ngày tài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Tiêu chuẩn chọn; Tiêu chuẩn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Tuyển/chọn mẫu;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nhiễm/can thiệp/đánh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kết cục chính; Định nghĩa vận hành; Thời điểm đo; Nguồn đo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biến; Kế hoạch nhiễu/tương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cụ/nguồn dữ liệu; Quy trình thu thập; Kiểm soát chất lượng/pilot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dữ liệu; Lưu trữ/phân quyền; Khử định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Dữ liệu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sai lệch; Biện pháp giảm thiểu; Phạm vi và hạn chế dự kiến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lợi ích-nguy cơ; Đồng thuận; Bảo mật/an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MỘT PHẦN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hợp nghiên cứu trước; Điểm đồng thuận/bất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thuyết/mô hình khái niệm (hoặc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bảng trống (dummy tables); Tóm tắt kết quả dự kiến —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1/23 thành phần đủ dữ liệu dự thảo; trạng thái `STRUCTURE_COMPLETE_WITH_OPEN_DECISIONS`.</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CHƯA ĐỦ — xem Gói quyết định và Danh sách thông tin còn thiếu.</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val="0"/>
          <w:i w:val="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val="0"/>
          <w:i w:val="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Mục tiêu chung: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câu hỏi: Loại câu hỏi: descriptive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Kết cục chính: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phơi nhiễm/yếu tố chính: </w:t>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có danh sách mục tiêu cụ thể đã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xml:space="preserve"> — chưa thể chốt phân tích theo từng mục tiêu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G0/G4/G5</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val="0"/>
          <w:i w:val="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val="0"/>
          <w:i/>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transparency và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Giữ phần Results/Discussion ở nhãn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chỉ dùng dummy tables.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chưa được cung cấp/xác nhận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thiếu `question.text`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 thiếu `objectives.general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 thiếu `design.setting,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 thiếu `population.description,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 thiếu `population.sampling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 thiếu `outcomes.primary.name,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 thiếu `sample_size.assumptions_source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 thiếu `data_collection.instrument.name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 thiếu `analysis.primary_method`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 thiếu `analysis.missing_data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 thiếu `bias.risks,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 thiếu `ethics.consent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 thiếu `resources.timeline,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và khung lý thuyết (hoặc lý do không áp dụng); thiếu `literature.summary, theory.framework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theory.not_applicable_rationale`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EBM specialist</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`D18`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khung bảng trống theo ma trận truy xuất, không số liệu; thiếu `expected_results.table_shells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expected_results.summary`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chưa đủ nội dung khoa học để thẩm định chính thức.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STRUCTURE_COMPLETE_WITH_OPEN_DECISIONS.</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1/23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c>
          <w:tcPr>
            <w:tcW w:type="dxa" w:w="1512"/>
            <w:vAlign w:val="top"/>
            <w:tcMar>
              <w:top w:w="108" w:type="dxa"/>
              <w:left w:w="108" w:type="dxa"/>
              <w:bottom w:w="108" w:type="dxa"/>
              <w:right w:w="108" w:type="dxa"/>
            </w:tcMar>
            <w:shd w:fill="D9EAF7"/>
          </w:tcPr>
          <w:p>
            <w:pPr>
              <w:spacing w:before="40" w:after="40" w:lineRule="auto" w:line="276"/>
              <w:jc w:val="center"/>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`question.text`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chính/cụ thể</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`objectives.general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objectives.specific`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thời gian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`design.setting, design.period`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Quần thể và tiêu chuẩn chọn/loại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`population.description, population.inclusion, population.exclusion`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pháp chọn mẫu/tuyển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`population.sampling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population.recruitment`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D08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 có định nghĩa, nguồn và thời điểm đo</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`outcomes.primary.name, outcomes.primary.definition, outcomes.primary.source, outcomes.primary.timepoint`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giả định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`sample_size.assumptions_source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sample_size.sampling_sufficiency`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 hoặc nguồn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`data_collection.instrument.name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data_collection.source`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quản lý dữ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chính định trước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`analysis.primary_method`</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D13</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xử lý dữ liệu thiếu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data_governance.missing_data`</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biện pháp giảm thiểu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`bias.risks, bias.mitigations`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phương pháp</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Consent, lợi ích-nguy cơ và bảo mật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`ethics.consent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population.consent, ethics.benefit_risk, ethics.privacy`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Hội đồng đạo đức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`resources.timeline, resources.team, resources.budget`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nhiệm/đơn vị</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c>
          <w:tcPr>
            <w:tcW w:type="dxa" w:w="1512"/>
            <w:vAlign w:val="top"/>
            <w:tcMar>
              <w:top w:w="108" w:type="dxa"/>
              <w:left w:w="108" w:type="dxa"/>
              <w:bottom w:w="108" w:type="dxa"/>
              <w:right w:w="108" w:type="dxa"/>
            </w:tcMar>
          </w:tcPr>
          <w:p>
            <w:pPr>
              <w:spacing w:before="40" w:after="40" w:lineRule="auto" w:line="276"/>
              <w:jc w:val="both"/>
            </w:pPr>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và khung lý thuyết (hoặc lý do không áp dụng)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`literature.summary, theory.framework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theory.not_applicable_rationale`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 EBM specialist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D18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khung bảng trống theo ma trận truy xuất, không số liệu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`expected_results.table_shells</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expected_results.summary`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Thống kê viên/chủ nhiệm</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Bổ sung/xác nhận trong study_meta.json rồi chạy lại G10.</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