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[CẦN XÁC NHẬN TẠI ĐƠN VỊ]</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i w:val="0"/>
          <w:sz w:val="26"/>
        </w:rPr>
        <w:t xml:space="preserve"> </w:t>
      </w:r>
      <w:r>
        <w:rPr>
          <w:rFonts w:ascii="Times New Roman" w:hAnsi="Times New Roman" w:eastAsia="Times New Roman" w:cs="Times New Roman"/>
          <w:b/>
          <w:i/>
          <w:color w:val="CC7700"/>
          <w:sz w:val="26"/>
        </w:rPr>
        <w:t>[CẦN BỔ SUNG]</w:t>
      </w:r>
    </w:p>
    <w:p/>
    <w:p/>
    <w:p/>
    <w:p>
      <w:pPr>
        <w:spacing w:before="0" w:after="120" w:lineRule="auto" w:line="312"/>
        <w:jc w:val="center"/>
      </w:pPr>
      <w:r>
        <w:rPr>
          <w:rFonts w:ascii="Times New Roman" w:hAnsi="Times New Roman" w:eastAsia="Times New Roman" w:cs="Times New Roman"/>
          <w:b w:val="0"/>
          <w:i w:val="0"/>
          <w:sz w:val="26"/>
        </w:rPr>
        <w:t>[CẦN BỔ SUNG] (địa điểm – năm)</w:t>
      </w:r>
    </w:p>
    <w:p>
      <w:r>
        <w:br w:type="page"/>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2026-07-18 04:50 từ checkpoint G0–G9 của đề tài `hai-long-benh-nhan-C1a-BVQY175`, theo mẫu 16 mục của skill `nghien-cuu-y-khoa-chuan-quoc-te`. Dữ liệu cấu trúc (thiết kế, cỡ mẫu, công thức, đạo đức, chuẩn báo cáo, 10 PMID) lấy TỪ pipeline — không bịa. Mọi chỗ mang nhãn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XÁC NHẬN TẠI ĐƠN VỊ]</w:t>
      </w: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KIỂM CHỨNG NGUỒN CHÍNH THỨC]</w:t>
      </w:r>
      <w:r>
        <w:rPr>
          <w:rFonts w:ascii="Times New Roman" w:hAnsi="Times New Roman" w:eastAsia="Times New Roman" w:cs="Times New Roman"/>
          <w:b w:val="0"/>
          <w:i/>
          <w:sz w:val="22"/>
        </w:rPr>
        <w:t xml:space="preserve"> là chỗ hệ thống KHÔNG đủ dữ liệu/thẩm quyền để tự quyết.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2026-07-18 04:50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G5, G6, G7, G8, G9;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nếu chưa có chữ ký/xác nhận.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2026-07-18 04:50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Ba cổng CỨNG của pipeline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G9: DỰ THẢO (ĐẠT guardrail) — Liêm chính tác giả — cần tất cả tác giả ký ICMJE + PI ký liêm chính</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(results_final, bác sĩ xác nhận) + gói liêm chính đã ký (integrity_signed)</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gói liêm chính đã ký</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428).</w:t>
      </w:r>
    </w:p>
    <w:p>
      <w:pPr>
        <w:spacing w:before="0" w:after="160" w:lineRule="auto" w:line="360"/>
        <w:jc w:val="both"/>
      </w:pPr>
      <w:r>
        <w:rPr>
          <w:rFonts w:ascii="Times New Roman" w:hAnsi="Times New Roman" w:eastAsia="Times New Roman" w:cs="Times New Roman"/>
          <w:b/>
          <w:i w:val="0"/>
          <w:sz w:val="26"/>
        </w:rPr>
        <w:t>Mục tiêu, kết quả và kết luận: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phần tóm tắt có cấu trúc (Bối cảnh–Mục tiêu–Phương pháp–Kết quả–Kết luận) chỉ hoàn thiện SAU khi có kết quả thật; hiện để trống phần Kết quả/Kết luận theo nguyên tắc không bịa số liệu.</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MẠNH — có SR/MA</w:t>
      </w:r>
      <w:r>
        <w:rPr>
          <w:rFonts w:ascii="Times New Roman" w:hAnsi="Times New Roman" w:eastAsia="Times New Roman" w:cs="Times New Roman"/>
          <w:b w:val="0"/>
          <w:i w:val="0"/>
          <w:sz w:val="26"/>
        </w:rPr>
        <w:t>, dựa trên 40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Chưa có guideline/khuyến cáo chính thức cho vấn đề này</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Phần đặt vấn đề dạng VĂN XUÔI HỌC THUẬT (tầm quan trọng lâm sàng, bối cảnh Việt Nam/đơn vị, lập luận tính cần thiết) do agent `viet-ban-thao`/`tong-quan-y-van` hoặc bác sĩ soạn — G10 không tự viết để tránh bịa bối cảnh.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chung và theo từng lĩnh vực dịch vụ của người bệnh khi khám chữa bệnh tại Khoa Khám bệnh C1a, Bệnh viện Quân y 175 hiện nay như thế nào, và những yếu tố nào (nhân khẩu-xã hội, hình thức chi trả, thời gian chờ khám...)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đến khám và sử dụng dịch vụ tại Khoa Khám bệnh C1a, Trung tâm khám bệnh và điều trị theo yêu cầu C1, Bệnh viện Quân y 175 trong thời gian nghiên cứu</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Trải nghiệm/quá trình khám chữa bệnh tại khoa (nghiên cứu mô tả cắt ngang, không có can thiệp so sánh); yếu tố khảo sát gồm đặc điểm nhân khẩu-xã hội, hình thức chi trả, thời gian chờ khám, số lần khám trong 12 tháng qua</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can thiệp/đối chứng riêng biệt — so sánh GIỮA các phân nhóm người bệnh (vd theo tuổi/giới/hình thức chi trả/thời gian chờ) trong phân tích yếu tố liên quan (mục tiêu 2)</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[DỰ THẢO]</w:t>
      </w:r>
      <w:r>
        <w:rPr>
          <w:rFonts w:ascii="Times New Roman" w:hAnsi="Times New Roman" w:eastAsia="Times New Roman" w:cs="Times New Roman"/>
          <w:b w:val="0"/>
          <w:i w:val="0"/>
          <w:sz w:val="26"/>
        </w:rPr>
        <w:t xml:space="preserve"> Kết cục CHÍNH: mức độ hài lòng chung (overall_satisfaction_score/overall_satisfaction_binary — CHỌN MỘT khi khóa SAP, tránh phân tích cả hai gây trùng lặp). Kết cục PHỤ/THĂM DÒ (exploratory): điểm hài lòng theo 5 lĩnh vực dịch vụ (khả năng tiếp cận, minh bạch thông tin/thủ tục, cơ sở vật chất, thái độ ứng xử/năng lực chuyên môn nhân viên y tế, kết quả khám chữa bệnh) — đo bằng bộ công cụ đã chọn (xem Mục 9). Bình duyệt phát hiện: 6 kết cục ứng viên (5 lĩnh vực + hài lòng chung) hồi quy với ~8-10 yếu tố mà chưa nêu hiệu chỉnh đa so sánh (multiplicity) là nguy cơ outcome-switching thật; SAP (Mục 11) PHẢI khóa rõ 1 kết cục chính trước khi xem dữ liệu, phần còn lại ghi rõ 'exploratory', và nêu phương pháp hiệu chỉnh (Bonferroni/FDR) nếu vẫn phân tích cả 6.</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Mục tiêu 1 (mô tả) không cần giả thuyết kiểm định thống kê chính thức — chỉ ước lượng tỷ lệ/điểm hài lòng kèm khoảng tin cậy 95%. Với mục tiêu 2 (yếu tố liên quan): H1 — có mối liên quan giữa đặc điểm người bệnh (tuổi, giới, trình độ học vấn, nghề nghiệp, hình thức chi trả, thời gian chờ khám...) và mức độ hài lòng chung; H0 — không có mối liên quan. Kiểm định cụ thể theo SAP (Mục 11).</w:t>
      </w:r>
    </w:p>
    <w:p>
      <w:r>
        <w:br w:type="page"/>
      </w:r>
    </w:p>
    <w:p>
      <w:pPr>
        <w:spacing w:before="0" w:after="320" w:lineRule="auto" w:line="312"/>
        <w:jc w:val="center"/>
      </w:pPr>
      <w:r>
        <w:rPr>
          <w:rFonts w:ascii="Times New Roman" w:hAnsi="Times New Roman" w:eastAsia="Times New Roman" w:cs="Times New Roman"/>
          <w:b/>
          <w:i w:val="0"/>
          <w:sz w:val="32"/>
        </w:rPr>
        <w:t>4. Mục tiêu</w:t>
      </w:r>
    </w:p>
    <w:p>
      <w:pPr>
        <w:spacing w:before="280" w:after="160" w:lineRule="auto" w:line="312"/>
      </w:pPr>
      <w:r>
        <w:rPr>
          <w:rFonts w:ascii="Times New Roman" w:hAnsi="Times New Roman" w:eastAsia="Times New Roman" w:cs="Times New Roman"/>
          <w:b/>
          <w:i w:val="0"/>
          <w:sz w:val="28"/>
        </w:rPr>
        <w:t>4.1. Mục tiêu chung</w:t>
      </w:r>
    </w:p>
    <w:p>
      <w:pPr>
        <w:spacing w:before="0" w:after="160" w:lineRule="auto" w:line="360"/>
        <w:jc w:val="both"/>
      </w:pPr>
      <w:r>
        <w:rPr>
          <w:rFonts w:ascii="Times New Roman" w:hAnsi="Times New Roman" w:eastAsia="Times New Roman" w:cs="Times New Roman"/>
          <w:b w:val="0"/>
          <w:i w:val="0"/>
          <w:sz w:val="26"/>
        </w:rPr>
        <w:t>Đánh giá mức độ hài lòng của người bệnh và một số yếu tố liên quan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4.2. Mục tiêu cụ thể</w:t>
      </w:r>
    </w:p>
    <w:p>
      <w:pPr>
        <w:pStyle w:val="ListNumber"/>
        <w:spacing w:before="0" w:after="120" w:lineRule="auto" w:line="360"/>
        <w:jc w:val="both"/>
      </w:pPr>
      <w:r>
        <w:rPr>
          <w:rFonts w:ascii="Times New Roman" w:hAnsi="Times New Roman" w:eastAsia="Times New Roman" w:cs="Times New Roman"/>
          <w:b w:val="0"/>
          <w:i w:val="0"/>
          <w:sz w:val="26"/>
        </w:rPr>
        <w:t>Xác định mức độ hài lòng của người bệnh trong hoạt động khám chữa bệnh tại Khoa Khám bệnh C1a, Bệnh viện Quân y 175.</w:t>
      </w:r>
    </w:p>
    <w:p>
      <w:pPr>
        <w:pStyle w:val="ListNumber"/>
        <w:spacing w:before="0" w:after="120" w:lineRule="auto" w:line="360"/>
        <w:jc w:val="both"/>
      </w:pPr>
      <w:r>
        <w:rPr>
          <w:rFonts w:ascii="Times New Roman" w:hAnsi="Times New Roman" w:eastAsia="Times New Roman" w:cs="Times New Roman"/>
          <w:b w:val="0"/>
          <w:i w:val="0"/>
          <w:sz w:val="26"/>
        </w:rPr>
        <w:t>Đánh giá một số yếu tố liên quan đến mức độ hài lòng của người bệnh trong hoạt động khám chữa bệnh tại Khoa Khám bệnh C1a, Bệnh viện Quân y 175.</w:t>
      </w:r>
    </w:p>
    <w:p>
      <w:r>
        <w:br w:type="page"/>
      </w:r>
    </w:p>
    <w:p>
      <w:pPr>
        <w:spacing w:before="0" w:after="320" w:lineRule="auto" w:line="312"/>
        <w:jc w:val="center"/>
      </w:pPr>
      <w:r>
        <w:rPr>
          <w:rFonts w:ascii="Times New Roman" w:hAnsi="Times New Roman" w:eastAsia="Times New Roman" w:cs="Times New Roman"/>
          <w:b/>
          <w:i w:val="0"/>
          <w:sz w:val="32"/>
        </w:rPr>
        <w:t>5.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Khảo sát dựa cộng đồng (nếu muốn ngoại suy toàn dân số).</w:t>
      </w:r>
    </w:p>
    <w:p>
      <w:pPr>
        <w:spacing w:before="0" w:after="160" w:lineRule="auto" w:line="360"/>
        <w:jc w:val="both"/>
      </w:pPr>
      <w:r>
        <w:rPr>
          <w:rFonts w:ascii="Times New Roman" w:hAnsi="Times New Roman" w:eastAsia="Times New Roman" w:cs="Times New Roman"/>
          <w:b/>
          <w:i w:val="0"/>
          <w:sz w:val="26"/>
        </w:rPr>
        <w:t>Bối cảnh (cơ sở, thời gian, địa điểm):</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bác sĩ xác nhận cụ thể tại đơn vị.</w:t>
      </w:r>
    </w:p>
    <w:p>
      <w:r>
        <w:br w:type="page"/>
      </w:r>
    </w:p>
    <w:p>
      <w:pPr>
        <w:spacing w:before="0" w:after="320" w:lineRule="auto" w:line="312"/>
        <w:jc w:val="center"/>
      </w:pPr>
      <w:r>
        <w:rPr>
          <w:rFonts w:ascii="Times New Roman" w:hAnsi="Times New Roman" w:eastAsia="Times New Roman" w:cs="Times New Roman"/>
          <w:b/>
          <w:i w:val="0"/>
          <w:sz w:val="32"/>
        </w:rPr>
        <w:t>6.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280" w:after="160" w:lineRule="auto" w:line="312"/>
      </w:pPr>
      <w:r>
        <w:rPr>
          <w:rFonts w:ascii="Times New Roman" w:hAnsi="Times New Roman" w:eastAsia="Times New Roman" w:cs="Times New Roman"/>
          <w:b/>
          <w:i w:val="0"/>
          <w:sz w:val="28"/>
        </w:rPr>
        <w:t>6.1.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từ 18 tuổi trở lên đến khám và sử dụng dịch vụ tại Khoa Khám bệnh C1a trong thời gian nghiên cứu</w:t>
      </w:r>
    </w:p>
    <w:p>
      <w:pPr>
        <w:pStyle w:val="ListBullet"/>
        <w:spacing w:before="0" w:after="80" w:lineRule="auto" w:line="360"/>
        <w:jc w:val="both"/>
      </w:pPr>
      <w:r>
        <w:rPr>
          <w:rFonts w:ascii="Times New Roman" w:hAnsi="Times New Roman" w:eastAsia="Times New Roman" w:cs="Times New Roman"/>
          <w:b w:val="0"/>
          <w:i w:val="0"/>
          <w:sz w:val="26"/>
        </w:rPr>
        <w:t>Đồng ý tự nguyện tham gia nghiên cứu sau khi được giải thích và xác nhận đồng thuận (ICF)</w:t>
      </w:r>
    </w:p>
    <w:p>
      <w:pPr>
        <w:pStyle w:val="ListBullet"/>
        <w:spacing w:before="0" w:after="80" w:lineRule="auto" w:line="360"/>
        <w:jc w:val="both"/>
      </w:pPr>
      <w:r>
        <w:rPr>
          <w:rFonts w:ascii="Times New Roman" w:hAnsi="Times New Roman" w:eastAsia="Times New Roman" w:cs="Times New Roman"/>
          <w:b w:val="0"/>
          <w:i w:val="0"/>
          <w:sz w:val="26"/>
        </w:rPr>
        <w:t>Có khả năng đọc hiểu và tự trả lời phiếu khảo sát bằng tiếng Việt (hoặc được hỗ trợ đọc câu hỏi nếu chỉ hạn chế thị lực/vận động, không ảnh hưởng nhận thức)</w:t>
      </w:r>
    </w:p>
    <w:p>
      <w:pPr>
        <w:spacing w:before="280" w:after="160" w:lineRule="auto" w:line="312"/>
      </w:pPr>
      <w:r>
        <w:rPr>
          <w:rFonts w:ascii="Times New Roman" w:hAnsi="Times New Roman" w:eastAsia="Times New Roman" w:cs="Times New Roman"/>
          <w:b/>
          <w:i w:val="0"/>
          <w:sz w:val="28"/>
        </w:rPr>
        <w:t>6.2. Tiêu chuẩn loại</w:t>
      </w:r>
    </w:p>
    <w:p>
      <w:pPr>
        <w:pStyle w:val="ListBullet"/>
        <w:spacing w:before="0" w:after="80" w:lineRule="auto" w:line="360"/>
        <w:jc w:val="both"/>
      </w:pPr>
      <w:r>
        <w:rPr>
          <w:rFonts w:ascii="Times New Roman" w:hAnsi="Times New Roman" w:eastAsia="Times New Roman" w:cs="Times New Roman"/>
          <w:b w:val="0"/>
          <w:i w:val="0"/>
          <w:sz w:val="26"/>
        </w:rPr>
        <w:t>Người bệnh trong tình trạng cấp cứu/nặng cần ưu tiên xử trí ngay, không phù hợp phỏng vấn tại thời điểm khám</w:t>
      </w:r>
    </w:p>
    <w:p>
      <w:pPr>
        <w:pStyle w:val="ListBullet"/>
        <w:spacing w:before="0" w:after="80" w:lineRule="auto" w:line="360"/>
        <w:jc w:val="both"/>
      </w:pPr>
      <w:r>
        <w:rPr>
          <w:rFonts w:ascii="Times New Roman" w:hAnsi="Times New Roman" w:eastAsia="Times New Roman" w:cs="Times New Roman"/>
          <w:b w:val="0"/>
          <w:i w:val="0"/>
          <w:sz w:val="26"/>
        </w:rPr>
        <w:t>Rối loạn nhận thức/tâm thần nặng không đủ khả năng hiểu và trả lời phiếu khảo sát</w:t>
      </w:r>
    </w:p>
    <w:p>
      <w:pPr>
        <w:pStyle w:val="ListBullet"/>
        <w:spacing w:before="0" w:after="80" w:lineRule="auto" w:line="360"/>
        <w:jc w:val="both"/>
      </w:pPr>
      <w:r>
        <w:rPr>
          <w:rFonts w:ascii="Times New Roman" w:hAnsi="Times New Roman" w:eastAsia="Times New Roman" w:cs="Times New Roman"/>
          <w:b w:val="0"/>
          <w:i w:val="0"/>
          <w:sz w:val="26"/>
        </w:rPr>
        <w:t>Từ chối tham gia hoặc không hoàn thành phiếu khảo sát (ghi nhận lý do, loại khỏi phân tích chính)</w:t>
      </w:r>
    </w:p>
    <w:p>
      <w:pPr>
        <w:spacing w:before="280" w:after="160" w:lineRule="auto" w:line="312"/>
      </w:pPr>
      <w:r>
        <w:rPr>
          <w:rFonts w:ascii="Times New Roman" w:hAnsi="Times New Roman" w:eastAsia="Times New Roman" w:cs="Times New Roman"/>
          <w:b/>
          <w:i w:val="0"/>
          <w:sz w:val="28"/>
        </w:rPr>
        <w:t>6.3. Tuyển mẫu</w:t>
      </w:r>
    </w:p>
    <w:p>
      <w:pPr>
        <w:spacing w:before="0" w:after="160" w:lineRule="auto" w:line="360"/>
        <w:jc w:val="both"/>
      </w:pPr>
      <w:r>
        <w:rPr>
          <w:rFonts w:ascii="Times New Roman" w:hAnsi="Times New Roman" w:eastAsia="Times New Roman" w:cs="Times New Roman"/>
          <w:b w:val="0"/>
          <w:i w:val="0"/>
          <w:sz w:val="26"/>
        </w:rPr>
        <w:t>Chọn mẫu thuận tiện liên tiếp (consecutive convenience sampling): mời tất cả người bệnh đủ tiêu chuẩn đến khám tại Khoa C1a trong khung thời gian thu thập, cho đến khi đủ cỡ mẫu đã chốt (N=1000, xem Mục 8).</w:t>
      </w:r>
    </w:p>
    <w:p>
      <w:r>
        <w:br w:type="page"/>
      </w:r>
    </w:p>
    <w:p>
      <w:pPr>
        <w:spacing w:before="0" w:after="320" w:lineRule="auto" w:line="312"/>
        <w:jc w:val="center"/>
      </w:pPr>
      <w:r>
        <w:rPr>
          <w:rFonts w:ascii="Times New Roman" w:hAnsi="Times New Roman" w:eastAsia="Times New Roman" w:cs="Times New Roman"/>
          <w:b/>
          <w:i w:val="0"/>
          <w:sz w:val="32"/>
        </w:rPr>
        <w:t>7.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24 biến, chuyên khoa nhận diện = `patient_satisfaction`.</w:t>
      </w:r>
    </w:p>
    <w:p>
      <w:pPr>
        <w:spacing w:before="0" w:after="160" w:lineRule="auto" w:line="360"/>
        <w:jc w:val="both"/>
      </w:pPr>
      <w:r>
        <w:rPr>
          <w:rFonts w:ascii="Times New Roman" w:hAnsi="Times New Roman" w:eastAsia="Times New Roman" w:cs="Times New Roman"/>
          <w:b w:val="0"/>
          <w:i w:val="0"/>
          <w:sz w:val="26"/>
        </w:rPr>
        <w:t>Danh sách trường CRF hiện có:</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trường CRF</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`record_id`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`consent_date`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`site_id`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`visit_date`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`age`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`sex`</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`bmi`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`education`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`ethnicity`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`visit_type`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`payment_type`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`wait_time_min`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`visit_freq_year`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`occupation`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`income_self_rated`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`domain_access_score`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`domain_transparency_score`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`domain_facility_score`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`domain_staff_attitude_score`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`domain_service_result_score`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`overall_satisfaction_score`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`overall_satisfaction_binary`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`willing_to_return`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`complete_flag`</w:t>
            </w:r>
          </w:p>
        </w:tc>
      </w:tr>
    </w:tbl>
    <w:p/>
    <w:p>
      <w:pPr>
        <w:spacing w:before="0" w:after="160" w:lineRule="auto" w:line="360"/>
        <w:jc w:val="both"/>
      </w:pPr>
      <w:r>
        <w:rPr>
          <w:rFonts w:ascii="Times New Roman" w:hAnsi="Times New Roman" w:eastAsia="Times New Roman" w:cs="Times New Roman"/>
          <w:b/>
          <w:i w:val="0"/>
          <w:sz w:val="26"/>
        </w:rPr>
        <w:t>Kết cục chính/phụ + định nghĩa vận hành + thời điểm đo: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chốt (nối agent `bien-so-nghien-cuu`). Với thang đo/PROM: bổ sung COSMIN (nối `cong-cu-do-luong`).</w:t>
      </w:r>
    </w:p>
    <w:p>
      <w:r>
        <w:br w:type="page"/>
      </w:r>
    </w:p>
    <w:p>
      <w:pPr>
        <w:spacing w:before="0" w:after="320" w:lineRule="auto" w:line="312"/>
        <w:jc w:val="center"/>
      </w:pPr>
      <w:r>
        <w:rPr>
          <w:rFonts w:ascii="Times New Roman" w:hAnsi="Times New Roman" w:eastAsia="Times New Roman" w:cs="Times New Roman"/>
          <w:b/>
          <w:i w:val="0"/>
          <w:sz w:val="32"/>
        </w:rPr>
        <w:t>8.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Wilson prevalence: p=0.50, e=0.05.</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385</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10% → cỡ mẫu cần thu: </w:t>
      </w:r>
      <w:r>
        <w:rPr>
          <w:rFonts w:ascii="Times New Roman" w:hAnsi="Times New Roman" w:eastAsia="Times New Roman" w:cs="Times New Roman"/>
          <w:b/>
          <w:i w:val="0"/>
          <w:sz w:val="26"/>
        </w:rPr>
        <w:t>428</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(428).</w:t>
      </w:r>
    </w:p>
    <w:p>
      <w:pPr>
        <w:spacing w:before="120" w:after="200" w:lineRule="auto" w:line="312"/>
        <w:jc w:val="both"/>
        <w:ind w:left="567" w:right="567"/>
      </w:pPr>
      <w:r>
        <w:rPr>
          <w:rFonts w:ascii="Times New Roman" w:hAnsi="Times New Roman" w:eastAsia="Times New Roman" w:cs="Times New Roman"/>
          <w:b w:val="0"/>
          <w:i/>
          <w:sz w:val="22"/>
        </w:rPr>
        <w:t>Lưu ý: nếu effect size/tỷ lệ giả định lấy từ y văn, PHẢI ghi PMID/DOI nguồn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G3 dùng quy ước thận trọng khi chưa có ước tính từ khảo sát tương tự tại cơ sở.</w:t>
      </w:r>
    </w:p>
    <w:p>
      <w:r>
        <w:br w:type="page"/>
      </w:r>
    </w:p>
    <w:p>
      <w:pPr>
        <w:spacing w:before="0" w:after="320" w:lineRule="auto" w:line="312"/>
        <w:jc w:val="center"/>
      </w:pPr>
      <w:r>
        <w:rPr>
          <w:rFonts w:ascii="Times New Roman" w:hAnsi="Times New Roman" w:eastAsia="Times New Roman" w:cs="Times New Roman"/>
          <w:b/>
          <w:i w:val="0"/>
          <w:sz w:val="32"/>
        </w:rPr>
        <w:t>9.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phiếu khảo sát mức độ hài lòng người bệnh ngoại trú, cấu trúc theo 5 lĩnh vực (khả năng tiếp cận; minh bạch thông tin/thủ tục khám bệnh; cơ sở vật chất; thái độ ứng xử/năng lực chuyên môn nhân viên y tế; kết quả cung cấp dịch vụ khám chữa bệnh) cộng 1 câu hỏi hài lòng chung — </w:t>
      </w:r>
      <w:r>
        <w:rPr>
          <w:rFonts w:ascii="Times New Roman" w:hAnsi="Times New Roman" w:eastAsia="Times New Roman" w:cs="Times New Roman"/>
          <w:b/>
          <w:i/>
          <w:color w:val="CC7700"/>
          <w:sz w:val="26"/>
        </w:rPr>
        <w:t>[ĐÃ KIỂM CHỨNG]</w:t>
      </w:r>
      <w:r>
        <w:rPr>
          <w:rFonts w:ascii="Times New Roman" w:hAnsi="Times New Roman" w:eastAsia="Times New Roman" w:cs="Times New Roman"/>
          <w:b w:val="0"/>
          <w:i w:val="0"/>
          <w:sz w:val="26"/>
        </w:rPr>
        <w:t xml:space="preserve"> (2026-07-18, qua thuvienphapluat.vn/luatvietnam.vn/qlcl.net) Quyết định 56/QĐ-BYT ngày 08/01/2024 (Bộ Y tế) là văn bản HIỆN HÀNH cho mẫu phiếu khảo sát hài lòng NGƯỜI BỆNH — Điều 2 của QĐ 56/2024 bãi bỏ đúng mẫu phiếu số 1/số 2 (người bệnh) của Quyết định 3869/QĐ-BYT (28/8/2019); mẫu phiếu nhân viên y tế của QĐ 3869/2019 KHÔNG bị bãi bỏ, vẫn còn hiệu lực (bãi bỏ CHỈ MỘT PHẦN, không phải toàn bộ QĐ 3869/2019).. Khung 5 lĩnh vực + điểm hài lòng chung ở trên là HỆ THỐNG TỰ SOẠN (composed), CHƯA đối chiếu từng mục với nội dung thật của mẫu phiếu số 1/số 2 tại QĐ 56/2024 —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xml:space="preserve"> vẫn áp dụng cho NỘI DUNG TỪNG CÂU HỎI cụ thể (dù văn bản gốc đã xác nhận thật). Bác sĩ/chủ nhiệm PHẢI lấy đúng mẫu phiếu 1/2 từ QĐ 56/2024 làm nền, hoặc ghi rõ lý do hiệu chỉnh nếu dùng khung riêng. </w:t>
      </w:r>
      <w:r>
        <w:rPr>
          <w:rFonts w:ascii="Times New Roman" w:hAnsi="Times New Roman" w:eastAsia="Times New Roman" w:cs="Times New Roman"/>
          <w:b/>
          <w:i/>
          <w:color w:val="CC7700"/>
          <w:sz w:val="26"/>
        </w:rPr>
        <w:t>[DỰ THẢO]</w:t>
      </w:r>
      <w:r>
        <w:rPr>
          <w:rFonts w:ascii="Times New Roman" w:hAnsi="Times New Roman" w:eastAsia="Times New Roman" w:cs="Times New Roman"/>
          <w:b w:val="0"/>
          <w:i w:val="0"/>
          <w:sz w:val="26"/>
        </w:rPr>
        <w:t xml:space="preserve"> Bình duyệt phát hiện: TRƯỚC KHI khóa SAP, PHẢI báo cáo độ tin cậy nội bộ (Cronbach's alpha từng lĩnh vực, ngưỡng chấp nhận thường ≥0.7) và giá trị nội dung qua pilot — domain score dùng làm kết cục phân tích chính mà chưa kiểm định là thiếu cơ sở đo lường vững (nối agent `cong-cu-do-luong`, chuẩn COSMIN). Người PHÁT/THU phiếu PHẢI độc lập với nhân viên trực tiếp khám cho người bệnh đó, thu tại nơi kín đáo (hộp thu kín/bàn riêng ngoài khu khám), không có mặt nhân viên khám khi người bệnh điền phiếu — giảm nguy cơ người bệnh ngại trả lời thật vì sợ ảnh hưởng chăm sóc sau này.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`data_cleaning.py`</w:t>
      </w:r>
    </w:p>
    <w:p>
      <w:pPr>
        <w:pStyle w:val="ListBullet"/>
        <w:spacing w:before="0" w:after="80" w:lineRule="auto" w:line="360"/>
        <w:jc w:val="both"/>
      </w:pPr>
      <w:r>
        <w:rPr>
          <w:rFonts w:ascii="Times New Roman" w:hAnsi="Times New Roman" w:eastAsia="Times New Roman" w:cs="Times New Roman"/>
          <w:b w:val="0"/>
          <w:i w:val="0"/>
          <w:sz w:val="26"/>
        </w:rPr>
        <w:t>`data_quality_report.py`</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nêu cỡ mẫu pilot, tiêu chí chỉnh sửa.</w:t>
      </w:r>
    </w:p>
    <w:p>
      <w:r>
        <w:br w:type="page"/>
      </w:r>
    </w:p>
    <w:p>
      <w:pPr>
        <w:spacing w:before="0" w:after="320" w:lineRule="auto" w:line="312"/>
        <w:jc w:val="center"/>
      </w:pPr>
      <w:r>
        <w:rPr>
          <w:rFonts w:ascii="Times New Roman" w:hAnsi="Times New Roman" w:eastAsia="Times New Roman" w:cs="Times New Roman"/>
          <w:b/>
          <w:i w:val="0"/>
          <w:sz w:val="32"/>
        </w:rPr>
        <w:t>10.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PENDING — dữ liệu chưa thu thập (chờ G2 LOCKED).</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dùng `python3 tools/import_real_dataset.py --study &lt;MÃ&gt; --data &lt;file.csv&gt;` để quét PII, copy raw read-only và tạo manifest trước G6.</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sau khi làm sạch trên bản sao, dùng `python3 tools/lock_analysis_dataset.py --study &lt;MÃ&gt; --clean-data &lt;df_clean.csv&gt; --query-log &lt;query_log.csv&gt; --lock-date &lt;YYYY-MM-DD&gt; --approved-by &lt;PI&gt; --sap-version &lt;x.y&gt; --confirm-deidentified --confirm-clean-copy --confirm-no-open-query --confirm-sap-locked`.</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đã có bản nháp ở G2 (TL6). Bác sĩ xác nhận nơi lưu trữ, thời hạn, phân quyền tại đơn vị.</w:t>
      </w:r>
    </w:p>
    <w:p>
      <w:r>
        <w:br w:type="page"/>
      </w:r>
    </w:p>
    <w:p>
      <w:pPr>
        <w:spacing w:before="0" w:after="320" w:lineRule="auto" w:line="312"/>
        <w:jc w:val="center"/>
      </w:pPr>
      <w:r>
        <w:rPr>
          <w:rFonts w:ascii="Times New Roman" w:hAnsi="Times New Roman" w:eastAsia="Times New Roman" w:cs="Times New Roman"/>
          <w:b/>
          <w:i w:val="0"/>
          <w:sz w:val="32"/>
        </w:rPr>
        <w:t>11.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spacing w:before="0" w:after="160" w:lineRule="auto" w:line="360"/>
        <w:jc w:val="both"/>
      </w:pPr>
      <w:r>
        <w:rPr>
          <w:rFonts w:ascii="Times New Roman" w:hAnsi="Times New Roman" w:eastAsia="Times New Roman" w:cs="Times New Roman"/>
          <w:b/>
          <w:i w:val="0"/>
          <w:sz w:val="26"/>
        </w:rPr>
        <w:t>Phân tích dự kiến (định trước):</w:t>
      </w:r>
    </w:p>
    <w:p>
      <w:pPr>
        <w:pStyle w:val="ListBullet"/>
        <w:spacing w:before="0" w:after="80" w:lineRule="auto" w:line="360"/>
        <w:jc w:val="both"/>
      </w:pPr>
      <w:r>
        <w:rPr>
          <w:rFonts w:ascii="Times New Roman" w:hAnsi="Times New Roman" w:eastAsia="Times New Roman" w:cs="Times New Roman"/>
          <w:b w:val="0"/>
          <w:i w:val="0"/>
          <w:sz w:val="26"/>
        </w:rPr>
        <w:t>Mô tả: tần số/tỷ lệ (biến định tính), TB±ĐLC hoặc trung vị (IQR) tuỳ phân phối; tỷ lệ kèm KTC 95%.</w:t>
      </w:r>
    </w:p>
    <w:p>
      <w:pPr>
        <w:pStyle w:val="ListBullet"/>
        <w:spacing w:before="0" w:after="80" w:lineRule="auto" w:line="360"/>
        <w:jc w:val="both"/>
      </w:pPr>
      <w:r>
        <w:rPr>
          <w:rFonts w:ascii="Times New Roman" w:hAnsi="Times New Roman" w:eastAsia="Times New Roman" w:cs="Times New Roman"/>
          <w:b w:val="0"/>
          <w:i w:val="0"/>
          <w:sz w:val="26"/>
        </w:rPr>
        <w:t>Phân tích yếu tố liên quan: đơn biến (χ²/Fisher, t-test/Mann-Whitney) → đa biến (hồi quy logistic/tuyến tính tuỳ kết cục — không áp dụng Cox vì thiết kế không có trục thời gian-đến-biến cố), báo cáo ước lượng + KTC 95% (CẤM p-value đơn độc).</w:t>
      </w:r>
    </w:p>
    <w:p>
      <w:pPr>
        <w:pStyle w:val="ListBullet"/>
        <w:spacing w:before="0" w:after="80" w:lineRule="auto" w:line="360"/>
        <w:jc w:val="both"/>
      </w:pPr>
      <w:r>
        <w:rPr>
          <w:rFonts w:ascii="Times New Roman" w:hAnsi="Times New Roman" w:eastAsia="Times New Roman" w:cs="Times New Roman"/>
          <w:b w:val="0"/>
          <w:i w:val="0"/>
          <w:sz w:val="26"/>
        </w:rPr>
        <w:t xml:space="preserve">Phần mềm + seed + ngưỡng ý nghĩa: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KHOÁ (G4 Lock Certificate) TRƯỚC khi xem dữ liệu. Mã thiết kế `cross_sectional` quyết định test phù hợp (nối `thiet-ke-nghien-cuu`/`phan-tich-thong-ke`).</w:t>
      </w:r>
    </w:p>
    <w:p>
      <w:r>
        <w:br w:type="page"/>
      </w:r>
    </w:p>
    <w:p>
      <w:pPr>
        <w:spacing w:before="0" w:after="320" w:lineRule="auto" w:line="312"/>
        <w:jc w:val="center"/>
      </w:pPr>
      <w:r>
        <w:rPr>
          <w:rFonts w:ascii="Times New Roman" w:hAnsi="Times New Roman" w:eastAsia="Times New Roman" w:cs="Times New Roman"/>
          <w:b/>
          <w:i w:val="0"/>
          <w:sz w:val="32"/>
        </w:rPr>
        <w:t>12. Sai lệch và kiểm soát</w:t>
      </w:r>
    </w:p>
    <w:p>
      <w:pPr>
        <w:spacing w:before="0" w:after="160" w:lineRule="auto" w:line="360"/>
        <w:jc w:val="both"/>
      </w:pPr>
      <w:r>
        <w:rPr>
          <w:rFonts w:ascii="Times New Roman" w:hAnsi="Times New Roman" w:eastAsia="Times New Roman" w:cs="Times New Roman"/>
          <w:b/>
          <w:i w:val="0"/>
          <w:sz w:val="26"/>
        </w:rPr>
        <w:t>Công cụ đánh giá nguy cơ sai lệch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Các loại sai số cần khống chế:</w:t>
      </w:r>
      <w:r>
        <w:rPr>
          <w:rFonts w:ascii="Times New Roman" w:hAnsi="Times New Roman" w:eastAsia="Times New Roman" w:cs="Times New Roman"/>
          <w:b w:val="0"/>
          <w:i w:val="0"/>
          <w:sz w:val="26"/>
        </w:rPr>
        <w:t xml:space="preserve"> sai số chọn mẫu, sai số thông tin, sai số nhớ lại, nhiễu (confounding); và — với nghiên cứu hài lòng/khảo sát — sai lệch mong muốn xã hội (social desirability) và </w:t>
      </w:r>
      <w:r>
        <w:rPr>
          <w:rFonts w:ascii="Times New Roman" w:hAnsi="Times New Roman" w:eastAsia="Times New Roman" w:cs="Times New Roman"/>
          <w:b/>
          <w:i w:val="0"/>
          <w:sz w:val="26"/>
        </w:rPr>
        <w:t>sai lệch không trả lời (non-response bias)</w:t>
      </w:r>
      <w:r>
        <w:rPr>
          <w:rFonts w:ascii="Times New Roman" w:hAnsi="Times New Roman" w:eastAsia="Times New Roman" w:cs="Times New Roman"/>
          <w:b w:val="0"/>
          <w:i w:val="0"/>
          <w:sz w:val="26"/>
        </w:rPr>
        <w:t xml:space="preserve"> (người không hài lòng có xu hướng từ chối/bỏ dở phiếu cao hơn, có thể làm ước lượng mức hài lòng bị thổi phồng — cần ghi nhận tỷ lệ từ chối + lý do, đối chiếu đặc điểm cơ bản giữa người từ chối và người tham gia nếu khả thi).</w:t>
      </w:r>
    </w:p>
    <w:p>
      <w:pPr>
        <w:spacing w:before="0" w:after="160" w:lineRule="auto" w:line="360"/>
        <w:jc w:val="both"/>
      </w:pPr>
      <w:r>
        <w:rPr>
          <w:rFonts w:ascii="Times New Roman" w:hAnsi="Times New Roman" w:eastAsia="Times New Roman" w:cs="Times New Roman"/>
          <w:b/>
          <w:i w:val="0"/>
          <w:sz w:val="26"/>
        </w:rPr>
        <w:t>Biện pháp khống chế cụ thể tại đơn vị:</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(chuẩn hoá công cụ, tập huấn điều tra viên, ẩn danh, tự điền phiếu, giám sát chéo...).</w:t>
      </w:r>
    </w:p>
    <w:p>
      <w:r>
        <w:br w:type="page"/>
      </w:r>
    </w:p>
    <w:p>
      <w:pPr>
        <w:spacing w:before="0" w:after="320" w:lineRule="auto" w:line="312"/>
        <w:jc w:val="center"/>
      </w:pPr>
      <w:r>
        <w:rPr>
          <w:rFonts w:ascii="Times New Roman" w:hAnsi="Times New Roman" w:eastAsia="Times New Roman" w:cs="Times New Roman"/>
          <w:b/>
          <w:i w:val="0"/>
          <w:sz w:val="32"/>
        </w:rPr>
        <w:t>13.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BẮT BUỘC nếu TIẾN CỨU khảo sát người tham gia mới (Helsinki §35, trước NTG đầu tiên) — TÙY CHỌN chỉ khi HỒI CỨU hồ sơ/dữ liệu thứ cấp thuần túy, không khảo sát ai mới — loại hình thu thập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CHƯA có, phải nộp Hội đồng Đạo đức và nhận số thật trước khi thu thập dữ liệu.</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18 fields — bản nháp đăng ký</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ICH-GCP, Thông tư 43/2024/TT-BYT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ICF đồng thuận tham gia; tự nguyện; ẩn danh; bảo mật.</w:t>
      </w:r>
    </w:p>
    <w:p>
      <w:r>
        <w:br w:type="page"/>
      </w:r>
    </w:p>
    <w:p>
      <w:pPr>
        <w:spacing w:before="0" w:after="320" w:lineRule="auto" w:line="312"/>
        <w:jc w:val="center"/>
      </w:pPr>
      <w:r>
        <w:rPr>
          <w:rFonts w:ascii="Times New Roman" w:hAnsi="Times New Roman" w:eastAsia="Times New Roman" w:cs="Times New Roman"/>
          <w:b/>
          <w:i w:val="0"/>
          <w:sz w:val="32"/>
        </w:rPr>
        <w:t>14. Kế hoạch phổ biến kết quả/ứng dụng</w:t>
      </w:r>
    </w:p>
    <w:p>
      <w:pPr>
        <w:spacing w:before="0" w:after="160" w:lineRule="auto" w:line="360"/>
        <w:jc w:val="both"/>
      </w:pPr>
      <w:r>
        <w:rPr>
          <w:rFonts w:ascii="Times New Roman" w:hAnsi="Times New Roman" w:eastAsia="Times New Roman" w:cs="Times New Roman"/>
          <w:b w:val="0"/>
          <w:i w:val="0"/>
          <w:sz w:val="26"/>
        </w:rPr>
        <w:t xml:space="preserve">Kết quả dùng để cải tiến chất lượng dịch vụ/thực hành tại đơn vị và công bố khoa học. Kế hoạch chuyển giao cụ thể: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Gợi ý tạp chí đích (tự động từ G8, cần bác sĩ chọn):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Tạp chí</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IF</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BMC Public Health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Cross-sectional suc khoe cong dong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PLOS ONE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 linh vuc, tiep can mo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BMJ Open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Cross-sectional lam sang + cong dong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Journal of Public Health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Suc khoe cong dong</w:t>
            </w:r>
          </w:p>
        </w:tc>
      </w:tr>
    </w:tbl>
    <w:p/>
    <w:p>
      <w:r>
        <w:br w:type="page"/>
      </w:r>
    </w:p>
    <w:p>
      <w:pPr>
        <w:spacing w:before="0" w:after="320" w:lineRule="auto" w:line="312"/>
        <w:jc w:val="center"/>
      </w:pPr>
      <w:r>
        <w:rPr>
          <w:rFonts w:ascii="Times New Roman" w:hAnsi="Times New Roman" w:eastAsia="Times New Roman" w:cs="Times New Roman"/>
          <w:b/>
          <w:i w:val="0"/>
          <w:sz w:val="32"/>
        </w:rPr>
        <w:t>15.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(thu thập/nhập liệu/phân tích/giám sát).</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(biểu Gantt — nối `ke-hoach-trien-khai`).</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16. Tài liệu tham khảo Vancouver/NLM</w:t>
      </w:r>
    </w:p>
    <w:p>
      <w:pPr>
        <w:spacing w:before="0" w:after="160" w:lineRule="auto" w:line="360"/>
        <w:jc w:val="both"/>
      </w:pPr>
      <w:r>
        <w:rPr>
          <w:rFonts w:ascii="Times New Roman" w:hAnsi="Times New Roman" w:eastAsia="Times New Roman" w:cs="Times New Roman"/>
          <w:b w:val="0"/>
          <w:i w:val="0"/>
          <w:sz w:val="26"/>
        </w:rPr>
        <w:t>Danh sách PMID hạt giống (tự động từ G0/G7). Đây là ĐỊNH DANH THẬT nhưng METADATA đầy đủ (tác giả–năm–tạp chí–trang) phải được KIỂM CHỨNG và định dạng Vancouver trước khi nộp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nối agent `kiem-chung-trich-dan`):</w:t>
      </w:r>
    </w:p>
    <w:p>
      <w:pPr>
        <w:pStyle w:val="ListNumber"/>
        <w:spacing w:before="0" w:after="120" w:lineRule="auto" w:line="360"/>
        <w:jc w:val="both"/>
      </w:pPr>
      <w:r>
        <w:rPr>
          <w:rFonts w:ascii="Times New Roman" w:hAnsi="Times New Roman" w:eastAsia="Times New Roman" w:cs="Times New Roman"/>
          <w:b w:val="0"/>
          <w:i w:val="0"/>
          <w:sz w:val="26"/>
        </w:rPr>
        <w:t xml:space="preserve">PMID: 42136107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42030602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41996905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41864267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41702261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41147535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40995744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40835508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40764466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40684274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Tài liệu tham khảo TIẾNG VIỆT (luận văn/tạp chí trong nước) hệ thống tra cứu tự động (PubMed) không tiếp cận đủ — bác sĩ bổ sung.</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[CẦN BỔ SUNG]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Đánh giá mức độ hài lòng của người bệnh và một số yếu tố liên quan trong hoạt động khám chữa bệnh tại Khoa Khám bệnh C1a, Trung tâm khám bệnh và điều trị theo yêu cầu C1, Bệnh viện Quân y 175.; câu hỏi: Mức độ hài lòng chung và theo từng lĩnh vực dịch vụ của người bệnh khi khám chữa bệnh tại Khoa Khám bệnh C1a, Bệnh viện Quân y 175 hiện nay như thế nào, và những yếu tố nào (nhân khẩu-xã hội, hình thức chi trả, thời gian chờ khám...)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Kết cục chính: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phơi nhiễm/yếu tố chính: </w:t>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CRF/REDCap G5 (24 biến; chuyên khoa `patient_satisfaction`)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Xác định mức độ hài lòng của người bệnh trong hoạt động khám chữa bệnh tại Khoa Khám bệnh C1a,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Đánh giá một số yếu tố liên quan đến mức độ hài lòng của người bệnh trong hoạt động khám chữa bệnh tại Khoa Khám bệnh C1a,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i/>
          <w:color w:val="CC7700"/>
          <w:sz w:val="22"/>
        </w:rPr>
        <w:t>[CẦN XÁC NHẬN TẠI ĐƠN VỊ]</w:t>
      </w:r>
      <w:r>
        <w:rPr>
          <w:rFonts w:ascii="Times New Roman" w:hAnsi="Times New Roman" w:eastAsia="Times New Roman" w:cs="Times New Roman"/>
          <w:b w:val="0"/>
          <w:i/>
          <w:sz w:val="22"/>
        </w:rPr>
        <w:t>: GCP/ICH-GCP chỉ là điều kiện bắt buộc khi đề tài là thử nghiệm can thiệp/clinical trial hoặc đơn vị/IRB yêu cầu; với nghiên cứu quan sát vẫn giữ Helsinki, bảo mật dữ liệu, protocol/SAP, transparency và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 xml:space="preserve">Bảng này triển khai quy trình 10 bước để bộ hồ sơ nghiên cứu có thể được trình hội đồng khoa học/đạo đức, triển khai, phân tích, báo cáo, viết bài và tái lập bởi nhóm khác. Mọi mục chưa có bằng chứng thật giữ nhãn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[DỰ THẢO]</w:t>
      </w:r>
      <w:r>
        <w:rPr>
          <w:rFonts w:ascii="Times New Roman" w:hAnsi="Times New Roman" w:eastAsia="Times New Roman" w:cs="Times New Roman"/>
          <w:b w:val="0"/>
          <w:i w:val="0"/>
          <w:sz w:val="26"/>
        </w:rPr>
        <w:t>;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mức độ hài lòng của người bệnh và một số yếu tố liên quan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chung và theo từng lĩnh vực dịch vụ của người bệnh khi khám chữa bệnh tại Khoa Khám bệnh C1a, Bệnh viện Quân y 175 hiện nay như thế nào, và những yếu tố nào (nhân khẩu-xã hội, hình thức chi trả, thời gian chờ khám...)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Giữ phần Results/Discussion ở nhãn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chưa được cung cấp/xác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KIỂM CHỨNG NGUỒN CHÍNH THỨC]</w:t>
            </w:r>
          </w:p>
        </w:tc>
      </w:tr>
    </w:tbl>
    <w:p/>
    <w:p>
      <w:pPr>
        <w:spacing w:before="120" w:after="200" w:lineRule="auto" w:line="312"/>
        <w:jc w:val="both"/>
        <w:ind w:left="567" w:right="567"/>
      </w:pPr>
      <w:r>
        <w:rPr>
          <w:rFonts w:ascii="Times New Roman" w:hAnsi="Times New Roman" w:eastAsia="Times New Roman" w:cs="Times New Roman"/>
          <w:b w:val="0"/>
          <w:i/>
          <w:sz w:val="22"/>
        </w:rPr>
        <w:t xml:space="preserve">Mọi văn bản trên mang cờ </w:t>
      </w:r>
      <w:r>
        <w:rPr>
          <w:rFonts w:ascii="Times New Roman" w:hAnsi="Times New Roman" w:eastAsia="Times New Roman" w:cs="Times New Roman"/>
          <w:b/>
          <w:i/>
          <w:color w:val="CC7700"/>
          <w:sz w:val="22"/>
        </w:rPr>
        <w:t>[CẦN KIỂM CHỨNG NGUỒN CHÍNH THỨC]</w:t>
      </w:r>
      <w:r>
        <w:rPr>
          <w:rFonts w:ascii="Times New Roman" w:hAnsi="Times New Roman" w:eastAsia="Times New Roman" w:cs="Times New Roman"/>
          <w:b w:val="0"/>
          <w:i/>
          <w:sz w:val="22"/>
        </w:rPr>
        <w:t>: phải kiểm nguồn chính thức trước khi trích để kết luận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