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GIAO THỨC NGHIÊN CỨU</w:t>
      </w:r>
    </w:p>
    <w:p>
      <w:pPr>
        <w:spacing w:before="280" w:after="160" w:lineRule="auto" w:line="312"/>
      </w:pPr>
      <w:r>
        <w:rPr>
          <w:rFonts w:ascii="Times New Roman" w:hAnsi="Times New Roman" w:eastAsia="Times New Roman" w:cs="Times New Roman"/>
          <w:b/>
          <w:i w:val="0"/>
          <w:sz w:val="28"/>
        </w:rPr>
        <w:t>Đánh giá sự hài lòng của người bệnh trong hoạt động khám chữa bệnh tại một khoa khám theo yêu cầu của bệnh viện quân y tuyến cuối: giao thức nghiên cứu cắt ngang có phân tích</w:t>
      </w:r>
    </w:p>
    <w:p>
      <w:pPr>
        <w:spacing w:before="0" w:after="160" w:lineRule="auto" w:line="360"/>
        <w:jc w:val="both"/>
      </w:pPr>
      <w:r>
        <w:rPr>
          <w:rFonts w:ascii="Times New Roman" w:hAnsi="Times New Roman" w:eastAsia="Times New Roman" w:cs="Times New Roman"/>
          <w:b/>
          <w:i w:val="0"/>
          <w:sz w:val="26"/>
        </w:rPr>
        <w:t>Tác giả:</w:t>
      </w:r>
      <w:r>
        <w:rPr>
          <w:rFonts w:ascii="Times New Roman" w:hAnsi="Times New Roman" w:eastAsia="Times New Roman" w:cs="Times New Roman"/>
          <w:b w:val="0"/>
          <w:i w:val="0"/>
          <w:sz w:val="26"/>
        </w:rPr>
        <w:t xml:space="preserve"> Nguyễn Hà Luân</w:t>
      </w:r>
    </w:p>
    <w:p>
      <w:pPr>
        <w:spacing w:before="0" w:after="160" w:lineRule="auto" w:line="360"/>
        <w:jc w:val="both"/>
      </w:pPr>
      <w:r>
        <w:rPr>
          <w:rFonts w:ascii="Times New Roman" w:hAnsi="Times New Roman" w:eastAsia="Times New Roman" w:cs="Times New Roman"/>
          <w:b/>
          <w:i w:val="0"/>
          <w:sz w:val="26"/>
        </w:rPr>
        <w:t>Đơn vị:</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w:t>
      </w:r>
    </w:p>
    <w:p>
      <w:pPr>
        <w:spacing w:before="0" w:after="160" w:lineRule="auto" w:line="360"/>
        <w:jc w:val="both"/>
      </w:pPr>
      <w:r>
        <w:rPr>
          <w:rFonts w:ascii="Times New Roman" w:hAnsi="Times New Roman" w:eastAsia="Times New Roman" w:cs="Times New Roman"/>
          <w:b/>
          <w:i w:val="0"/>
          <w:sz w:val="26"/>
        </w:rPr>
        <w:t>Loại bài:</w:t>
      </w:r>
      <w:r>
        <w:rPr>
          <w:rFonts w:ascii="Times New Roman" w:hAnsi="Times New Roman" w:eastAsia="Times New Roman" w:cs="Times New Roman"/>
          <w:b w:val="0"/>
          <w:i w:val="0"/>
          <w:sz w:val="26"/>
        </w:rPr>
        <w:t xml:space="preserve"> Giao thức nghiên cứu (study protocol). Bài viết trình bày thiết kế và kế hoạch phân tích đã định trước; nghiên cứu </w:t>
      </w:r>
      <w:r>
        <w:rPr>
          <w:rFonts w:ascii="Times New Roman" w:hAnsi="Times New Roman" w:eastAsia="Times New Roman" w:cs="Times New Roman"/>
          <w:b/>
          <w:i w:val="0"/>
          <w:sz w:val="26"/>
        </w:rPr>
        <w:t>chưa thu thập số liệu</w:t>
      </w:r>
      <w:r>
        <w:rPr>
          <w:rFonts w:ascii="Times New Roman" w:hAnsi="Times New Roman" w:eastAsia="Times New Roman" w:cs="Times New Roman"/>
          <w:b w:val="0"/>
          <w:i w:val="0"/>
          <w:sz w:val="26"/>
        </w:rPr>
        <w:t>, do đó bài không chứa bất kỳ kết quả nào.</w:t>
      </w:r>
    </w:p>
    <w:p>
      <w:pPr>
        <w:spacing w:before="0" w:after="160" w:lineRule="auto" w:line="360"/>
        <w:jc w:val="both"/>
      </w:pPr>
      <w:r>
        <w:rPr>
          <w:rFonts w:ascii="Times New Roman" w:hAnsi="Times New Roman" w:eastAsia="Times New Roman" w:cs="Times New Roman"/>
          <w:b/>
          <w:i w:val="0"/>
          <w:sz w:val="26"/>
        </w:rPr>
        <w:t>Trạng thái hồ sơ:</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[BẢN THẢO]</w:t>
      </w:r>
      <w:r>
        <w:rPr>
          <w:rFonts w:ascii="Times New Roman" w:hAnsi="Times New Roman" w:eastAsia="Times New Roman" w:cs="Times New Roman"/>
          <w:b w:val="0"/>
          <w:i w:val="0"/>
          <w:sz w:val="26"/>
        </w:rPr>
        <w:t xml:space="preserve"> Đề cương đang chờ Hội đồng Y đức Bệnh viện Quân y 175 phê duyệt. Việc thu thập số liệu chỉ bắt đầu sau khi có phê duyệt và sau khi hoàn tất đăng ký nghiên cứu công khai.</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 (nghiên cứu cắt ngang) và CROSS (nghiên cứu khảo sát).</w:t>
      </w:r>
    </w:p>
    <w:p>
      <w:r>
        <w:br w:type="page"/>
      </w:r>
    </w:p>
    <w:p>
      <w:pPr>
        <w:spacing w:before="0" w:after="320" w:lineRule="auto" w:line="312"/>
        <w:jc w:val="center"/>
      </w:pPr>
      <w:r>
        <w:rPr>
          <w:rFonts w:ascii="Times New Roman" w:hAnsi="Times New Roman" w:eastAsia="Times New Roman" w:cs="Times New Roman"/>
          <w:b/>
          <w:i w:val="0"/>
          <w:sz w:val="32"/>
        </w:rPr>
        <w:t>TÓM TẮT</w:t>
      </w:r>
    </w:p>
    <w:p>
      <w:pPr>
        <w:spacing w:before="0" w:after="160" w:lineRule="auto" w:line="360"/>
        <w:jc w:val="both"/>
      </w:pPr>
      <w:r>
        <w:rPr>
          <w:rFonts w:ascii="Times New Roman" w:hAnsi="Times New Roman" w:eastAsia="Times New Roman" w:cs="Times New Roman"/>
          <w:b/>
          <w:i w:val="0"/>
          <w:sz w:val="26"/>
        </w:rPr>
        <w:t>Đặt vấn đề.</w:t>
      </w:r>
      <w:r>
        <w:rPr>
          <w:rFonts w:ascii="Times New Roman" w:hAnsi="Times New Roman" w:eastAsia="Times New Roman" w:cs="Times New Roman"/>
          <w:b w:val="0"/>
          <w:i w:val="0"/>
          <w:sz w:val="26"/>
        </w:rPr>
        <w:t xml:space="preserve"> Sự hài lòng của người bệnh là chỉ số cốt lõi trong quản lý chất lượng bệnh viện và là yêu cầu thường quy với mọi cơ sở khám chữa bệnh tại Việt Nam. Khối khám ngoại trú theo yêu cầu là mô hình đặc thù: người bệnh chi trả cao hơn để đổi lấy kỳ vọng cao hơn về chất lượng phục vụ và thời gian chờ. Y văn trong nước ghi nhận một nghịch lý đáng chú ý là nhóm sử dụng dịch vụ theo yêu cầu đôi khi lại hài lòng thấp hơn, có thể do kỳ vọng cao hơn. Chúng tôi chưa tìm thấy nghiên cứu công bố nào khảo sát riêng mức độ hài lòng tại một khoa khám theo yêu cầu trong bệnh viện quân y tuyến cuối; nghiên cứu này được đặt ra như một nhân rộng có kiểm chứng vào bối cảnh đó, không phải một tuyên bố về chủ đề chưa từng được nghiên cứu.</w:t>
      </w:r>
    </w:p>
    <w:p>
      <w:pPr>
        <w:spacing w:before="0" w:after="160" w:lineRule="auto" w:line="360"/>
        <w:jc w:val="both"/>
      </w:pPr>
      <w:r>
        <w:rPr>
          <w:rFonts w:ascii="Times New Roman" w:hAnsi="Times New Roman" w:eastAsia="Times New Roman" w:cs="Times New Roman"/>
          <w:b/>
          <w:i w:val="0"/>
          <w:sz w:val="26"/>
        </w:rPr>
        <w:t>Mục tiêu.</w:t>
      </w:r>
      <w:r>
        <w:rPr>
          <w:rFonts w:ascii="Times New Roman" w:hAnsi="Times New Roman" w:eastAsia="Times New Roman" w:cs="Times New Roman"/>
          <w:b w:val="0"/>
          <w:i w:val="0"/>
          <w:sz w:val="26"/>
        </w:rPr>
        <w:t xml:space="preserve"> (1) Xác định mức độ hài lòng của người bệnh trong hoạt động khám chữa bệnh tại Khoa Khám bệnh C1a, Trung tâm Khám bệnh và Điều trị theo yêu cầu C1, Bệnh viện Quân y 175. (2) Đánh giá một số yếu tố liên quan đến mức độ hài lòng đó.</w:t>
      </w:r>
    </w:p>
    <w:p>
      <w:pPr>
        <w:spacing w:before="0" w:after="160" w:lineRule="auto" w:line="360"/>
        <w:jc w:val="both"/>
      </w:pPr>
      <w:r>
        <w:rPr>
          <w:rFonts w:ascii="Times New Roman" w:hAnsi="Times New Roman" w:eastAsia="Times New Roman" w:cs="Times New Roman"/>
          <w:b/>
          <w:i w:val="0"/>
          <w:sz w:val="26"/>
        </w:rPr>
        <w:t>Đối tượng và phương pháp.</w:t>
      </w:r>
      <w:r>
        <w:rPr>
          <w:rFonts w:ascii="Times New Roman" w:hAnsi="Times New Roman" w:eastAsia="Times New Roman" w:cs="Times New Roman"/>
          <w:b w:val="0"/>
          <w:i w:val="0"/>
          <w:sz w:val="26"/>
        </w:rPr>
        <w:t xml:space="preserve"> Nghiên cứu mô tả cắt ngang có phân tích trên 1000 người bệnh ngoại trú từ đủ 18 tuổi, đã cơ bản hoàn thành quy trình khám tại Khoa C1a và đồng ý tham gia. Chọn mẫu hệ thống phân tầng theo ngày trong tuần và khung giờ khám. Công cụ là bộ câu hỏi tự xây dựng gồm 58 mục: 24 mục thông tin chung và bối cảnh, 30 mục hài lòng thuộc sáu lĩnh vực theo thang Likert 5 mức, một mục hài lòng chung hỏi trực tiếp cùng hai mục ý định quay lại và giới thiệu, và một mục mở. Bộ câu hỏi trải qua pha phát triển đầy đủ (bảng truy xuất nguồn gốc mục, hội đồng chuyên gia từ 6 người trở lên có đại diện người bệnh chấm chỉ số giá trị nội dung và trả lời câu hỏi về tính bao phủ, phỏng vấn nhận thức, nghiên cứu thử) trước khi dùng cho mẫu chính. Kết cục chính là mục hài lòng chung, giữ nguyên thang thứ hạng và phân tích bằng hồi quy logistic thứ tự đa biến có sai số chuẩn theo chùm bàn khám. Phơi nhiễm trung tâm là thời gian chờ khám đo theo mốc hệ thống thông tin bệnh viện; kỳ vọng về thời gian chờ được đo trực tiếp để tách hai cách giải thích cạnh tranh nhau.</w:t>
      </w:r>
    </w:p>
    <w:p>
      <w:pPr>
        <w:spacing w:before="0" w:after="160" w:lineRule="auto" w:line="360"/>
        <w:jc w:val="both"/>
      </w:pPr>
      <w:r>
        <w:rPr>
          <w:rFonts w:ascii="Times New Roman" w:hAnsi="Times New Roman" w:eastAsia="Times New Roman" w:cs="Times New Roman"/>
          <w:b/>
          <w:i w:val="0"/>
          <w:sz w:val="26"/>
        </w:rPr>
        <w:t>Kết quả dự kiến.</w:t>
      </w:r>
      <w:r>
        <w:rPr>
          <w:rFonts w:ascii="Times New Roman" w:hAnsi="Times New Roman" w:eastAsia="Times New Roman" w:cs="Times New Roman"/>
          <w:b w:val="0"/>
          <w:i w:val="0"/>
          <w:sz w:val="26"/>
        </w:rPr>
        <w:t xml:space="preserve"> Nghiên cứu sẽ ước lượng tỷ lệ hài lòng chung và theo từng lĩnh vực kèm khoảng tin cậy 95%, đồng thời xác định các yếu tố liên quan bằng mô hình đa biến. Vì là thiết kế cắt ngang, kết quả chỉ cho phép kết luận về mối liên quan chứ không suy diễn nhân quả.</w:t>
      </w:r>
    </w:p>
    <w:p>
      <w:pPr>
        <w:spacing w:before="0" w:after="160" w:lineRule="auto" w:line="360"/>
        <w:jc w:val="both"/>
      </w:pPr>
      <w:r>
        <w:rPr>
          <w:rFonts w:ascii="Times New Roman" w:hAnsi="Times New Roman" w:eastAsia="Times New Roman" w:cs="Times New Roman"/>
          <w:b/>
          <w:i w:val="0"/>
          <w:sz w:val="26"/>
        </w:rPr>
        <w:t>Kết luận.</w:t>
      </w:r>
      <w:r>
        <w:rPr>
          <w:rFonts w:ascii="Times New Roman" w:hAnsi="Times New Roman" w:eastAsia="Times New Roman" w:cs="Times New Roman"/>
          <w:b w:val="0"/>
          <w:i w:val="0"/>
          <w:sz w:val="26"/>
        </w:rPr>
        <w:t xml:space="preserve"> Giao thức này cung cấp dữ liệu nền tại chỗ cho một bối cảnh còn thiếu bằng chứng, đồng thời đóng góp một bộ công cụ được phát triển riêng cho khối khám theo yêu cầu, nơi khung phiếu chung của Bộ Y tế không tách riêng khía cạnh chi phí dịch vụ.</w:t>
      </w:r>
    </w:p>
    <w:p>
      <w:pPr>
        <w:spacing w:before="0" w:after="160" w:lineRule="auto" w:line="360"/>
        <w:jc w:val="both"/>
      </w:pPr>
      <w:r>
        <w:rPr>
          <w:rFonts w:ascii="Times New Roman" w:hAnsi="Times New Roman" w:eastAsia="Times New Roman" w:cs="Times New Roman"/>
          <w:b/>
          <w:i w:val="0"/>
          <w:sz w:val="26"/>
        </w:rPr>
        <w:t>Từ khóa:</w:t>
      </w:r>
      <w:r>
        <w:rPr>
          <w:rFonts w:ascii="Times New Roman" w:hAnsi="Times New Roman" w:eastAsia="Times New Roman" w:cs="Times New Roman"/>
          <w:b w:val="0"/>
          <w:i w:val="0"/>
          <w:sz w:val="26"/>
        </w:rPr>
        <w:t xml:space="preserve"> hài lòng người bệnh; khám theo yêu cầu; ngoại trú; nghiên cứu cắt ngang; thời gian chờ; bệnh viện quân y.</w:t>
      </w:r>
    </w:p>
    <w:p>
      <w:r>
        <w:br w:type="page"/>
      </w:r>
    </w:p>
    <w:p>
      <w:pPr>
        <w:spacing w:before="0" w:after="320" w:lineRule="auto" w:line="312"/>
        <w:jc w:val="center"/>
      </w:pPr>
      <w:r>
        <w:rPr>
          <w:rFonts w:ascii="Times New Roman" w:hAnsi="Times New Roman" w:eastAsia="Times New Roman" w:cs="Times New Roman"/>
          <w:b/>
          <w:i w:val="0"/>
          <w:sz w:val="32"/>
        </w:rPr>
        <w:t>1. ĐẶT VẤN ĐỀ</w:t>
      </w:r>
    </w:p>
    <w:p>
      <w:pPr>
        <w:spacing w:before="0" w:after="160" w:lineRule="auto" w:line="360"/>
        <w:jc w:val="both"/>
      </w:pPr>
      <w:r>
        <w:rPr>
          <w:rFonts w:ascii="Times New Roman" w:hAnsi="Times New Roman" w:eastAsia="Times New Roman" w:cs="Times New Roman"/>
          <w:b w:val="0"/>
          <w:i w:val="0"/>
          <w:sz w:val="26"/>
        </w:rPr>
        <w:t>Sự hài lòng của người bệnh phản ánh mức độ trải nghiệm dịch vụ y tế đáp ứng được kỳ vọng, và là một cấu phần bắt buộc trong khung quản lý chất lượng bệnh viện tại Việt Nam. Đây là thước đo do người bệnh tự báo cáo, bao quát nhiều chiều của chất lượng dịch vụ: khả năng tiếp cận, sự minh bạch thông tin và thủ tục, cơ sở vật chất, thái độ ứng xử cùng năng lực chuyên môn của nhân viên y tế, và kết quả cung cấp dịch vụ. Trong thực hành quản lý, chỉ số này vừa được theo dõi thường quy, vừa là căn cứ xác định điểm cần cải tiến.</w:t>
      </w:r>
    </w:p>
    <w:p>
      <w:pPr>
        <w:spacing w:before="0" w:after="160" w:lineRule="auto" w:line="360"/>
        <w:jc w:val="both"/>
      </w:pPr>
      <w:r>
        <w:rPr>
          <w:rFonts w:ascii="Times New Roman" w:hAnsi="Times New Roman" w:eastAsia="Times New Roman" w:cs="Times New Roman"/>
          <w:b w:val="0"/>
          <w:i w:val="0"/>
          <w:sz w:val="26"/>
        </w:rPr>
        <w:t>Khối khám chữa bệnh ngoại trú theo yêu cầu là một mô hình đặc thù trong hệ thống bệnh viện. Người bệnh chủ động chi trả cao hơn để đổi lấy kỳ vọng cao hơn về chất lượng phục vụ, thời gian chờ và tiện nghi. Sự phát triển của mô hình này gắn với một chuyển dịch rộng hơn: phân tích tám đợt Khảo sát mức sống hộ gia đình Việt Nam giai đoạn 2006–2020 cho thấy người bệnh có bảo hiểm ở nông thôn ngày càng ít dùng trạm y tế xã mà chuyển sang bệnh viện công tuyến cao và cơ sở tư nhân, với mức chuyển dịch rõ rệt hơn ở nhóm kinh tế khá giả.</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 xml:space="preserve"> Khi người bệnh chủ động chọn nơi khám và chi trả nhiều hơn, kỳ vọng của họ về dịch vụ cũng thay đổi theo.</w:t>
      </w:r>
    </w:p>
    <w:p>
      <w:pPr>
        <w:spacing w:before="0" w:after="160" w:lineRule="auto" w:line="360"/>
        <w:jc w:val="both"/>
      </w:pPr>
      <w:r>
        <w:rPr>
          <w:rFonts w:ascii="Times New Roman" w:hAnsi="Times New Roman" w:eastAsia="Times New Roman" w:cs="Times New Roman"/>
          <w:b w:val="0"/>
          <w:i w:val="0"/>
          <w:sz w:val="26"/>
        </w:rPr>
        <w:t>Nhiều nghiên cứu trong nước đã khảo sát sự hài lòng của người bệnh ngoại trú. Một khảo sát đa cơ sở tại Hà Nội ghi nhận nhóm sử dụng dịch vụ theo yêu cầu, nhóm ngoại trú và nhóm người bệnh ở tỉnh khác có mức hài lòng thấp hơn.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Nghiên cứu trên hệ thống chăm sóc ban đầu toàn quốc cho thấy tỷ lệ hài lòng nhìn chung cao, khoảng 85% ở trạm y tế và 73% ở bệnh viện huyện, đồng thời thời gian chờ dài đi kèm mức hài lòng thấp hơn.</w:t>
      </w:r>
      <w:r>
        <w:rPr>
          <w:rFonts w:ascii="Times New Roman" w:hAnsi="Times New Roman" w:eastAsia="Times New Roman" w:cs="Times New Roman"/>
          <w:b w:val="0"/>
          <w:i w:val="0"/>
          <w:sz w:val="26"/>
        </w:rPr>
        <w:t>[3]</w:t>
      </w:r>
      <w:r>
        <w:rPr>
          <w:rFonts w:ascii="Times New Roman" w:hAnsi="Times New Roman" w:eastAsia="Times New Roman" w:cs="Times New Roman"/>
          <w:b w:val="0"/>
          <w:i w:val="0"/>
          <w:sz w:val="26"/>
        </w:rPr>
        <w:t xml:space="preserve"> Các nghiên cứu về cấp phát thuốc bảo hiểm y tế ngoại trú và về phòng khám ngoại trú tiếp tục xác nhận thủ tục hành chính cùng thời gian chờ là miền có điểm thấp nhất.</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[5]</w:t>
      </w:r>
      <w:r>
        <w:rPr>
          <w:rFonts w:ascii="Times New Roman" w:hAnsi="Times New Roman" w:eastAsia="Times New Roman" w:cs="Times New Roman"/>
          <w:b w:val="0"/>
          <w:i w:val="0"/>
          <w:sz w:val="26"/>
        </w:rPr>
        <w:t xml:space="preserve"> Mẫu hình lặp lại của y văn trong nước khá rõ: người bệnh ngoại trú thường hài lòng thấp hơn nội trú, và các điểm đau xoay quanh thời gian chờ, thủ tục hành chính, thông tin, cơ sở vật chất và chi phí.</w:t>
      </w:r>
    </w:p>
    <w:p>
      <w:pPr>
        <w:spacing w:before="0" w:after="160" w:lineRule="auto" w:line="360"/>
        <w:jc w:val="both"/>
      </w:pPr>
      <w:r>
        <w:rPr>
          <w:rFonts w:ascii="Times New Roman" w:hAnsi="Times New Roman" w:eastAsia="Times New Roman" w:cs="Times New Roman"/>
          <w:b w:val="0"/>
          <w:i w:val="0"/>
          <w:sz w:val="26"/>
        </w:rPr>
        <w:t>Một số bằng chứng còn gợi ý nghịch lý đáng lưu tâm: nhóm sử dụng dịch vụ theo yêu cầu đôi khi lại có mức hài lòng thấp hơn, có thể vì kỳ vọng đặt ra cao hơn.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Nghịch lý này khiến việc đo lường tại chính khối dịch vụ trở nên có ý nghĩa thực tiễn, thay vì suy ra từ dữ liệu của khối khám thông thường.</w:t>
      </w:r>
    </w:p>
    <w:p>
      <w:pPr>
        <w:spacing w:before="0" w:after="160" w:lineRule="auto" w:line="360"/>
        <w:jc w:val="both"/>
      </w:pPr>
      <w:r>
        <w:rPr>
          <w:rFonts w:ascii="Times New Roman" w:hAnsi="Times New Roman" w:eastAsia="Times New Roman" w:cs="Times New Roman"/>
          <w:b w:val="0"/>
          <w:i w:val="0"/>
          <w:sz w:val="26"/>
        </w:rPr>
        <w:t>Việc rà y văn cho phần này được thực hiện trên PubMed/MEDLINE, Europe PMC và Google Scholar, đồng thời trên nguồn tiếng Việt gồm các tạp chí y học trong nước, thư viện luận văn của các trường y và kỷ yếu hội nghị khoa học bệnh viện, với từ khóa tiếng Việt và tiếng Anh, mốc thời gian từ 2015. Chúng tôi nêu rõ phạm vi này vì hài lòng người bệnh là một trong những chủ đề đề tài cơ sở phổ biến nhất ở Việt Nam và phần lớn công trình không có PMID, nên một tuyên bố dựa trên riêng cơ sở dữ liệu quốc tế sẽ không đủ căn cứ.</w:t>
      </w:r>
    </w:p>
    <w:p>
      <w:pPr>
        <w:spacing w:before="0" w:after="160" w:lineRule="auto" w:line="360"/>
        <w:jc w:val="both"/>
      </w:pPr>
      <w:r>
        <w:rPr>
          <w:rFonts w:ascii="Times New Roman" w:hAnsi="Times New Roman" w:eastAsia="Times New Roman" w:cs="Times New Roman"/>
          <w:b w:val="0"/>
          <w:i w:val="0"/>
          <w:sz w:val="26"/>
        </w:rPr>
        <w:t>Khoảng trống hiện tại nằm ở hai điểm. Thứ nhất, chúng tôi chưa tìm thấy nghiên cứu công bố nào khảo sát riêng mức độ hài lòng và các yếu tố liên quan tại một khoa khám theo yêu cầu trong bệnh viện quân y tuyến cuối, nơi giao thoa giữa khối dịch vụ và vị trí tuyến cuối tại đô thị lớn. Chúng tôi phát biểu điều này như một giới hạn của phạm vi tra cứu, không như một khẳng định tuyệt đối rằng nghiên cứu như vậy không tồn tại. Thứ hai là khoảng trống về công cụ: các bộ mẫu phiếu do Bộ Y tế ban hành hướng đến quần thể ngoại trú nói chung,</w:t>
      </w: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[V2]</w:t>
      </w:r>
      <w:r>
        <w:rPr>
          <w:rFonts w:ascii="Times New Roman" w:hAnsi="Times New Roman" w:eastAsia="Times New Roman" w:cs="Times New Roman"/>
          <w:b w:val="0"/>
          <w:i w:val="0"/>
          <w:sz w:val="26"/>
        </w:rPr>
        <w:t xml:space="preserve"> không có lĩnh vực riêng cho chi phí dịch vụ theo yêu cầu, và cũng không hỏi những thuộc tính định nghĩa nên khối theo yêu cầu như được chọn bác sĩ, đặt lịch trước hay mức riêng tư.</w:t>
      </w:r>
    </w:p>
    <w:p>
      <w:pPr>
        <w:spacing w:before="0" w:after="160" w:lineRule="auto" w:line="360"/>
        <w:jc w:val="both"/>
      </w:pPr>
      <w:r>
        <w:rPr>
          <w:rFonts w:ascii="Times New Roman" w:hAnsi="Times New Roman" w:eastAsia="Times New Roman" w:cs="Times New Roman"/>
          <w:b w:val="0"/>
          <w:i w:val="0"/>
          <w:sz w:val="26"/>
        </w:rPr>
        <w:t>Xuất phát từ nhu cầu có dữ liệu nền tại chỗ để cải tiến chất lượng, chúng tôi xây dựng giao thức nghiên cứu này với hai mục tiêu:</w:t>
      </w:r>
    </w:p>
    <w:p>
      <w:pPr>
        <w:pStyle w:val="ListNumber"/>
        <w:spacing w:before="0" w:after="120" w:lineRule="auto" w:line="360"/>
        <w:jc w:val="both"/>
      </w:pPr>
      <w:r>
        <w:rPr>
          <w:rFonts w:ascii="Times New Roman" w:hAnsi="Times New Roman" w:eastAsia="Times New Roman" w:cs="Times New Roman"/>
          <w:b w:val="0"/>
          <w:i w:val="0"/>
          <w:sz w:val="26"/>
        </w:rPr>
        <w:t>Xác định mức độ hài lòng của người bệnh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Đánh giá một số yếu tố liên quan đến mức độ hài lòng của người bệnh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val="0"/>
          <w:sz w:val="26"/>
        </w:rPr>
        <w:t>Do là nghiên cứu quan sát cắt ngang, Mục tiêu 2 chỉ nhằm xác định các mối liên quan, không cho phép suy diễn quan hệ nhân quả.</w:t>
      </w:r>
    </w:p>
    <w:p>
      <w:r>
        <w:br w:type="page"/>
      </w:r>
    </w:p>
    <w:p>
      <w:pPr>
        <w:spacing w:before="0" w:after="320" w:lineRule="auto" w:line="312"/>
        <w:jc w:val="center"/>
      </w:pPr>
      <w:r>
        <w:rPr>
          <w:rFonts w:ascii="Times New Roman" w:hAnsi="Times New Roman" w:eastAsia="Times New Roman" w:cs="Times New Roman"/>
          <w:b/>
          <w:i w:val="0"/>
          <w:sz w:val="32"/>
        </w:rPr>
        <w:t>2. ĐỐI TƯỢNG VÀ PHƯƠNG PHÁP NGHIÊN CỨU</w:t>
      </w:r>
    </w:p>
    <w:p>
      <w:pPr>
        <w:spacing w:before="280" w:after="160" w:lineRule="auto" w:line="312"/>
      </w:pPr>
      <w:r>
        <w:rPr>
          <w:rFonts w:ascii="Times New Roman" w:hAnsi="Times New Roman" w:eastAsia="Times New Roman" w:cs="Times New Roman"/>
          <w:b/>
          <w:i w:val="0"/>
          <w:sz w:val="28"/>
        </w:rPr>
        <w:t>2.1. Thiết kế</w:t>
      </w:r>
    </w:p>
    <w:p>
      <w:pPr>
        <w:spacing w:before="0" w:after="160" w:lineRule="auto" w:line="360"/>
        <w:jc w:val="both"/>
      </w:pPr>
      <w:r>
        <w:rPr>
          <w:rFonts w:ascii="Times New Roman" w:hAnsi="Times New Roman" w:eastAsia="Times New Roman" w:cs="Times New Roman"/>
          <w:b w:val="0"/>
          <w:i w:val="0"/>
          <w:sz w:val="26"/>
        </w:rPr>
        <w:t>Nghiên cứu mô tả cắt ngang có phân tích. Báo cáo theo chuẩn STROBE phiên bản cắt ngang, đồng thời áp dụng chuẩn CROSS cho phần đặc thù của một khảo sát.</w:t>
      </w:r>
      <w:r>
        <w:rPr>
          <w:rFonts w:ascii="Times New Roman" w:hAnsi="Times New Roman" w:eastAsia="Times New Roman" w:cs="Times New Roman"/>
          <w:b w:val="0"/>
          <w:i w:val="0"/>
          <w:sz w:val="26"/>
        </w:rPr>
        <w:t>[6]</w:t>
      </w:r>
      <w:r>
        <w:rPr>
          <w:rFonts w:ascii="Times New Roman" w:hAnsi="Times New Roman" w:eastAsia="Times New Roman" w:cs="Times New Roman"/>
          <w:b w:val="0"/>
          <w:i w:val="0"/>
          <w:sz w:val="26"/>
        </w:rPr>
        <w:t xml:space="preserve"> Hai chuẩn bổ sung cho nhau: STROBE bao quát phần dịch tễ học quan sát, còn CROSS bao quát quá trình phát triển bộ câu hỏi, phương thức phát phiếu, tỷ lệ đáp ứng và cách xử lý câu trả lời thiếu ở mức từng mục.</w:t>
      </w:r>
    </w:p>
    <w:p>
      <w:pPr>
        <w:spacing w:before="0" w:after="160" w:lineRule="auto" w:line="360"/>
        <w:jc w:val="both"/>
      </w:pPr>
      <w:r>
        <w:rPr>
          <w:rFonts w:ascii="Times New Roman" w:hAnsi="Times New Roman" w:eastAsia="Times New Roman" w:cs="Times New Roman"/>
          <w:b w:val="0"/>
          <w:i w:val="0"/>
          <w:sz w:val="26"/>
        </w:rPr>
        <w:t>Thiết kế cắt ngang phù hợp với cả hai mục tiêu. Với Mục tiêu 1, đây là thiết kế chuẩn để ước lượng tỷ lệ hiện mắc của một trạng thái trong quần thể. Với Mục tiêu 2, thiết kế cho phép đo đồng thời phơi nhiễm và kết cục để ước lượng mối liên quan. Vì phơi nhiễm và kết cục đo cùng thời điểm, nghiên cứu không xác lập được trình tự thời gian.</w:t>
      </w:r>
    </w:p>
    <w:p>
      <w:pPr>
        <w:spacing w:before="0" w:after="160" w:lineRule="auto" w:line="360"/>
        <w:jc w:val="both"/>
      </w:pPr>
      <w:r>
        <w:rPr>
          <w:rFonts w:ascii="Times New Roman" w:hAnsi="Times New Roman" w:eastAsia="Times New Roman" w:cs="Times New Roman"/>
          <w:b w:val="0"/>
          <w:i w:val="0"/>
          <w:sz w:val="26"/>
        </w:rPr>
        <w:t>Chúng tôi đã cân nhắc và loại các thiết kế thay thế. Đoàn hệ tiến cứu vượt nhu cầu của câu hỏi hiện tại và không khả thi về nguồn lực trong phạm vi một khoa. Thiết kế bệnh chứng không phù hợp cho câu hỏi ước lượng tỷ lệ. Cấu phần định tính có thể bổ trợ nhưng không thay được cắt ngang, và không bắt buộc trong đề tài này.</w:t>
      </w:r>
    </w:p>
    <w:p>
      <w:pPr>
        <w:spacing w:before="280" w:after="160" w:lineRule="auto" w:line="312"/>
      </w:pPr>
      <w:r>
        <w:rPr>
          <w:rFonts w:ascii="Times New Roman" w:hAnsi="Times New Roman" w:eastAsia="Times New Roman" w:cs="Times New Roman"/>
          <w:b/>
          <w:i w:val="0"/>
          <w:sz w:val="28"/>
        </w:rPr>
        <w:t>2.2. Địa điểm và thời gian</w:t>
      </w:r>
    </w:p>
    <w:p>
      <w:pPr>
        <w:spacing w:before="0" w:after="160" w:lineRule="auto" w:line="360"/>
        <w:jc w:val="both"/>
      </w:pPr>
      <w:r>
        <w:rPr>
          <w:rFonts w:ascii="Times New Roman" w:hAnsi="Times New Roman" w:eastAsia="Times New Roman" w:cs="Times New Roman"/>
          <w:b w:val="0"/>
          <w:i w:val="0"/>
          <w:sz w:val="26"/>
        </w:rPr>
        <w:t>Nghiên cứu thực hiện tại Khoa Khám bệnh C1a, Trung tâm Khám bệnh và Điều trị theo yêu cầu C1, Bệnh viện Quân y 175, Thành phố Hồ Chí Minh. Khung thời gian thu thập là một giai đoạn liên tục đủ dài để phủ đều các khung giờ và các ngày trong tuần, tránh chỉ lấy giờ cao điểm hoặc thấp điểm. Độ dài cụ thể phụ thuộc lịch khoa và cỡ mẫu. Việc thu thập chỉ bắt đầu sau khi được Hội đồng Y đức và lãnh đạo Bệnh viện phê duyệt.</w:t>
      </w:r>
    </w:p>
    <w:p>
      <w:pPr>
        <w:spacing w:before="280" w:after="160" w:lineRule="auto" w:line="312"/>
      </w:pPr>
      <w:r>
        <w:rPr>
          <w:rFonts w:ascii="Times New Roman" w:hAnsi="Times New Roman" w:eastAsia="Times New Roman" w:cs="Times New Roman"/>
          <w:b/>
          <w:i w:val="0"/>
          <w:sz w:val="28"/>
        </w:rPr>
        <w:t>2.3. Đối tượng</w:t>
      </w:r>
    </w:p>
    <w:p>
      <w:pPr>
        <w:spacing w:before="0" w:after="160" w:lineRule="auto" w:line="360"/>
        <w:jc w:val="both"/>
      </w:pPr>
      <w:r>
        <w:rPr>
          <w:rFonts w:ascii="Times New Roman" w:hAnsi="Times New Roman" w:eastAsia="Times New Roman" w:cs="Times New Roman"/>
          <w:b w:val="0"/>
          <w:i w:val="0"/>
          <w:sz w:val="26"/>
        </w:rPr>
        <w:t>Tiêu chuẩn chọn vào gồm: người bệnh ngoại trú từ đủ 18 tuổi trở lên, kể cả phụ nữ mang thai; đủ sức khỏe, tỉnh táo và đủ năng lực nhận thức cùng ngôn ngữ để trả lời; đã cơ bản hoàn thành quy trình khám tại Khoa C1a, tức đang chờ thanh toán, nhận thuốc hoặc nhận lại thẻ bảo hiểm y tế, nhằm phản ánh trọn trải nghiệm lần khám; và đồng ý tham gia tự nguyện sau khi được giải thích.</w:t>
      </w:r>
    </w:p>
    <w:p>
      <w:pPr>
        <w:spacing w:before="0" w:after="160" w:lineRule="auto" w:line="360"/>
        <w:jc w:val="both"/>
      </w:pPr>
      <w:r>
        <w:rPr>
          <w:rFonts w:ascii="Times New Roman" w:hAnsi="Times New Roman" w:eastAsia="Times New Roman" w:cs="Times New Roman"/>
          <w:b w:val="0"/>
          <w:i w:val="0"/>
          <w:sz w:val="26"/>
        </w:rPr>
        <w:t>Tiêu chuẩn loại trừ gồm: từ chối tham gia; không đủ năng lực trả lời do tình trạng cấp cứu, suy giảm nhận thức hoặc rào cản ngôn ngữ không khắc phục được; nhân viên y tế của chính khoa hoặc bệnh viện đi khám, vì nguy cơ xung đột và thiên lệch đánh giá; đã tham gia ở lượt trước trong cùng kỳ; và phiếu khuyết dữ liệu vượt ngưỡng cho phép.</w:t>
      </w:r>
    </w:p>
    <w:p>
      <w:pPr>
        <w:spacing w:before="280" w:after="160" w:lineRule="auto" w:line="312"/>
      </w:pPr>
      <w:r>
        <w:rPr>
          <w:rFonts w:ascii="Times New Roman" w:hAnsi="Times New Roman" w:eastAsia="Times New Roman" w:cs="Times New Roman"/>
          <w:b/>
          <w:i w:val="0"/>
          <w:sz w:val="28"/>
        </w:rPr>
        <w:t>2.4. Cỡ mẫu và cách chọn mẫu</w:t>
      </w:r>
    </w:p>
    <w:p>
      <w:pPr>
        <w:spacing w:before="0" w:after="160" w:lineRule="auto" w:line="360"/>
        <w:jc w:val="both"/>
      </w:pPr>
      <w:r>
        <w:rPr>
          <w:rFonts w:ascii="Times New Roman" w:hAnsi="Times New Roman" w:eastAsia="Times New Roman" w:cs="Times New Roman"/>
          <w:b w:val="0"/>
          <w:i w:val="0"/>
          <w:sz w:val="26"/>
        </w:rPr>
        <w:t>Cỡ mẫu nghiên cứu là 1000, tính từ mức sai số tuyệt đối đã ấn định trước khi thu thập, và thống nhất với chỉ tiêu Hội đồng.</w:t>
      </w:r>
    </w:p>
    <w:p>
      <w:pPr>
        <w:spacing w:before="0" w:after="160" w:lineRule="auto" w:line="360"/>
        <w:jc w:val="both"/>
      </w:pPr>
      <w:r>
        <w:rPr>
          <w:rFonts w:ascii="Times New Roman" w:hAnsi="Times New Roman" w:eastAsia="Times New Roman" w:cs="Times New Roman"/>
          <w:b w:val="0"/>
          <w:i w:val="0"/>
          <w:sz w:val="26"/>
        </w:rPr>
        <w:t>Cỡ mẫu tối thiểu cho Mục tiêu 1 áp dụng công thức ước lượng một tỷ lệ theo độ chính xác của Lwanga và Lemeshow.</w:t>
      </w:r>
      <w:r>
        <w:rPr>
          <w:rFonts w:ascii="Times New Roman" w:hAnsi="Times New Roman" w:eastAsia="Times New Roman" w:cs="Times New Roman"/>
          <w:b w:val="0"/>
          <w:i w:val="0"/>
          <w:sz w:val="26"/>
        </w:rPr>
        <w:t>[7]</w:t>
      </w:r>
      <w:r>
        <w:rPr>
          <w:rFonts w:ascii="Times New Roman" w:hAnsi="Times New Roman" w:eastAsia="Times New Roman" w:cs="Times New Roman"/>
          <w:b w:val="0"/>
          <w:i w:val="0"/>
          <w:sz w:val="26"/>
        </w:rPr>
        <w:t xml:space="preserve"> Với mức ý nghĩa 0,05, tỷ lệ ước lượng p = 0,50 (giá trị làm phương sai đạt cực đại, do đó cho cỡ mẫu lớn nhất khi chưa biết tỷ lệ thật) và sai số cho phép d = 0,05, cỡ mẫu tối thiểu là 385; dự phòng 15% cho phiếu không trả lời hoặc phiếu lỗi, cỡ mẫu ở mức này khoảng 453. Đề tài không dừng ở mức thường quy này mà đặt mục tiêu độ chính xác cao hơn, d = 0,031, cho n = 1,96</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0,50 × 0,50 / 0,031</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999,4, làm tròn thành 1000 người bệnh. Mức sai số d = 0,031 được ấn định trước khi thu thập, không suy ngược từ một chỉ tiêu hành chính.</w:t>
      </w:r>
    </w:p>
    <w:p>
      <w:pPr>
        <w:spacing w:before="0" w:after="160" w:lineRule="auto" w:line="360"/>
        <w:jc w:val="both"/>
      </w:pPr>
      <w:r>
        <w:rPr>
          <w:rFonts w:ascii="Times New Roman" w:hAnsi="Times New Roman" w:eastAsia="Times New Roman" w:cs="Times New Roman"/>
          <w:b w:val="0"/>
          <w:i w:val="0"/>
          <w:sz w:val="26"/>
        </w:rPr>
        <w:t>Với Mục tiêu 2, kết cục phân tích chính là một biến thứ hạng năm mức, phân tích bằng hồi quy logistic thứ tự. Có công thức cỡ mẫu chuyên biệt cho dữ liệu phân loại có thứ tự dưới giả định tỷ lệ chênh không đổi, do Whitehead dẫn xuất cho đúng tình huống phân tích bằng hồi quy logistic thứ tự, kèm bàn luận ảnh hưởng của số mức, sai phân loại và phân tầng.</w:t>
      </w:r>
      <w:r>
        <w:rPr>
          <w:rFonts w:ascii="Times New Roman" w:hAnsi="Times New Roman" w:eastAsia="Times New Roman" w:cs="Times New Roman"/>
          <w:b w:val="0"/>
          <w:i w:val="0"/>
          <w:sz w:val="26"/>
        </w:rPr>
        <w:t>[8]</w:t>
      </w:r>
      <w:r>
        <w:rPr>
          <w:rFonts w:ascii="Times New Roman" w:hAnsi="Times New Roman" w:eastAsia="Times New Roman" w:cs="Times New Roman"/>
          <w:b w:val="0"/>
          <w:i w:val="0"/>
          <w:sz w:val="26"/>
        </w:rPr>
        <w:t xml:space="preserve"> Cỡ mẫu hiệu dụng trong khung này phụ thuộc toàn bộ phân bố biên của kết cục, không phải số quan sát ở một ô đơn lẻ. Quy tắc cũ mở rộng số biến cố trên mỗi tham số (EPV ≥ 10) của hồi quy logistic nhị phân</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 xml:space="preserve"> sang mô hình thứ tự đã bị đặt lại vấn đề bằng mô phỏng và không còn được đề tài dùng làm căn cứ chính.</w:t>
      </w:r>
      <w:r>
        <w:rPr>
          <w:rFonts w:ascii="Times New Roman" w:hAnsi="Times New Roman" w:eastAsia="Times New Roman" w:cs="Times New Roman"/>
          <w:b w:val="0"/>
          <w:i w:val="0"/>
          <w:sz w:val="26"/>
        </w:rPr>
        <w:t>[10]</w:t>
      </w:r>
      <w:r>
        <w:rPr>
          <w:rFonts w:ascii="Times New Roman" w:hAnsi="Times New Roman" w:eastAsia="Times New Roman" w:cs="Times New Roman"/>
          <w:b w:val="0"/>
          <w:i w:val="0"/>
          <w:sz w:val="26"/>
        </w:rPr>
        <w:t xml:space="preserve"> Chúng tôi áp dụng công thức này ở dạng tổng quát cho phơi nhiễm liên tục, n = 3(z</w:t>
      </w:r>
      <w:r>
        <w:rPr>
          <w:rFonts w:ascii="Times New Roman" w:hAnsi="Times New Roman" w:eastAsia="Times New Roman" w:cs="Times New Roman"/>
          <w:b w:val="0"/>
          <w:i w:val="0"/>
          <w:sz w:val="26"/>
          <w:vertAlign w:val="subscript"/>
        </w:rPr>
        <w:t>1−α/2</w:t>
      </w:r>
      <w:r>
        <w:rPr>
          <w:rFonts w:ascii="Times New Roman" w:hAnsi="Times New Roman" w:eastAsia="Times New Roman" w:cs="Times New Roman"/>
          <w:b w:val="0"/>
          <w:i w:val="0"/>
          <w:sz w:val="26"/>
        </w:rPr>
        <w:t xml:space="preserve"> + z</w:t>
      </w:r>
      <w:r>
        <w:rPr>
          <w:rFonts w:ascii="Times New Roman" w:hAnsi="Times New Roman" w:eastAsia="Times New Roman" w:cs="Times New Roman"/>
          <w:b w:val="0"/>
          <w:i w:val="0"/>
          <w:sz w:val="26"/>
          <w:vertAlign w:val="subscript"/>
        </w:rPr>
        <w:t>1−β</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val="0"/>
          <w:sz w:val="26"/>
        </w:rPr>
        <w:t>[(1 − Σp</w:t>
      </w:r>
      <w:r>
        <w:rPr>
          <w:rFonts w:ascii="Times New Roman" w:hAnsi="Times New Roman" w:eastAsia="Times New Roman" w:cs="Times New Roman"/>
          <w:b w:val="0"/>
          <w:i w:val="0"/>
          <w:sz w:val="26"/>
          <w:vertAlign w:val="subscript"/>
        </w:rPr>
        <w:t>i</w:t>
      </w:r>
      <w:r>
        <w:rPr>
          <w:rFonts w:ascii="Times New Roman" w:hAnsi="Times New Roman" w:eastAsia="Times New Roman" w:cs="Times New Roman"/>
          <w:b w:val="0"/>
          <w:i w:val="0"/>
          <w:sz w:val="26"/>
          <w:vertAlign w:val="superscript"/>
        </w:rPr>
        <w:t>3</w:t>
      </w:r>
      <w:r>
        <w:rPr>
          <w:rFonts w:ascii="Times New Roman" w:hAnsi="Times New Roman" w:eastAsia="Times New Roman" w:cs="Times New Roman"/>
          <w:b w:val="0"/>
          <w:i w:val="0"/>
          <w:sz w:val="26"/>
        </w:rPr>
        <w:t>) · β</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Var(X) · (1 −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w:t>
      </w:r>
      <w:r>
        <w:rPr>
          <w:rFonts w:ascii="Times New Roman" w:hAnsi="Times New Roman" w:eastAsia="Times New Roman" w:cs="Times New Roman"/>
          <w:b w:val="0"/>
          <w:i w:val="0"/>
          <w:sz w:val="26"/>
        </w:rPr>
        <w:t>, trong đó β là logarit tỷ số chênh trên mỗi đơn vị phơi nhiễm, Var(X) là phương sai của thời gian chờ tính theo đơn vị 15 phút, và (1 −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hiệu chỉnh cho phần phương sai bị các đồng biến giải thích. Với mức ý nghĩa 0,05 hai phía, lực thống kê 80%, R</w:t>
      </w:r>
      <w:r>
        <w:rPr>
          <w:rFonts w:ascii="Times New Roman" w:hAnsi="Times New Roman" w:eastAsia="Times New Roman" w:cs="Times New Roman"/>
          <w:b w:val="0"/>
          <w:i w:val="0"/>
          <w:sz w:val="26"/>
          <w:vertAlign w:val="superscript"/>
        </w:rPr>
        <w:t>2</w:t>
      </w:r>
      <w:r>
        <w:rPr>
          <w:rFonts w:ascii="Times New Roman" w:hAnsi="Times New Roman" w:eastAsia="Times New Roman" w:cs="Times New Roman"/>
          <w:b w:val="0"/>
          <w:i w:val="0"/>
          <w:sz w:val="26"/>
        </w:rPr>
        <w:t xml:space="preserve"> = 0,20, và ba giả định phân bố năm mức phủ dải lệch trần dự kiến (cho 1 − Σp</w:t>
      </w:r>
      <w:r>
        <w:rPr>
          <w:rFonts w:ascii="Times New Roman" w:hAnsi="Times New Roman" w:eastAsia="Times New Roman" w:cs="Times New Roman"/>
          <w:b w:val="0"/>
          <w:i w:val="0"/>
          <w:sz w:val="26"/>
          <w:vertAlign w:val="subscript"/>
        </w:rPr>
        <w:t>i</w:t>
      </w:r>
      <w:r>
        <w:rPr>
          <w:rFonts w:ascii="Times New Roman" w:hAnsi="Times New Roman" w:eastAsia="Times New Roman" w:cs="Times New Roman"/>
          <w:b w:val="0"/>
          <w:i w:val="0"/>
          <w:sz w:val="26"/>
          <w:vertAlign w:val="superscript"/>
        </w:rPr>
        <w:t>3</w:t>
      </w:r>
      <w:r>
        <w:rPr>
          <w:rFonts w:ascii="Times New Roman" w:hAnsi="Times New Roman" w:eastAsia="Times New Roman" w:cs="Times New Roman"/>
          <w:b w:val="0"/>
          <w:i w:val="0"/>
          <w:sz w:val="26"/>
        </w:rPr>
        <w:t xml:space="preserve"> trong khoảng 0,844–0,898), cỡ mẫu 1000 phát hiện được tỷ số chênh khoảng 1,07 đến 1,15 cho mỗi 15 phút chờ thêm, tùy độ phân tán thực tế của thời gian chờ (độ lệch chuẩn 20 đến 40 phút). Quy sang mức dễ hình dung hơn, với độ lệch chuẩn 30 phút thì tỷ số chênh 1,098 mỗi 15 phút tương đương khoảng 1,45 mỗi giờ chờ thêm. Nói cách khác, cỡ mẫu ấn định theo Mục tiêu 1 dư sức cho Mục tiêu 2 dưới mọi kịch bản đã xét; ràng buộc chặt hơn nằm ở Mục tiêu 1.</w:t>
      </w:r>
    </w:p>
    <w:p>
      <w:pPr>
        <w:spacing w:before="0" w:after="160" w:lineRule="auto" w:line="360"/>
        <w:jc w:val="both"/>
      </w:pPr>
      <w:r>
        <w:rPr>
          <w:rFonts w:ascii="Times New Roman" w:hAnsi="Times New Roman" w:eastAsia="Times New Roman" w:cs="Times New Roman"/>
          <w:b w:val="0"/>
          <w:i w:val="0"/>
          <w:sz w:val="26"/>
        </w:rPr>
        <w:t>Ba giả định của phép tính này được nêu rõ để người đọc đánh giá: phân bố năm mức là giả định lấy từ dải hài lòng đã ghi nhận trong y văn ngoại trú Việt Nam chứ không phải từ nghiên cứu thử của chính khoa (kết quả rất ít nhạy với lựa chọn này); độ lệch chuẩn của thời gian chờ tại địa điểm nghiên cứu chưa biết và sẽ lấy từ hệ thống thông tin bệnh viện ở buổi chạy thử, đây là tham số ảnh hưởng mạnh nhất; và phép tính chưa tính hiệu ứng thiết kế do gom cụm theo bàn khám, vốn nhỏ hơn nhiều với phơi nhiễm ở cấp cá thể nhưng không bằng 1. Con số cuối cùng đưa vào hồ sơ Hội đồng do nhà thống kê chạy lại và xác nhận.</w:t>
      </w:r>
    </w:p>
    <w:p>
      <w:pPr>
        <w:spacing w:before="0" w:after="160" w:lineRule="auto" w:line="360"/>
        <w:jc w:val="both"/>
      </w:pPr>
      <w:r>
        <w:rPr>
          <w:rFonts w:ascii="Times New Roman" w:hAnsi="Times New Roman" w:eastAsia="Times New Roman" w:cs="Times New Roman"/>
          <w:b w:val="0"/>
          <w:i w:val="0"/>
          <w:sz w:val="26"/>
        </w:rPr>
        <w:t>Ở cỡ mẫu 1000, nửa rộng khoảng tin cậy 95% của ước lượng một tỷ lệ là ±3,1% khi p = 0,5. Con số này giả định lấy mẫu ngẫu nhiên đơn giản và các quan sát độc lập, và điều kiện thứ hai không đúng ở đây vì mức hài lòng gom cụm theo bàn khám. Với hiệu ứng thiết kế 1 + (m − 1)·ICC, độ chính xác thật nhiều khả năng nằm trong khoảng ±4% đến ±6% tùy số bàn khám và hệ số tương quan nội cụm. Chúng tôi nêu con số này kèm điều kiện của nó thay vì nêu trần, và sẽ ước lượng hệ số tương quan nội cụm từ chính dữ liệu nghiên cứu rồi báo cáo minh bạch; mọi khoảng tin cậy của Mục tiêu 1 được tính bằng phương pháp có tính đến gom cụm.</w:t>
      </w:r>
    </w:p>
    <w:p>
      <w:pPr>
        <w:spacing w:before="0" w:after="160" w:lineRule="auto" w:line="360"/>
        <w:jc w:val="both"/>
      </w:pPr>
      <w:r>
        <w:rPr>
          <w:rFonts w:ascii="Times New Roman" w:hAnsi="Times New Roman" w:eastAsia="Times New Roman" w:cs="Times New Roman"/>
          <w:b w:val="0"/>
          <w:i w:val="0"/>
          <w:sz w:val="26"/>
        </w:rPr>
        <w:t>Chọn mẫu hệ thống phân tầng theo ngày trong tuần và khung giờ khám. Trong mỗi tầng, bước nhảy được tính bằng số người đủ điều kiện dự kiến chia cho số người cần mời. Một người chuyên trách theo dõi số thứ tự dòng người bệnh trong từng tầng và không kiêm nhiệm việc phát hay thu phiếu. Trước khi thu thập chính thức, nhóm nghiên cứu tổ chức một buổi chạy thử toàn bộ quy trình trên tối thiểu 40 lượt mời trải ít nhất 4 tầng; buổi này đóng vai cổng quyết định tính khả thi chứ không chỉ là diễn tập, với năm tiêu chí ấn định trước: xác định đúng người theo bước nhảy đạt từ 80% số lượt mời trở lên; tỷ lệ đồng ý tham gia từ 60% trở lên; ghép được mốc thời gian chờ từ hệ thống thông tin bệnh viện cho từ 90% số phiếu trở lên; trung vị thời gian hoàn thành phiếu không quá 20 phút; và không quá 2 mục bị từ 20% người trả lời hỏi lại hoặc hiểu sai trong phỏng vấn nhận thức. Vi phạm hai tiêu chí sau xử lý bằng sửa công cụ rồi chạy thử lại; vi phạm ba tiêu chí đầu là vấn đề thiết kế hoặc vận hành, khi đó nghiên cứu dừng lại để sửa quy trình và trình Hội đồng sửa đổi nếu cần, thay vì đổi thiết kế lấy mẫu giữa chừng.</w:t>
      </w:r>
    </w:p>
    <w:p>
      <w:pPr>
        <w:spacing w:before="280" w:after="160" w:lineRule="auto" w:line="312"/>
      </w:pPr>
      <w:r>
        <w:rPr>
          <w:rFonts w:ascii="Times New Roman" w:hAnsi="Times New Roman" w:eastAsia="Times New Roman" w:cs="Times New Roman"/>
          <w:b/>
          <w:i w:val="0"/>
          <w:sz w:val="28"/>
        </w:rPr>
        <w:t>2.5. Công cụ đo lường</w:t>
      </w:r>
    </w:p>
    <w:p>
      <w:pPr>
        <w:spacing w:before="0" w:after="160" w:lineRule="auto" w:line="360"/>
        <w:jc w:val="both"/>
      </w:pPr>
      <w:r>
        <w:rPr>
          <w:rFonts w:ascii="Times New Roman" w:hAnsi="Times New Roman" w:eastAsia="Times New Roman" w:cs="Times New Roman"/>
          <w:b w:val="0"/>
          <w:i w:val="0"/>
          <w:sz w:val="26"/>
        </w:rPr>
        <w:t>Công cụ thu thập là bộ câu hỏi do nhóm nghiên cứu tự xây dựng cho đề tài này, không phải bản sao mẫu phiếu ngoại trú của Bộ Y tế.</w:t>
      </w: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 xml:space="preserve"> Phiếu gồm bốn phần với tổng cộng 58 mục: thông tin chung và bối cảnh lượt khám (24 mục), đánh giá mức độ hài lòng theo sáu lĩnh vực (30 mục, thang Likert 5 mức), cụm kết cục tổng quát gồm mục hài lòng chung hỏi trực tiếp cùng hai mục ý định quay lại và ý định giới thiệu (3 mục), và một mục ý kiến mở.</w:t>
      </w:r>
    </w:p>
    <w:p>
      <w:pPr>
        <w:spacing w:before="0" w:after="160" w:lineRule="auto" w:line="360"/>
        <w:jc w:val="both"/>
      </w:pPr>
      <w:r>
        <w:rPr>
          <w:rFonts w:ascii="Times New Roman" w:hAnsi="Times New Roman" w:eastAsia="Times New Roman" w:cs="Times New Roman"/>
          <w:b w:val="0"/>
          <w:i w:val="0"/>
          <w:sz w:val="26"/>
        </w:rPr>
        <w:t>Phần thông tin chung bao gồm bốn nhóm mục mà khung chung không có nhưng bối cảnh nghiên cứu đòi hỏi. Nhóm thứ nhất đo kỳ vọng: thời gian chờ mà người bệnh dự kiến trước khi đến, mức xác nhận kỳ vọng sau lượt khám, và lý do chính chọn khám theo yêu cầu. Nhóm này cần thiết vì chính nghịch lý mà nghiên cứu viện dẫn ở phần Đặt vấn đề nằm ở kỳ vọng; nếu không đo kỳ vọng thì một kết quả hài lòng thấp sẽ không phân biệt được giữa dịch vụ kém và kỳ vọng cao, tức không trả lời được câu hỏi mà chính nghiên cứu đặt ra. Nhóm thứ hai đo những thuộc tính định nghĩa nên khối theo yêu cầu: có yêu cầu bác sĩ cụ thể và có được đúng người đó hay không, kênh đặt lịch, gói khám, mức riêng tư. Nhóm thứ ba là một mục tự đánh giá sức khỏe, biến gây nhiễu kinh điển vì người đau hoặc lo lắng chấm mọi thứ thấp hơn trong khi ca phức tạp cũng thường chờ lâu hơn. Nhóm thứ tư là một mục hỏi người bệnh có hoãn hoặc từ chối dịch vụ được chỉ định vì chi phí hay không, mục duy nhất trong phiếu có khả năng phát hiện tác hại của mô hình tự chi trả; mục này có lựa chọn từ chối trả lời và được nêu rõ là có thể bỏ qua.</w:t>
      </w:r>
    </w:p>
    <w:p>
      <w:pPr>
        <w:spacing w:before="0" w:after="160" w:lineRule="auto" w:line="360"/>
        <w:jc w:val="both"/>
      </w:pPr>
      <w:r>
        <w:rPr>
          <w:rFonts w:ascii="Times New Roman" w:hAnsi="Times New Roman" w:eastAsia="Times New Roman" w:cs="Times New Roman"/>
          <w:b w:val="0"/>
          <w:i w:val="0"/>
          <w:sz w:val="26"/>
        </w:rPr>
        <w:t>Sáu lĩnh vực gồm khả năng tiếp cận dịch vụ; cơ sở vật chất và phương tiện phục vụ; thái độ ứng xử và năng lực chuyên môn của nhân viên y tế; sự minh bạch thông tin và thủ tục; kết quả cung cấp dịch vụ; và chi phí dịch vụ. Năm lĩnh vực đầu tương thích về khái niệm với khung của Bộ Y tế; lĩnh vực chi phí là bổ sung riêng, phù hợp bối cảnh khối khám theo yêu cầu tự chi trả.</w:t>
      </w:r>
    </w:p>
    <w:p>
      <w:pPr>
        <w:spacing w:before="0" w:after="160" w:lineRule="auto" w:line="360"/>
        <w:jc w:val="both"/>
      </w:pPr>
      <w:r>
        <w:rPr>
          <w:rFonts w:ascii="Times New Roman" w:hAnsi="Times New Roman" w:eastAsia="Times New Roman" w:cs="Times New Roman"/>
          <w:b w:val="0"/>
          <w:i w:val="0"/>
          <w:sz w:val="26"/>
        </w:rPr>
        <w:t>Vì đây là bộ câu hỏi tự xây dựng, dùng lần đầu, nghiên cứu không lấy hệ số tin cậy nội tại trên mẫu chính làm bằng chứng giá trị nội dung duy nhất. Một pha phát triển và kiểm định công cụ được thực hiện trước khi thu thập mẫu chính, theo bốn bước bắt buộc: lập bảng truy xuất nguồn gốc cho từng mục; hội đồng chuyên gia chấm mức liên quan từng mục để tính chỉ số giá trị nội dung ở cấp mục và cấp thang, với ngưỡng đạt theo Polit và Beck;</w:t>
      </w:r>
      <w:r>
        <w:rPr>
          <w:rFonts w:ascii="Times New Roman" w:hAnsi="Times New Roman" w:eastAsia="Times New Roman" w:cs="Times New Roman"/>
          <w:b w:val="0"/>
          <w:i w:val="0"/>
          <w:sz w:val="26"/>
        </w:rPr>
        <w:t>[11]</w:t>
      </w:r>
      <w:r>
        <w:rPr>
          <w:rFonts w:ascii="Times New Roman" w:hAnsi="Times New Roman" w:eastAsia="Times New Roman" w:cs="Times New Roman"/>
          <w:b w:val="0"/>
          <w:i w:val="0"/>
          <w:sz w:val="26"/>
        </w:rPr>
        <w:t xml:space="preserve"> phỏng vấn nhận thức 10–15 người bệnh để kiểm cách hiểu câu chữ; và nghiên cứu thử tại thực địa với khoảng 50–100 người. Chỉ sau khi hoàn tất bốn bước này, phiên bản cuối của công cụ mới được khóa.</w:t>
      </w:r>
    </w:p>
    <w:p>
      <w:pPr>
        <w:spacing w:before="0" w:after="160" w:lineRule="auto" w:line="360"/>
        <w:jc w:val="both"/>
      </w:pPr>
      <w:r>
        <w:rPr>
          <w:rFonts w:ascii="Times New Roman" w:hAnsi="Times New Roman" w:eastAsia="Times New Roman" w:cs="Times New Roman"/>
          <w:b w:val="0"/>
          <w:i w:val="0"/>
          <w:sz w:val="26"/>
        </w:rPr>
        <w:t>Hội đồng chuyên gia gồm từ 6 đến 10 thành viên, trong đó ít nhất hai đại diện người bệnh và không quá hai người thuộc chính khoa được đánh giá. Số tối thiểu 6 là điều kiện để ngưỡng 0,78 của chỉ số giá trị nội dung cấp mục áp dụng được; với 5 chuyên gia trở xuống, tiêu chí đòi hỏi toàn bộ chuyên gia đồng thuận. Phiếu chấm bổ sung hai câu hỏi mở bắt buộc về những khía cạnh mà bộ câu hỏi chưa hỏi tới, vì chỉ số giá trị nội dung về nguyên tắc chỉ đo tính liên quan của các mục đã có và không thể phát hiện mục còn thiếu; theo COSMIN, tính bao phủ là một cấu phần riêng của giá trị nội dung. Phần khai thác mở tương tự cũng bắt buộc ở cuối mỗi buổi phỏng vấn nhận thức.</w:t>
      </w:r>
    </w:p>
    <w:p>
      <w:pPr>
        <w:spacing w:before="0" w:after="160" w:lineRule="auto" w:line="360"/>
        <w:jc w:val="both"/>
      </w:pPr>
      <w:r>
        <w:rPr>
          <w:rFonts w:ascii="Times New Roman" w:hAnsi="Times New Roman" w:eastAsia="Times New Roman" w:cs="Times New Roman"/>
          <w:b w:val="0"/>
          <w:i w:val="0"/>
          <w:sz w:val="26"/>
        </w:rPr>
        <w:t>Cấu trúc sáu lĩnh vực được kiểm định thực nghiệm bằng chia đôi mẫu ngẫu nhiên: phân tích nhân tố khám phá trên một nửa với ma trận tương quan polychoric, phân tích song song để xác định số nhân tố và phép xoay xiên; phân tích nhân tố khẳng định trên nửa còn lại với ước lượng dành cho biến thứ hạng. Ngưỡng phù hợp mô hình và phương án xử lý khi không đạt đều ấn định trước: nếu mô hình sáu lĩnh vực không được xác nhận, nghiên cứu vẫn báo cáo đúng kết quả đó, ưu tiên trình bày ở cấp từng mục thay vì điểm gộp lĩnh vực, và không chỉnh sửa mô hình theo chỉ số hiệu chỉnh rồi trình bày như thể đã định trước. Kết cục chính là một mục đơn nên không phụ thuộc cấu trúc lĩnh vực.</w:t>
      </w:r>
    </w:p>
    <w:p>
      <w:pPr>
        <w:spacing w:before="0" w:after="160" w:lineRule="auto" w:line="360"/>
        <w:jc w:val="both"/>
      </w:pPr>
      <w:r>
        <w:rPr>
          <w:rFonts w:ascii="Times New Roman" w:hAnsi="Times New Roman" w:eastAsia="Times New Roman" w:cs="Times New Roman"/>
          <w:b w:val="0"/>
          <w:i w:val="0"/>
          <w:sz w:val="26"/>
        </w:rPr>
        <w:t>Ba mã dữ liệu thiếu được tách riêng thay vì gộp chung: không áp dụng hoặc không sử dụng dịch vụ; không biết hoặc không nhớ; và không trả lời. Việc tách giúp phân biệt trường hợp người bệnh không dùng dịch vụ với trường hợp từ chối trả lời, hai tình huống mang ý nghĩa khác hẳn nhau khi diễn giải.</w:t>
      </w:r>
    </w:p>
    <w:p>
      <w:pPr>
        <w:spacing w:before="280" w:after="160" w:lineRule="auto" w:line="312"/>
      </w:pPr>
      <w:r>
        <w:rPr>
          <w:rFonts w:ascii="Times New Roman" w:hAnsi="Times New Roman" w:eastAsia="Times New Roman" w:cs="Times New Roman"/>
          <w:b/>
          <w:i w:val="0"/>
          <w:sz w:val="28"/>
        </w:rPr>
        <w:t>2.6. Biến số</w:t>
      </w:r>
    </w:p>
    <w:p>
      <w:pPr>
        <w:spacing w:before="0" w:after="160" w:lineRule="auto" w:line="360"/>
        <w:jc w:val="both"/>
      </w:pPr>
      <w:r>
        <w:rPr>
          <w:rFonts w:ascii="Times New Roman" w:hAnsi="Times New Roman" w:eastAsia="Times New Roman" w:cs="Times New Roman"/>
          <w:b w:val="0"/>
          <w:i w:val="0"/>
          <w:sz w:val="26"/>
        </w:rPr>
        <w:t>Kết cục chính của cả hai mục tiêu là mục hài lòng chung hỏi trực tiếp, giữ nguyên thang thứ hạng 1–5. Chúng tôi cố ý không dùng điểm trung bình của các lĩnh vực làm kết cục chính, vì lĩnh vực đầu tiên hỏi trực tiếp về mức hài lòng với các loại thời gian chờ, trong khi thời gian chờ cũng là phơi nhiễm trung tâm của Mục tiêu 2. Nếu dùng điểm trung bình, hồi quy của thời gian chờ lên hài lòng sẽ mang tính vòng tròn một phần. Dùng mục hài lòng chung độc lập loại bỏ hoàn toàn nguy cơ này ở phân tích chính.</w:t>
      </w:r>
    </w:p>
    <w:p>
      <w:pPr>
        <w:spacing w:before="0" w:after="160" w:lineRule="auto" w:line="360"/>
        <w:jc w:val="both"/>
      </w:pPr>
      <w:r>
        <w:rPr>
          <w:rFonts w:ascii="Times New Roman" w:hAnsi="Times New Roman" w:eastAsia="Times New Roman" w:cs="Times New Roman"/>
          <w:b w:val="0"/>
          <w:i w:val="0"/>
          <w:sz w:val="26"/>
        </w:rPr>
        <w:t>Phơi nhiễm trung tâm là thời gian chờ khám, đo theo mốc thời gian của hệ thống thông tin bệnh viện và báo hiệu ứng theo mỗi 15 phút chờ thêm. Các biến độc lập khác gồm đặc điểm nhân khẩu, nơi cư trú và khoảng cách từ nhà đến viện, tình trạng bảo hiểm y tế, lý do khám, số lần khám trong 12 tháng qua, phương tiện di chuyển, thu nhập hộ gia đình, cùng các biến vận hành như khung giờ khám và ngày trong tuần. Khung giờ và ngày trong tuần bắt buộc thu thập vì chúng liên quan đồng thời với cả thời gian chờ lẫn mức hài lòng, nên cần hiệu chỉnh. Tập biến hiệu chỉnh bắt buộc còn gồm tự đánh giá sức khỏe và việc có được khám đúng bác sĩ đã yêu cầu; ở khối theo yêu cầu, biến thứ hai có thể là yếu tố giải thích mạnh không kém thời gian chờ. Kỳ vọng về thời gian chờ được dùng để dựng biến khoảng chênh kỳ vọng, và cùng với mức xác nhận kỳ vọng được xử lý như biến trung gian, không đưa vào tập hiệu chỉnh của mô hình chính để tránh hiệu chỉnh quá mức.</w:t>
      </w:r>
    </w:p>
    <w:p>
      <w:pPr>
        <w:spacing w:before="0" w:after="160" w:lineRule="auto" w:line="360"/>
        <w:jc w:val="both"/>
      </w:pPr>
      <w:r>
        <w:rPr>
          <w:rFonts w:ascii="Times New Roman" w:hAnsi="Times New Roman" w:eastAsia="Times New Roman" w:cs="Times New Roman"/>
          <w:b w:val="0"/>
          <w:i w:val="0"/>
          <w:sz w:val="26"/>
        </w:rPr>
        <w:t>Mỗi phiếu còn mang mã bàn khám ở dạng giả danh do bộ phận công nghệ thông tin của bệnh viện cấp, thu ngay từ phiếu đầu tiên. Đây là biến chùm bắt buộc: mức hài lòng gom cụm theo người khám, và bộ câu hỏi có hẳn một lĩnh vực chấm thái độ cùng năng lực nhân viên y tế nên hiện tượng này là chắc chắn chứ không phải giả định; bỏ qua nó sẽ cho sai số chuẩn hẹp giả tạo. Mã bàn khám không phải tên hay mã nhân viên thật và không cho phép truy ngược danh tính từ bộ dữ liệu của nhóm nghiên cứu. Nghiên cứu cam kết không dùng dữ liệu ở cấp bàn khám để xếp hạng hay đánh giá cá nhân nhân viên, không công bố số liệu cho bàn khám có dưới 10 phiếu, và không xếp thứ tự các bàn khám trong bất kỳ bảng nào.</w:t>
      </w:r>
    </w:p>
    <w:p>
      <w:pPr>
        <w:spacing w:before="0" w:after="160" w:lineRule="auto" w:line="360"/>
        <w:jc w:val="both"/>
      </w:pPr>
      <w:r>
        <w:rPr>
          <w:rFonts w:ascii="Times New Roman" w:hAnsi="Times New Roman" w:eastAsia="Times New Roman" w:cs="Times New Roman"/>
          <w:b w:val="0"/>
          <w:i w:val="0"/>
          <w:sz w:val="26"/>
        </w:rPr>
        <w:t>Bộ dữ liệu phiếu không chứa ô tên, số căn cước, số thẻ bảo hiểm, số điện thoại hay địa chỉ. Mã hồ sơ bệnh án không nằm trong bộ dữ liệu hay hệ thống nhập liệu của nhóm nghiên cứu; việc đối soát và chống trùng do bộ phận công nghệ thông tin của bệnh viện thực hiện riêng.</w:t>
      </w:r>
    </w:p>
    <w:p>
      <w:pPr>
        <w:spacing w:before="280" w:after="160" w:lineRule="auto" w:line="312"/>
      </w:pPr>
      <w:r>
        <w:rPr>
          <w:rFonts w:ascii="Times New Roman" w:hAnsi="Times New Roman" w:eastAsia="Times New Roman" w:cs="Times New Roman"/>
          <w:b/>
          <w:i w:val="0"/>
          <w:sz w:val="28"/>
        </w:rPr>
        <w:t>2.7. Thu thập số liệu và khống chế sai số</w:t>
      </w:r>
    </w:p>
    <w:p>
      <w:pPr>
        <w:spacing w:before="0" w:after="160" w:lineRule="auto" w:line="360"/>
        <w:jc w:val="both"/>
      </w:pPr>
      <w:r>
        <w:rPr>
          <w:rFonts w:ascii="Times New Roman" w:hAnsi="Times New Roman" w:eastAsia="Times New Roman" w:cs="Times New Roman"/>
          <w:b w:val="0"/>
          <w:i w:val="0"/>
          <w:sz w:val="26"/>
        </w:rPr>
        <w:t>Người bệnh tự điền phiếu tại khu vực chờ, tách khỏi khu vực khám và không có mặt nhân viên trực tiếp khám. Với người khó tự điền, người hỗ trợ ghi hộ đúng nguyên văn lời người bệnh, không gợi ý hay diễn giải đáp án; cách hoàn thành phiếu được ghi lại thành một biến để phân tích nhạy cảm. Phiếu nộp vào hòm kín.</w:t>
      </w:r>
    </w:p>
    <w:p>
      <w:pPr>
        <w:spacing w:before="0" w:after="160" w:lineRule="auto" w:line="360"/>
        <w:jc w:val="both"/>
      </w:pPr>
      <w:r>
        <w:rPr>
          <w:rFonts w:ascii="Times New Roman" w:hAnsi="Times New Roman" w:eastAsia="Times New Roman" w:cs="Times New Roman"/>
          <w:b w:val="0"/>
          <w:i w:val="0"/>
          <w:sz w:val="26"/>
        </w:rPr>
        <w:t>Thiên kiến chiều lòng có thể đẩy điểm lên cao, biểu hiện thành hiệu ứng trần điểm; nghiên cứu khống chế bằng cách bảo đảm khuyết danh, tách không gian điền phiếu, và báo cáo tỷ lệ đạt điểm trần theo từng lĩnh vực. Thiên kiến người còn lui tới khiến nghiên cứu chỉ nắm bắt người đang đến khám và có thể bỏ sót người đã rời bỏ khoa vì không hài lòng, dẫn đến khả năng ước lượng vượt mức hài lòng thật. Sai số chọn mẫu do điều tra viên tự chọn người dễ tính được khống chế bằng quy tắc bước nhảy hệ thống và bằng việc tách vai trò đếm số thứ tự khỏi vai trò phát phiếu.</w:t>
      </w:r>
    </w:p>
    <w:p>
      <w:pPr>
        <w:spacing w:before="0" w:after="160" w:lineRule="auto" w:line="360"/>
        <w:jc w:val="both"/>
      </w:pPr>
      <w:r>
        <w:rPr>
          <w:rFonts w:ascii="Times New Roman" w:hAnsi="Times New Roman" w:eastAsia="Times New Roman" w:cs="Times New Roman"/>
          <w:b w:val="0"/>
          <w:i w:val="0"/>
          <w:sz w:val="26"/>
        </w:rPr>
        <w:t>Một chiều sai lệch riêng cần nêu vì nó phụ thuộc trực tiếp vào chính biến phơi nhiễm: người chờ lâu nhất là người dễ rời viện trước khi vào buồng khám nhất, và cũng là người nhiều khả năng kém hài lòng nhất, nên họ bị loại khỏi mẫu bằng đúng cơ chế mà nghiên cứu muốn đo. Không thể lấy ý kiến của nhóm này, nhưng có thể định lượng quy mô và hướng của sai lệch bằng dữ liệu vận hành sẵn có: số lượt bỏ dở, tỷ lệ trên tổng lượt lấy số, và thời gian chờ trung vị của nhóm bỏ dở so với nhóm ở lại. Ba con số này do bên thứ ba trích xuất ở dạng tổng hợp, không định danh, và được trình bày thành một nhánh riêng trong sơ đồ luồng tham gia. Nếu nhóm bỏ dở chiếm tỷ lệ đáng kể và chờ lâu hơn rõ rệt, mối liên quan giữa thời gian chờ và mức hài lòng nhiều khả năng bị ước lượng thấp hơn thực tế, và kết quả Mục tiêu 1 là mức hài lòng của những người đã chờ được đến lượt chứ không phải của toàn bộ người đến khám.</w:t>
      </w:r>
    </w:p>
    <w:p>
      <w:pPr>
        <w:spacing w:before="0" w:after="160" w:lineRule="auto" w:line="360"/>
        <w:jc w:val="both"/>
      </w:pPr>
      <w:r>
        <w:rPr>
          <w:rFonts w:ascii="Times New Roman" w:hAnsi="Times New Roman" w:eastAsia="Times New Roman" w:cs="Times New Roman"/>
          <w:b w:val="0"/>
          <w:i w:val="0"/>
          <w:sz w:val="26"/>
        </w:rPr>
        <w:t>Nhóm nghiên cứu lập sổ ghi người từ chối, không định danh, với bốn trường quan sát được mà không cần hỏi: ngày và khung giờ, nhóm tuổi ước lượng, giới, và lý do nếu người bệnh tự nêu. Điều tra viên không truy hỏi lý do. Không có sổ này thì tỷ lệ đáp ứng theo chuẩn CROSS</w:t>
      </w:r>
      <w:r>
        <w:rPr>
          <w:rFonts w:ascii="Times New Roman" w:hAnsi="Times New Roman" w:eastAsia="Times New Roman" w:cs="Times New Roman"/>
          <w:b w:val="0"/>
          <w:i w:val="0"/>
          <w:sz w:val="26"/>
        </w:rPr>
        <w:t>[6]</w:t>
      </w:r>
      <w:r>
        <w:rPr>
          <w:rFonts w:ascii="Times New Roman" w:hAnsi="Times New Roman" w:eastAsia="Times New Roman" w:cs="Times New Roman"/>
          <w:b w:val="0"/>
          <w:i w:val="0"/>
          <w:sz w:val="26"/>
        </w:rPr>
        <w:t xml:space="preserve"> không có mẫu số, và cũng không có cách nào biết người từ chối khác người tham gia ở điểm gì.</w:t>
      </w:r>
    </w:p>
    <w:p>
      <w:pPr>
        <w:spacing w:before="280" w:after="160" w:lineRule="auto" w:line="312"/>
      </w:pPr>
      <w:r>
        <w:rPr>
          <w:rFonts w:ascii="Times New Roman" w:hAnsi="Times New Roman" w:eastAsia="Times New Roman" w:cs="Times New Roman"/>
          <w:b/>
          <w:i w:val="0"/>
          <w:sz w:val="28"/>
        </w:rPr>
        <w:t>2.8. Kế hoạch phân tích</w:t>
      </w:r>
    </w:p>
    <w:p>
      <w:pPr>
        <w:spacing w:before="0" w:after="160" w:lineRule="auto" w:line="360"/>
        <w:jc w:val="both"/>
      </w:pPr>
      <w:r>
        <w:rPr>
          <w:rFonts w:ascii="Times New Roman" w:hAnsi="Times New Roman" w:eastAsia="Times New Roman" w:cs="Times New Roman"/>
          <w:b w:val="0"/>
          <w:i w:val="0"/>
          <w:sz w:val="26"/>
        </w:rPr>
        <w:t>Kế hoạch phân tích được khóa trước khi mở dữ liệu. Mức ý nghĩa 0,05 hai đuôi; mọi ước lượng báo kèm khoảng tin cậy 95%. Nguyên tắc bắt buộc là không báo giá trị p đơn độc mà luôn kèm hiệu ứng và khoảng tin cậy.</w:t>
      </w:r>
    </w:p>
    <w:p>
      <w:pPr>
        <w:spacing w:before="0" w:after="160" w:lineRule="auto" w:line="360"/>
        <w:jc w:val="both"/>
      </w:pPr>
      <w:r>
        <w:rPr>
          <w:rFonts w:ascii="Times New Roman" w:hAnsi="Times New Roman" w:eastAsia="Times New Roman" w:cs="Times New Roman"/>
          <w:b w:val="0"/>
          <w:i w:val="0"/>
          <w:sz w:val="26"/>
        </w:rPr>
        <w:t>Với Mục tiêu 1, nghiên cứu trình bày cả trung bình kèm độ lệch chuẩn và trung vị kèm khoảng tứ phân vị của điểm hài lòng, ước lượng tỷ lệ hài lòng chung và theo từng lĩnh vực kèm khoảng tin cậy 95% theo phương pháp Wilson score, và báo phần trăm đạt điểm sàn cùng điểm trần mỗi lĩnh vực.</w:t>
      </w:r>
    </w:p>
    <w:p>
      <w:pPr>
        <w:spacing w:before="0" w:after="160" w:lineRule="auto" w:line="360"/>
        <w:jc w:val="both"/>
      </w:pPr>
      <w:r>
        <w:rPr>
          <w:rFonts w:ascii="Times New Roman" w:hAnsi="Times New Roman" w:eastAsia="Times New Roman" w:cs="Times New Roman"/>
          <w:b w:val="0"/>
          <w:i w:val="0"/>
          <w:sz w:val="26"/>
        </w:rPr>
        <w:t>Với Mục tiêu 2, danh mục biến của cả mô hình chính lẫn mô hình thăm dò được ấn định trước theo lập luận nhân quả trên sơ đồ nhân quả, không chọn bằng ngưỡng giá trị p đơn biến. Chúng tôi bỏ cách sàng lọc theo p đơn biến vì nó làm sai lệch ước lượng và khoảng tin cậy của các hệ số còn lại, đồng thời trộn lẫn hai câu hỏi khác nhau: biến này có liên quan hay không, và biến này có phải yếu tố gây nhiễu hay không, trong đó chỉ câu thứ hai mới quyết định việc đưa vào mô hình. Bảng đơn biến vẫn được báo cáo nhưng chỉ với vai trò mô tả. Phân tích chính là hồi quy logistic thứ tự đa biến trên kết cục hài lòng chung, báo tỷ số chênh chung hiệu chỉnh kèm khoảng tin cậy 95%, với sai số chuẩn vững theo chùm bàn khám; mô hình thứ tự có hệ số chặn ngẫu nhiên theo bàn khám là phân tích nhạy cảm, và hệ số tương quan nội cụm được báo cáo cho kết cục chung cùng từng lĩnh vực. Nếu số bàn khám thực tế dưới 15, mô hình hệ số chặn ngẫu nhiên trở thành phân tích chính, quy tắc này ấn định trước chứ không quyết định sau khi nhìn dữ liệu. Giả định tỷ lệ chênh không đổi được kiểm định trước khi diễn giải hệ số như một tỷ số chênh chung duy nhất; nếu vi phạm, mô hình chuyển sang dạng tỷ lệ chênh riêng phần theo từng ranh giới cắt.</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Tính phi tuyến của thời gian chờ được kiểm bằng spline khối hạn chế ba nút hoặc phân tích theo phân vị. Hồi quy tuyến tính với sai số chuẩn vững, coi kết cục là liên tục, chỉ dùng làm phân tích nhạy cảm.</w:t>
      </w:r>
    </w:p>
    <w:p>
      <w:pPr>
        <w:spacing w:before="0" w:after="160" w:lineRule="auto" w:line="360"/>
        <w:jc w:val="both"/>
      </w:pPr>
      <w:r>
        <w:rPr>
          <w:rFonts w:ascii="Times New Roman" w:hAnsi="Times New Roman" w:eastAsia="Times New Roman" w:cs="Times New Roman"/>
          <w:b w:val="0"/>
          <w:i w:val="0"/>
          <w:sz w:val="26"/>
        </w:rPr>
        <w:t>Ngưỡng nhị phân hóa "hài lòng" được ấn định trước khi thu thập số liệu ở mức từ 4 trên 5 trở lên của chính mục hài lòng chung, và không thay đổi sau khi nhìn dữ liệu; nghiên cứu không dùng ngưỡng theo trung vị mẫu. Vì phân bố kết cục nhiều khả năng lệch trần, quy tắc gộp mức cũng được khóa trước: mức nào có dưới 20 quan sát sẽ gộp với mức liền kề về phía trung tâm thang đo, theo thứ tự cố định và không bao giờ gộp xuống dưới ba mức, trong khi bảng phân bố năm mức gốc vẫn được in đầy đủ ở phần mô tả. Ước lượng có phạt chỉ áp dụng khi xảy ra tách hoàn toàn và vẫn còn đủ thông tin khoa học; kỹ thuật này xử lý được vấn đề tính toán nhưng không tạo ra thông tin không có trong dữ liệu. Dữ liệu thiếu xử lý theo kế hoạch định trước: phân tích trên bộ đầy đủ khi tỷ lệ thiếu dưới 5%, và đa trọng imputation cho biến nền cùng biến phơi nhiễm khi cao hơn. Ý kiến ở câu hỏi mở được mã hóa độc lập bởi hai người, bất đồng đưa ra hòa giải, và trích dẫn đã khử định danh.</w:t>
      </w:r>
    </w:p>
    <w:p>
      <w:pPr>
        <w:spacing w:before="280" w:after="160" w:lineRule="auto" w:line="312"/>
      </w:pPr>
      <w:r>
        <w:rPr>
          <w:rFonts w:ascii="Times New Roman" w:hAnsi="Times New Roman" w:eastAsia="Times New Roman" w:cs="Times New Roman"/>
          <w:b/>
          <w:i w:val="0"/>
          <w:sz w:val="28"/>
        </w:rPr>
        <w:t>2.9. Đạo đức nghiên cứu</w:t>
      </w:r>
    </w:p>
    <w:p>
      <w:pPr>
        <w:spacing w:before="0" w:after="160" w:lineRule="auto" w:line="360"/>
        <w:jc w:val="both"/>
      </w:pPr>
      <w:r>
        <w:rPr>
          <w:rFonts w:ascii="Times New Roman" w:hAnsi="Times New Roman" w:eastAsia="Times New Roman" w:cs="Times New Roman"/>
          <w:b w:val="0"/>
          <w:i w:val="0"/>
          <w:sz w:val="26"/>
        </w:rPr>
        <w:t>Nghiên cứu tuân thủ Tuyên ngôn Helsinki. Toàn bộ hồ sơ là bản trình Hội đồng; việc thu thập dữ liệu chỉ bắt đầu sau khi được Hội đồng Y đức Bệnh viện Quân y 175 và cấp có thẩm quyền phê duyệt.</w:t>
      </w:r>
    </w:p>
    <w:p>
      <w:pPr>
        <w:spacing w:before="0" w:after="160" w:lineRule="auto" w:line="360"/>
        <w:jc w:val="both"/>
      </w:pPr>
      <w:r>
        <w:rPr>
          <w:rFonts w:ascii="Times New Roman" w:hAnsi="Times New Roman" w:eastAsia="Times New Roman" w:cs="Times New Roman"/>
          <w:b w:val="0"/>
          <w:i w:val="0"/>
          <w:sz w:val="26"/>
        </w:rPr>
        <w:t>Người tham gia được giải thích rõ và ký phiếu đồng thuận. Phiếu đồng thuận và phiếu khảo sát là hai tài liệu giấy tách biệt hoàn toàn: phiếu đồng thuận mang tên và chữ ký, phiếu khảo sát chỉ mang mã số nghiên cứu. Nhóm nghiên cứu không lập bảng ghép hai loại mã này, và hai loại tài liệu được lưu tách biệt về mặt vật lý. Người tham gia có thể dừng trước khi nộp phiếu; sau khi phiếu đã vào hòm kín thì không thể truy ngược để rút, và điều này được nói rõ trước khi họ đồng ý.</w:t>
      </w:r>
    </w:p>
    <w:p>
      <w:pPr>
        <w:spacing w:before="0" w:after="160" w:lineRule="auto" w:line="360"/>
        <w:jc w:val="both"/>
      </w:pPr>
      <w:r>
        <w:rPr>
          <w:rFonts w:ascii="Times New Roman" w:hAnsi="Times New Roman" w:eastAsia="Times New Roman" w:cs="Times New Roman"/>
          <w:b w:val="0"/>
          <w:i w:val="0"/>
          <w:sz w:val="26"/>
        </w:rPr>
        <w:t xml:space="preserve">Nội dung phiếu khảo sát là khuyết danh thật: phiếu không thu tên, số hồ sơ, số căn cước, số thẻ bảo hiểm, số điện thoại hay địa chỉ. Riêng khâu ghép mốc thời gian chờ và mã bàn khám từ hệ thống thông tin bệnh viện là </w:t>
      </w:r>
      <w:r>
        <w:rPr>
          <w:rFonts w:ascii="Times New Roman" w:hAnsi="Times New Roman" w:eastAsia="Times New Roman" w:cs="Times New Roman"/>
          <w:b/>
          <w:i w:val="0"/>
          <w:sz w:val="26"/>
        </w:rPr>
        <w:t>giả danh có kiểm soát</w:t>
      </w:r>
      <w:r>
        <w:rPr>
          <w:rFonts w:ascii="Times New Roman" w:hAnsi="Times New Roman" w:eastAsia="Times New Roman" w:cs="Times New Roman"/>
          <w:b w:val="0"/>
          <w:i w:val="0"/>
          <w:sz w:val="26"/>
        </w:rPr>
        <w:t>, không phải khuyết danh tuyệt đối: bộ phận công nghệ thông tin của bệnh viện, ngoài nhóm nghiên cứu, giữ một bảng ghép tạm thời giữa mã nghiên cứu của phiếu và lượt khám tương ứng, chỉ bàn giao cho nhóm nghiên cứu các biến phái sinh đã khử định danh (thời gian chờ tính bằng phút, mã bàn khám giả danh, và số liệu tổng hợp về nhóm bỏ dở lượt khám), rồi hủy bảng ghép trong vòng 30 ngày có nhật ký hủy. Nhóm nghiên cứu không bao giờ giữ bảng ghép này và không nhận thông tin bệnh án. Chúng tôi dùng đúng thuật ngữ giả danh cho bước này thay vì mở rộng chữ khuyết danh cho toàn bộ quy trình.</w:t>
      </w:r>
    </w:p>
    <w:p>
      <w:pPr>
        <w:spacing w:before="0" w:after="160" w:lineRule="auto" w:line="360"/>
        <w:jc w:val="both"/>
      </w:pPr>
      <w:r>
        <w:rPr>
          <w:rFonts w:ascii="Times New Roman" w:hAnsi="Times New Roman" w:eastAsia="Times New Roman" w:cs="Times New Roman"/>
          <w:b w:val="0"/>
          <w:i w:val="0"/>
          <w:sz w:val="26"/>
        </w:rPr>
        <w:t>Chủ nhiệm đề tài công tác tại chính khoa được đánh giá. Đây là xung đột lợi ích cơ cấu, không thể loại bỏ vì hiểu biết nội bộ về quy trình khoa là điều kiện để thiết kế được nghiên cứu, nên chỉ có thể quản lý công khai. Bảy biện pháp được khóa trước khi thu thập: điều tra viên mời và phát thu phiếu không thuộc khoa; hòm phiếu do hai người mở có biên bản, gồm một điều tra viên ngoài khoa và một đại diện phòng chức năng; nhập liệu do người ngoài khoa thực hiện; ý kiến ở câu hỏi mở do hai người ngoài khoa mã hóa độc lập với người thứ ba ngoài khoa phân xử bất đồng, và chủ nhiệm không tham gia mã hóa; phân tích do nhà thống kê chạy theo kế hoạch đã khóa; hội đồng chuyên gia có không quá hai thành viên thuộc khoa; và báo cáo bắt buộc trình bày cả kết quả bất lợi. Nghiên cứu không nhận tài trợ bên ngoài và không có xung đột lợi ích tài chính. Điều còn lại mà các biện pháp trên không khắc phục được là thiên lệch diễn giải, vì chủ nhiệm vẫn là người viết bàn luận; cách kiểm soát duy nhất còn lại là tính tiền định của kế hoạch đã khóa.</w:t>
      </w:r>
    </w:p>
    <w:p>
      <w:pPr>
        <w:spacing w:before="0" w:after="160" w:lineRule="auto" w:line="360"/>
        <w:jc w:val="both"/>
      </w:pPr>
      <w:r>
        <w:rPr>
          <w:rFonts w:ascii="Times New Roman" w:hAnsi="Times New Roman" w:eastAsia="Times New Roman" w:cs="Times New Roman"/>
          <w:b w:val="0"/>
          <w:i w:val="0"/>
          <w:sz w:val="26"/>
        </w:rPr>
        <w:t>Đây là nghiên cứu quan sát thuần túy, không phân bổ can thiệp, nên không thuộc diện đăng ký thử nghiệm lâm sàng bắt buộc. Dù vậy, nghiên cứu vẫn đăng ký công khai trước khi tuyển người tham gia đầu tiên, theo yêu cầu đăng ký của Tuyên ngôn Helsinki áp dụng cho mọi nghiên cứu y học có người tham gia.</w:t>
      </w:r>
    </w:p>
    <w:p>
      <w:r>
        <w:br w:type="page"/>
      </w:r>
    </w:p>
    <w:p>
      <w:pPr>
        <w:spacing w:before="0" w:after="320" w:lineRule="auto" w:line="312"/>
        <w:jc w:val="center"/>
      </w:pPr>
      <w:r>
        <w:rPr>
          <w:rFonts w:ascii="Times New Roman" w:hAnsi="Times New Roman" w:eastAsia="Times New Roman" w:cs="Times New Roman"/>
          <w:b/>
          <w:i w:val="0"/>
          <w:sz w:val="32"/>
        </w:rPr>
        <w:t>3. KẾT QUẢ DỰ KIẾN</w:t>
      </w:r>
    </w:p>
    <w:p>
      <w:pPr>
        <w:spacing w:before="0" w:after="160" w:lineRule="auto" w:line="360"/>
        <w:jc w:val="both"/>
      </w:pPr>
      <w:r>
        <w:rPr>
          <w:rFonts w:ascii="Times New Roman" w:hAnsi="Times New Roman" w:eastAsia="Times New Roman" w:cs="Times New Roman"/>
          <w:b w:val="0"/>
          <w:i w:val="0"/>
          <w:sz w:val="26"/>
        </w:rPr>
        <w:t xml:space="preserve">Bài viết này là giao thức, do đó </w:t>
      </w:r>
      <w:r>
        <w:rPr>
          <w:rFonts w:ascii="Times New Roman" w:hAnsi="Times New Roman" w:eastAsia="Times New Roman" w:cs="Times New Roman"/>
          <w:b/>
          <w:i w:val="0"/>
          <w:sz w:val="26"/>
        </w:rPr>
        <w:t>không trình bày bất kỳ kết quả nào</w:t>
      </w:r>
      <w:r>
        <w:rPr>
          <w:rFonts w:ascii="Times New Roman" w:hAnsi="Times New Roman" w:eastAsia="Times New Roman" w:cs="Times New Roman"/>
          <w:b w:val="0"/>
          <w:i w:val="0"/>
          <w:sz w:val="26"/>
        </w:rPr>
        <w:t>. Nghiên cứu chưa thu thập số liệu.</w:t>
      </w:r>
    </w:p>
    <w:p>
      <w:pPr>
        <w:spacing w:before="0" w:after="160" w:lineRule="auto" w:line="360"/>
        <w:jc w:val="both"/>
      </w:pPr>
      <w:r>
        <w:rPr>
          <w:rFonts w:ascii="Times New Roman" w:hAnsi="Times New Roman" w:eastAsia="Times New Roman" w:cs="Times New Roman"/>
          <w:b w:val="0"/>
          <w:i w:val="0"/>
          <w:sz w:val="26"/>
        </w:rPr>
        <w:t>Khi hoàn tất, kết quả sẽ được trình bày theo bộ bảng đã định trước: đặc điểm nền của mẫu; mức độ hài lòng theo lĩnh vực và chung; phân tích đơn biến các yếu tố liên quan; mô hình đa biến chính; tỷ lệ đáp ứng và dữ liệu thiếu theo yêu cầu của chuẩn CROSS; và các phân tích nhạy cảm. Sơ đồ luồng tham gia được trình bày theo chuẩn STROBE.</w:t>
      </w:r>
    </w:p>
    <w:p>
      <w:pPr>
        <w:spacing w:before="0" w:after="160" w:lineRule="auto" w:line="360"/>
        <w:jc w:val="both"/>
      </w:pPr>
      <w:r>
        <w:rPr>
          <w:rFonts w:ascii="Times New Roman" w:hAnsi="Times New Roman" w:eastAsia="Times New Roman" w:cs="Times New Roman"/>
          <w:b w:val="0"/>
          <w:i w:val="0"/>
          <w:sz w:val="26"/>
        </w:rPr>
        <w:t>Khung bảng đã được xây dựng sẵn ở dạng bảng trống, chỉ chứa ký hiệu chỗ trống chờ điền, không có số giả định nào.</w:t>
      </w:r>
    </w:p>
    <w:p>
      <w:r>
        <w:br w:type="page"/>
      </w:r>
    </w:p>
    <w:p>
      <w:pPr>
        <w:spacing w:before="0" w:after="320" w:lineRule="auto" w:line="312"/>
        <w:jc w:val="center"/>
      </w:pPr>
      <w:r>
        <w:rPr>
          <w:rFonts w:ascii="Times New Roman" w:hAnsi="Times New Roman" w:eastAsia="Times New Roman" w:cs="Times New Roman"/>
          <w:b/>
          <w:i w:val="0"/>
          <w:sz w:val="32"/>
        </w:rPr>
        <w:t>4. BÀN LUẬN</w:t>
      </w:r>
    </w:p>
    <w:p>
      <w:pPr>
        <w:spacing w:before="280" w:after="160" w:lineRule="auto" w:line="312"/>
      </w:pPr>
      <w:r>
        <w:rPr>
          <w:rFonts w:ascii="Times New Roman" w:hAnsi="Times New Roman" w:eastAsia="Times New Roman" w:cs="Times New Roman"/>
          <w:b/>
          <w:i w:val="0"/>
          <w:sz w:val="28"/>
        </w:rPr>
        <w:t>4.1. Ý nghĩa dự kiến</w:t>
      </w:r>
    </w:p>
    <w:p>
      <w:pPr>
        <w:spacing w:before="0" w:after="160" w:lineRule="auto" w:line="360"/>
        <w:jc w:val="both"/>
      </w:pPr>
      <w:r>
        <w:rPr>
          <w:rFonts w:ascii="Times New Roman" w:hAnsi="Times New Roman" w:eastAsia="Times New Roman" w:cs="Times New Roman"/>
          <w:b w:val="0"/>
          <w:i w:val="0"/>
          <w:sz w:val="26"/>
        </w:rPr>
        <w:t>Nghiên cứu cung cấp dữ liệu nền tại chỗ cho một bối cảnh còn thiếu bằng chứng. Kết quả dự kiến phục vụ trực tiếp việc cải tiến chất lượng của Khoa C1a và Trung tâm C1: xác định lĩnh vực có điểm thấp nhất, lượng hóa mối liên quan giữa thời gian chờ và mức hài lòng, và nhận diện nhóm người bệnh có nguy cơ hài lòng thấp.</w:t>
      </w:r>
    </w:p>
    <w:p>
      <w:pPr>
        <w:spacing w:before="0" w:after="160" w:lineRule="auto" w:line="360"/>
        <w:jc w:val="both"/>
      </w:pPr>
      <w:r>
        <w:rPr>
          <w:rFonts w:ascii="Times New Roman" w:hAnsi="Times New Roman" w:eastAsia="Times New Roman" w:cs="Times New Roman"/>
          <w:b w:val="0"/>
          <w:i w:val="0"/>
          <w:sz w:val="26"/>
        </w:rPr>
        <w:t>Tính mới của đề tài nằm ở việc mở rộng vào một bối cảnh mới chứ không phải mới về chủ đề hay phương pháp. Chúng tôi chủ trương phát biểu đúng mức, không phóng đại thành "lần đầu nghiên cứu hài lòng khối dịch vụ", và mô tả đóng góp là một nhân rộng có kiểm chứng thay vì lấp một khoảng trống tuyệt đối.</w:t>
      </w:r>
    </w:p>
    <w:p>
      <w:pPr>
        <w:spacing w:before="0" w:after="160" w:lineRule="auto" w:line="360"/>
        <w:jc w:val="both"/>
      </w:pPr>
      <w:r>
        <w:rPr>
          <w:rFonts w:ascii="Times New Roman" w:hAnsi="Times New Roman" w:eastAsia="Times New Roman" w:cs="Times New Roman"/>
          <w:b w:val="0"/>
          <w:i w:val="0"/>
          <w:sz w:val="26"/>
        </w:rPr>
        <w:t>Ba đóng góp cụ thể không phụ thuộc vào việc có hay không một nghiên cứu tương tự ở nơi khác. Thứ nhất, dữ liệu nền tại chính khoa để đối chiếu với các kỳ khảo sát sau. Thứ hai, ước lượng hệ số tương quan nội cụm của mức hài lòng theo bàn khám trong bối cảnh Việt Nam, số liệu cần cho việc tính cỡ mẫu của mọi nghiên cứu hài lòng về sau mà hiện chưa có. Thứ ba, kiểm định thực nghiệm cấu trúc sáu lĩnh vực bằng chia đôi mẫu, thay vì báo cáo điểm theo lĩnh vực mà không bao giờ kiểm rằng các lĩnh vực đó có thật trong dữ liệu. Bên cạnh đó, bộ công cụ được phát triển riêng cho khối khám theo yêu cầu, với lĩnh vực chi phí dịch vụ và nhóm mục về kỳ vọng cùng đặc thù dịch vụ mà khung chung không có, là một đóng góp về công cụ có thể dùng lại ở các cơ sở tương tự.</w:t>
      </w:r>
    </w:p>
    <w:p>
      <w:pPr>
        <w:spacing w:before="280" w:after="160" w:lineRule="auto" w:line="312"/>
      </w:pPr>
      <w:r>
        <w:rPr>
          <w:rFonts w:ascii="Times New Roman" w:hAnsi="Times New Roman" w:eastAsia="Times New Roman" w:cs="Times New Roman"/>
          <w:b/>
          <w:i w:val="0"/>
          <w:sz w:val="28"/>
        </w:rPr>
        <w:t>4.2. Điểm mạnh</w:t>
      </w:r>
    </w:p>
    <w:p>
      <w:pPr>
        <w:spacing w:before="0" w:after="160" w:lineRule="auto" w:line="360"/>
        <w:jc w:val="both"/>
      </w:pPr>
      <w:r>
        <w:rPr>
          <w:rFonts w:ascii="Times New Roman" w:hAnsi="Times New Roman" w:eastAsia="Times New Roman" w:cs="Times New Roman"/>
          <w:b w:val="0"/>
          <w:i w:val="0"/>
          <w:sz w:val="26"/>
        </w:rPr>
        <w:t>Năm điểm mạnh đáng nêu. Thứ nhất, kết cục chính được chọn để tránh thiên lệch phần-toàn thể, một vấn đề dễ bị bỏ qua khi nghiên cứu dùng điểm trung bình các lĩnh vực làm kết cục trong khi một lĩnh vực lại chứa chính biến phơi nhiễm. Thứ hai, kế hoạch phân tích, ngưỡng nhị phân hóa và quy tắc gộp mức đều được khóa trước khi mở dữ liệu, giảm nguy cơ chọn lọc kết quả. Thứ ba, mô hình đồng thuận hai tài liệu tách biệt bảo vệ tính khuyết danh của phiếu khảo sát chặt hơn cách làm một phiếu tích hợp rồi tách sau. Thứ tư, cấu trúc gom cụm theo bàn khám được xử lý ngay từ khâu thu thập chứ không phát hiện muộn ở khâu phân tích, khi đã không còn sửa được. Thứ năm, xung đột lợi ích cơ cấu được khai báo và quản lý bằng các biện pháp cụ thể thay vì chỉ được nhắc đến.</w:t>
      </w:r>
    </w:p>
    <w:p>
      <w:pPr>
        <w:spacing w:before="280" w:after="160" w:lineRule="auto" w:line="312"/>
      </w:pPr>
      <w:r>
        <w:rPr>
          <w:rFonts w:ascii="Times New Roman" w:hAnsi="Times New Roman" w:eastAsia="Times New Roman" w:cs="Times New Roman"/>
          <w:b/>
          <w:i w:val="0"/>
          <w:sz w:val="28"/>
        </w:rPr>
        <w:t>4.3. Hạn chế đã biết</w:t>
      </w:r>
    </w:p>
    <w:p>
      <w:pPr>
        <w:spacing w:before="0" w:after="160" w:lineRule="auto" w:line="360"/>
        <w:jc w:val="both"/>
      </w:pPr>
      <w:r>
        <w:rPr>
          <w:rFonts w:ascii="Times New Roman" w:hAnsi="Times New Roman" w:eastAsia="Times New Roman" w:cs="Times New Roman"/>
          <w:b w:val="0"/>
          <w:i w:val="0"/>
          <w:sz w:val="26"/>
        </w:rPr>
        <w:t>Thiết kế cắt ngang không cho phép suy diễn nhân quả và không xác lập trình tự thời gian. Thiên kiến người còn lui tới có thể khiến nghiên cứu ước lượng vượt mức hài lòng thật, vì chỉ tiếp cận được người đang đến khám; nhóm bỏ dở lượt khám được định lượng từ dữ liệu vận hành nhưng không thể lấy ý kiến, nên hướng và quy mô sai lệch chỉ ước lượng được chứ không hiệu chỉnh được. Hiệu ứng trần điểm do thiên kiến chiều lòng có thể làm phân bố kết cục lệch mạnh về phía điểm cao, ảnh hưởng đến khả năng phát hiện mối liên quan.</w:t>
      </w:r>
    </w:p>
    <w:p>
      <w:pPr>
        <w:spacing w:before="0" w:after="160" w:lineRule="auto" w:line="360"/>
        <w:jc w:val="both"/>
      </w:pPr>
      <w:r>
        <w:rPr>
          <w:rFonts w:ascii="Times New Roman" w:hAnsi="Times New Roman" w:eastAsia="Times New Roman" w:cs="Times New Roman"/>
          <w:b w:val="0"/>
          <w:i w:val="0"/>
          <w:sz w:val="26"/>
        </w:rPr>
        <w:t>Độ chính xác thật của Mục tiêu 1 phụ thuộc mức độ gom cụm theo bàn khám, hiện chưa biết; ước lượng có thể rộng hơn đáng kể so với con số tính theo giả định quan sát độc lập. Bộ công cụ tự xây dựng nên số liệu không đối chiếu trực tiếp được với khảo sát hài lòng thường quy của khoa hay với mốc chuẩn quốc gia; đây là đánh đổi có ý thức để đo được những khía cạnh mà khung chung không hỏi, và việc nhúng một mô-đun các mục theo khung Bộ Y tế vào phiếu là hướng cải thiện đã được cân nhắc, thuộc thẩm quyền quyết định của chủ nhiệm và Hội đồng.</w:t>
      </w:r>
    </w:p>
    <w:p>
      <w:pPr>
        <w:spacing w:before="0" w:after="160" w:lineRule="auto" w:line="360"/>
        <w:jc w:val="both"/>
      </w:pPr>
      <w:r>
        <w:rPr>
          <w:rFonts w:ascii="Times New Roman" w:hAnsi="Times New Roman" w:eastAsia="Times New Roman" w:cs="Times New Roman"/>
          <w:b w:val="0"/>
          <w:i w:val="0"/>
          <w:sz w:val="26"/>
        </w:rPr>
        <w:t>Hai nguồn được trích ở phần Đặt vấn đề có bối cảnh khác với nghiên cứu này và cần đọc kèm giới hạn đó: nghiên cứu về nhà thuốc bảo hiểm y tế ngoại trú thực hiện trong bối cảnh đại dịch COVID-19,</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và nghiên cứu về phòng khám ngoại trú HIV có quần thể cùng mô hình chăm sóc rất khác khối khám theo yêu cầu.</w:t>
      </w:r>
      <w:r>
        <w:rPr>
          <w:rFonts w:ascii="Times New Roman" w:hAnsi="Times New Roman" w:eastAsia="Times New Roman" w:cs="Times New Roman"/>
          <w:b w:val="0"/>
          <w:i w:val="0"/>
          <w:sz w:val="26"/>
        </w:rPr>
        <w:t>[5]</w:t>
      </w:r>
      <w:r>
        <w:rPr>
          <w:rFonts w:ascii="Times New Roman" w:hAnsi="Times New Roman" w:eastAsia="Times New Roman" w:cs="Times New Roman"/>
          <w:b w:val="0"/>
          <w:i w:val="0"/>
          <w:sz w:val="26"/>
        </w:rPr>
        <w:t xml:space="preserve"> Chúng tôi trích hai nguồn này để minh họa mẫu hình lặp lại về thời gian chờ và thủ tục hành chính, không để suy ra mức hài lòng kỳ vọng tại địa điểm nghiên cứu.</w:t>
      </w:r>
    </w:p>
    <w:p>
      <w:pPr>
        <w:spacing w:before="0" w:after="160" w:lineRule="auto" w:line="360"/>
        <w:jc w:val="both"/>
      </w:pPr>
      <w:r>
        <w:rPr>
          <w:rFonts w:ascii="Times New Roman" w:hAnsi="Times New Roman" w:eastAsia="Times New Roman" w:cs="Times New Roman"/>
          <w:b w:val="0"/>
          <w:i w:val="0"/>
          <w:sz w:val="26"/>
        </w:rPr>
        <w:t>Nghiên cứu thực hiện tại một khoa duy nhất, nên kết quả không đại diện cho toàn bộ khối khám theo yêu cầu trong nước. So sánh trực tiếp giữa mô hình khám theo yêu cầu và mô hình khám thông thường nằm ngoài thiết kế này.</w:t>
      </w:r>
    </w:p>
    <w:p>
      <w:r>
        <w:br w:type="page"/>
      </w:r>
    </w:p>
    <w:p>
      <w:pPr>
        <w:spacing w:before="0" w:after="320" w:lineRule="auto" w:line="312"/>
        <w:jc w:val="center"/>
      </w:pPr>
      <w:r>
        <w:rPr>
          <w:rFonts w:ascii="Times New Roman" w:hAnsi="Times New Roman" w:eastAsia="Times New Roman" w:cs="Times New Roman"/>
          <w:b/>
          <w:i w:val="0"/>
          <w:sz w:val="32"/>
        </w:rPr>
        <w:t>5. KẾT LUẬN</w:t>
      </w:r>
    </w:p>
    <w:p>
      <w:pPr>
        <w:spacing w:before="0" w:after="160" w:lineRule="auto" w:line="360"/>
        <w:jc w:val="both"/>
      </w:pPr>
      <w:r>
        <w:rPr>
          <w:rFonts w:ascii="Times New Roman" w:hAnsi="Times New Roman" w:eastAsia="Times New Roman" w:cs="Times New Roman"/>
          <w:b w:val="0"/>
          <w:i w:val="0"/>
          <w:sz w:val="26"/>
        </w:rPr>
        <w:t>Giao thức trình bày một nghiên cứu cắt ngang có phân tích nhằm đo mức độ hài lòng của người bệnh và xác định các yếu tố liên quan tại một khoa khám theo yêu cầu của bệnh viện quân y tuyến cuối. Thiết kế đặt trọng tâm vào ba điểm: chọn kết cục chính tránh vòng tròn logic với biến phơi nhiễm, phát triển công cụ đầy đủ trước khi dùng cho mẫu chính, và khóa kế hoạch phân tích trước khi mở dữ liệu. Kết quả dự kiến sẽ cung cấp dữ liệu nền phục vụ cải tiến chất lượng tại chỗ.</w:t>
      </w:r>
    </w:p>
    <w:p>
      <w:r>
        <w:br w:type="page"/>
      </w:r>
    </w:p>
    <w:p>
      <w:pPr>
        <w:spacing w:before="0" w:after="320" w:lineRule="auto" w:line="312"/>
        <w:jc w:val="center"/>
      </w:pPr>
      <w:r>
        <w:rPr>
          <w:rFonts w:ascii="Times New Roman" w:hAnsi="Times New Roman" w:eastAsia="Times New Roman" w:cs="Times New Roman"/>
          <w:b/>
          <w:i w:val="0"/>
          <w:sz w:val="32"/>
        </w:rPr>
        <w:t>TUYÊN BỐ</w:t>
      </w:r>
    </w:p>
    <w:p>
      <w:pPr>
        <w:spacing w:before="0" w:after="160" w:lineRule="auto" w:line="360"/>
        <w:jc w:val="both"/>
      </w:pPr>
      <w:r>
        <w:rPr>
          <w:rFonts w:ascii="Times New Roman" w:hAnsi="Times New Roman" w:eastAsia="Times New Roman" w:cs="Times New Roman"/>
          <w:b/>
          <w:i w:val="0"/>
          <w:sz w:val="26"/>
        </w:rPr>
        <w:t>Xung đột lợi ích:</w:t>
      </w:r>
      <w:r>
        <w:rPr>
          <w:rFonts w:ascii="Times New Roman" w:hAnsi="Times New Roman" w:eastAsia="Times New Roman" w:cs="Times New Roman"/>
          <w:b w:val="0"/>
          <w:i w:val="0"/>
          <w:sz w:val="26"/>
        </w:rPr>
        <w:t xml:space="preserve"> Các tác giả không có xung đột lợi ích tài chính. Chủ nhiệm đề tài công tác tại chính khoa được đánh giá, đây là xung đột lợi ích cơ cấu; các biện pháp quản lý được mô tả ở mục 2.9 và khóa trong đề cương trước khi thu thập số liệu. </w:t>
      </w:r>
      <w:r>
        <w:rPr>
          <w:rFonts w:ascii="Times New Roman" w:hAnsi="Times New Roman" w:eastAsia="Times New Roman" w:cs="Times New Roman"/>
          <w:b/>
          <w:i/>
          <w:color w:val="CC7700"/>
          <w:sz w:val="26"/>
        </w:rPr>
        <w:t>[CẦN CHỦ NHIỆM XÁC NHẬN nội dung này và bổ sung khai báo của các đồng tác giả trước khi nộp.]</w:t>
      </w:r>
    </w:p>
    <w:p>
      <w:pPr>
        <w:spacing w:before="0" w:after="160" w:lineRule="auto" w:line="360"/>
        <w:jc w:val="both"/>
      </w:pPr>
      <w:r>
        <w:rPr>
          <w:rFonts w:ascii="Times New Roman" w:hAnsi="Times New Roman" w:eastAsia="Times New Roman" w:cs="Times New Roman"/>
          <w:b/>
          <w:i w:val="0"/>
          <w:sz w:val="26"/>
        </w:rPr>
        <w:t>Nguồn kinh phí:</w:t>
      </w:r>
      <w:r>
        <w:rPr>
          <w:rFonts w:ascii="Times New Roman" w:hAnsi="Times New Roman" w:eastAsia="Times New Roman" w:cs="Times New Roman"/>
          <w:b w:val="0"/>
          <w:i w:val="0"/>
          <w:sz w:val="26"/>
        </w:rPr>
        <w:t xml:space="preserve"> Không có tài trợ bên ngoài; kinh phí tự túc.</w:t>
      </w:r>
    </w:p>
    <w:p>
      <w:pPr>
        <w:spacing w:before="0" w:after="160" w:lineRule="auto" w:line="360"/>
        <w:jc w:val="both"/>
      </w:pPr>
      <w:r>
        <w:rPr>
          <w:rFonts w:ascii="Times New Roman" w:hAnsi="Times New Roman" w:eastAsia="Times New Roman" w:cs="Times New Roman"/>
          <w:b/>
          <w:i w:val="0"/>
          <w:sz w:val="26"/>
        </w:rPr>
        <w:t>Phê duyệt đạo đức:</w:t>
      </w:r>
      <w:r>
        <w:rPr>
          <w:rFonts w:ascii="Times New Roman" w:hAnsi="Times New Roman" w:eastAsia="Times New Roman" w:cs="Times New Roman"/>
          <w:b w:val="0"/>
          <w:i w:val="0"/>
          <w:sz w:val="26"/>
        </w:rPr>
        <w:t xml:space="preserve"> Đề cương đang chờ Hội đồng Y đức Bệnh viện Quân y 175 xem xét. Mã số phê duyệt sẽ được bổ sung khi có. Nghiên cứu chưa thu thập số liệu.</w:t>
      </w:r>
    </w:p>
    <w:p>
      <w:pPr>
        <w:spacing w:before="0" w:after="160" w:lineRule="auto" w:line="360"/>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Sẽ hoàn tất trước khi tuyển người tham gia đầu tiên. </w:t>
      </w:r>
      <w:r>
        <w:rPr>
          <w:rFonts w:ascii="Times New Roman" w:hAnsi="Times New Roman" w:eastAsia="Times New Roman" w:cs="Times New Roman"/>
          <w:b/>
          <w:i/>
          <w:color w:val="CC7700"/>
          <w:sz w:val="26"/>
        </w:rPr>
        <w:t>[CẦN BỔ SUNG mã đăng ký.]</w:t>
      </w:r>
    </w:p>
    <w:p>
      <w:pPr>
        <w:spacing w:before="0" w:after="160" w:lineRule="auto" w:line="360"/>
        <w:jc w:val="both"/>
      </w:pPr>
      <w:r>
        <w:rPr>
          <w:rFonts w:ascii="Times New Roman" w:hAnsi="Times New Roman" w:eastAsia="Times New Roman" w:cs="Times New Roman"/>
          <w:b/>
          <w:i w:val="0"/>
          <w:sz w:val="26"/>
        </w:rPr>
        <w:t>Chia sẻ dữ liệu:</w:t>
      </w:r>
      <w:r>
        <w:rPr>
          <w:rFonts w:ascii="Times New Roman" w:hAnsi="Times New Roman" w:eastAsia="Times New Roman" w:cs="Times New Roman"/>
          <w:b w:val="0"/>
          <w:i w:val="0"/>
          <w:sz w:val="26"/>
        </w:rPr>
        <w:t xml:space="preserve"> Bộ dữ liệu đã khử định danh và mã phân tích sẽ được cung cấp theo yêu cầu hợp lý sau khi công bố kết quả chính, với điều kiện tuân thủ quy định bảo vệ dữ liệu cá nhân hiện hành.</w:t>
      </w:r>
    </w:p>
    <w:p>
      <w:pPr>
        <w:spacing w:before="0" w:after="160" w:lineRule="auto" w:line="360"/>
        <w:jc w:val="both"/>
      </w:pPr>
      <w:r>
        <w:rPr>
          <w:rFonts w:ascii="Times New Roman" w:hAnsi="Times New Roman" w:eastAsia="Times New Roman" w:cs="Times New Roman"/>
          <w:b/>
          <w:i w:val="0"/>
          <w:sz w:val="26"/>
        </w:rPr>
        <w:t>Khai báo sử dụng trí tuệ nhân tạo:</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CHỦ NHIỆM XÁC NHẬN VÀ ĐIỀU CHỈNH THEO THỰC TẾ.]</w:t>
      </w:r>
      <w:r>
        <w:rPr>
          <w:rFonts w:ascii="Times New Roman" w:hAnsi="Times New Roman" w:eastAsia="Times New Roman" w:cs="Times New Roman"/>
          <w:b w:val="0"/>
          <w:i w:val="0"/>
          <w:sz w:val="26"/>
        </w:rPr>
        <w:t xml:space="preserve"> Công cụ hỗ trợ bằng trí tuệ nhân tạo được sử dụng trong quá trình soạn thảo và rà soát hình thức của bản thảo cùng đề cương gốc, gồm việc tra cứu và đối chiếu tài liệu tham khảo với cơ sở dữ liệu PubMed, kiểm tra tính nhất quán nội tại của các con số, và biên tập câu chữ. Công cụ trí tuệ nhân tạo không được dùng để tạo ra số liệu, kết quả hay tài liệu tham khảo. Tác giả chịu trách nhiệm hoàn toàn về nội dung và đã kiểm chứng mọi trích dẫn.</w:t>
      </w:r>
    </w:p>
    <w:p>
      <w:r>
        <w:br w:type="page"/>
      </w:r>
    </w:p>
    <w:p>
      <w:pPr>
        <w:spacing w:before="0" w:after="320" w:lineRule="auto" w:line="312"/>
        <w:jc w:val="center"/>
      </w:pPr>
      <w:r>
        <w:rPr>
          <w:rFonts w:ascii="Times New Roman" w:hAnsi="Times New Roman" w:eastAsia="Times New Roman" w:cs="Times New Roman"/>
          <w:b/>
          <w:i w:val="0"/>
          <w:sz w:val="32"/>
        </w:rPr>
        <w:t>TÀI LIỆU THAM KHẢO</w:t>
      </w:r>
    </w:p>
    <w:p>
      <w:pPr>
        <w:spacing w:before="0" w:after="160" w:lineRule="auto" w:line="360"/>
        <w:jc w:val="both"/>
      </w:pPr>
      <w:r>
        <w:rPr>
          <w:rFonts w:ascii="Times New Roman" w:hAnsi="Times New Roman" w:eastAsia="Times New Roman" w:cs="Times New Roman"/>
          <w:b w:val="0"/>
          <w:i/>
          <w:sz w:val="26"/>
        </w:rPr>
        <w:t>Định dạng Vancouver. Các tài liệu có PMID đã được đối chiếu với PubMed trước khi đưa vào danh mục.</w:t>
      </w:r>
    </w:p>
    <w:p>
      <w:pPr>
        <w:pStyle w:val="ListNumber"/>
        <w:spacing w:before="0" w:after="120" w:lineRule="auto" w:line="360"/>
        <w:jc w:val="both"/>
      </w:pPr>
      <w:r>
        <w:rPr>
          <w:rFonts w:ascii="Times New Roman" w:hAnsi="Times New Roman" w:eastAsia="Times New Roman" w:cs="Times New Roman"/>
          <w:b w:val="0"/>
          <w:i w:val="0"/>
          <w:sz w:val="26"/>
        </w:rPr>
        <w:t>Sepehri A, Minh KN, Vu PH, Pham TM. Temporal Trends in Patient Choice of Outpatient Care Provider Among Vietnam's Insured Rural Residents, 2006-2020. Int J Health Plann Manage. 2025;40(6):1302-1316. doi:10.1002/hpm.70013. PMID: 40726017.</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et al. Improving Hospital's Quality of Service in Vietnam: The Patient Satisfaction Evaluation in Multiple Health Facilities. Hosp Top. 2021;101(2):73-83.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2022;10(10):1945. doi:10.3390/healthcare10101945. PMID: 36292392.</w:t>
      </w:r>
    </w:p>
    <w:p>
      <w:pPr>
        <w:pStyle w:val="ListNumber"/>
        <w:spacing w:before="0" w:after="120" w:lineRule="auto" w:line="360"/>
        <w:jc w:val="both"/>
      </w:pPr>
      <w:r>
        <w:rPr>
          <w:rFonts w:ascii="Times New Roman" w:hAnsi="Times New Roman" w:eastAsia="Times New Roman" w:cs="Times New Roman"/>
          <w:b w:val="0"/>
          <w:i w:val="0"/>
          <w:sz w:val="26"/>
        </w:rPr>
        <w:t>Tran BX, Dang AK, Vu GT, et al. Patient satisfaction with HIV services in Vietnam: Status, service models and association with treatment outcome. PLoS One. 2019;14(11):e0223723.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Sharma A, Minh Duc NT, Luu Lam Thang T, et al. A Consensus-Based Checklist for Reporting of Survey Studies (CROSS). J Gen Intern Med. 2021;36(10):3179-3187. doi:10.1007/s11606-021-06737-1. PMID: 33886027.</w:t>
      </w:r>
    </w:p>
    <w:p>
      <w:pPr>
        <w:pStyle w:val="ListNumber"/>
        <w:spacing w:before="0" w:after="120" w:lineRule="auto" w:line="360"/>
        <w:jc w:val="both"/>
      </w:pPr>
      <w:r>
        <w:rPr>
          <w:rFonts w:ascii="Times New Roman" w:hAnsi="Times New Roman" w:eastAsia="Times New Roman" w:cs="Times New Roman"/>
          <w:b w:val="0"/>
          <w:i w:val="0"/>
          <w:sz w:val="26"/>
        </w:rPr>
        <w:t>Lwanga SK, Lemeshow S. Sample size determination in health studies: a practical manual. Geneva: World Health Organization; 1991.</w:t>
      </w:r>
    </w:p>
    <w:p>
      <w:pPr>
        <w:pStyle w:val="ListNumber"/>
        <w:spacing w:before="0" w:after="120" w:lineRule="auto" w:line="360"/>
        <w:jc w:val="both"/>
      </w:pPr>
      <w:r>
        <w:rPr>
          <w:rFonts w:ascii="Times New Roman" w:hAnsi="Times New Roman" w:eastAsia="Times New Roman" w:cs="Times New Roman"/>
          <w:b w:val="0"/>
          <w:i w:val="0"/>
          <w:sz w:val="26"/>
        </w:rPr>
        <w:t>Whitehead J. Sample size calculations for ordered categorical data. Stat Med. 1993;12(24):2257-71. doi:10.1002/sim.4780122404. PMID: 8134732.</w:t>
      </w:r>
    </w:p>
    <w:p>
      <w:pPr>
        <w:pStyle w:val="ListNumber"/>
        <w:spacing w:before="0" w:after="120" w:lineRule="auto" w:line="360"/>
        <w:jc w:val="both"/>
      </w:pPr>
      <w:r>
        <w:rPr>
          <w:rFonts w:ascii="Times New Roman" w:hAnsi="Times New Roman" w:eastAsia="Times New Roman" w:cs="Times New Roman"/>
          <w:b w:val="0"/>
          <w:i w:val="0"/>
          <w:sz w:val="26"/>
        </w:rPr>
        <w:t>Peduzzi P, Concato J, Kemper E, et al. A simulation study of the number of events per variable in logistic regression analysis. J Clin Epidemiol. 1996;49(12):1373-9. doi:10.1016/s0895-4356(96)00236-3. PMID: 8970487.</w:t>
      </w:r>
    </w:p>
    <w:p>
      <w:pPr>
        <w:pStyle w:val="ListNumber"/>
        <w:spacing w:before="0" w:after="120" w:lineRule="auto" w:line="360"/>
        <w:jc w:val="both"/>
      </w:pPr>
      <w:r>
        <w:rPr>
          <w:rFonts w:ascii="Times New Roman" w:hAnsi="Times New Roman" w:eastAsia="Times New Roman" w:cs="Times New Roman"/>
          <w:b w:val="0"/>
          <w:i w:val="0"/>
          <w:sz w:val="26"/>
        </w:rPr>
        <w:t>van Smeden M, de Groot JAH, Moons KGM, et al. No rationale for 1 variable per 10 events criterion for binary logistic regression analysis. BMC Med Res Methodol. 2016;16(1):163. doi:10.1186/s12874-016-0267-3. PMID: 27881078.</w:t>
      </w:r>
    </w:p>
    <w:p>
      <w:pPr>
        <w:pStyle w:val="ListNumber"/>
        <w:spacing w:before="0" w:after="120" w:lineRule="auto" w:line="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2007;30(4):459-67. doi:10.1002/nur.20199. PMID: 17654487.</w:t>
      </w:r>
    </w:p>
    <w:p>
      <w:pPr>
        <w:pStyle w:val="ListNumber"/>
        <w:spacing w:before="0" w:after="120" w:lineRule="auto" w:line="360"/>
        <w:jc w:val="both"/>
      </w:pPr>
      <w:r>
        <w:rPr>
          <w:rFonts w:ascii="Times New Roman" w:hAnsi="Times New Roman" w:eastAsia="Times New Roman" w:cs="Times New Roman"/>
          <w:b w:val="0"/>
          <w:i w:val="0"/>
          <w:sz w:val="26"/>
        </w:rPr>
        <w:t>Bender R, Grouven U. Ordinal logistic regression in medical research. J R Coll Physicians Lond. 1997;31(5):546-51. PMID: 9429194.</w:t>
      </w:r>
    </w:p>
    <w:p>
      <w:pPr>
        <w:spacing w:before="0" w:after="160" w:lineRule="auto" w:line="360"/>
        <w:jc w:val="both"/>
      </w:pPr>
      <w:r>
        <w:rPr>
          <w:rFonts w:ascii="Times New Roman" w:hAnsi="Times New Roman" w:eastAsia="Times New Roman" w:cs="Times New Roman"/>
          <w:b/>
          <w:i w:val="0"/>
          <w:sz w:val="26"/>
        </w:rPr>
        <w:t>Văn bản pháp quy Việt Nam</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(không có PMID/DOI; chủ nhiệm đối chiếu bản còn hiệu lực trước khi nộp)</w:t>
      </w:r>
    </w:p>
    <w:p>
      <w:pPr>
        <w:pStyle w:val="ListBullet"/>
        <w:spacing w:before="0" w:after="80" w:lineRule="auto" w:line="360"/>
        <w:jc w:val="both"/>
      </w:pP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 xml:space="preserve"> Bộ Y tế. Quyết định 56/QĐ-BYT ngày 08/01/2024 "Hướng dẫn phương pháp đo lường sự hài lòng của người dân đối với dịch vụ y tế công giai đoạn 2024–2030" (ban hành Mẫu số 2, phiếu khảo sát ngoại trú).</w:t>
      </w:r>
    </w:p>
    <w:p>
      <w:pPr>
        <w:pStyle w:val="ListBullet"/>
        <w:spacing w:before="0" w:after="80" w:lineRule="auto" w:line="360"/>
        <w:jc w:val="both"/>
      </w:pPr>
      <w:r>
        <w:rPr>
          <w:rFonts w:ascii="Times New Roman" w:hAnsi="Times New Roman" w:eastAsia="Times New Roman" w:cs="Times New Roman"/>
          <w:b w:val="0"/>
          <w:i w:val="0"/>
          <w:sz w:val="26"/>
        </w:rPr>
        <w:t>[V2]</w:t>
      </w:r>
      <w:r>
        <w:rPr>
          <w:rFonts w:ascii="Times New Roman" w:hAnsi="Times New Roman" w:eastAsia="Times New Roman" w:cs="Times New Roman"/>
          <w:b w:val="0"/>
          <w:i w:val="0"/>
          <w:sz w:val="26"/>
        </w:rPr>
        <w:t xml:space="preserve"> Bộ Y tế. Quyết định 3869/QĐ-BYT ngày 28/8/2019 (văn bản tiền thân, đã hết hiệu lực đối với phiếu ngoại trú; nêu để đối chiếu lịch sử, không dùng làm công cụ).</w:t>
      </w:r>
    </w:p>
    <w:p>
      <w:pPr>
        <w:spacing w:before="0" w:after="160" w:lineRule="auto" w:line="360"/>
        <w:jc w:val="both"/>
      </w:pPr>
      <w:r>
        <w:rPr>
          <w:rFonts w:ascii="Times New Roman" w:hAnsi="Times New Roman" w:eastAsia="Times New Roman" w:cs="Times New Roman"/>
          <w:b w:val="0"/>
          <w:i/>
          <w:sz w:val="26"/>
        </w:rPr>
        <w:t>Cần bác sĩ kiểm chứng. Bản thảo giao thức này chưa nộp và chưa được phê duyệt; mọi mục đánh dấu [CẦN...] phải được điền trước khi nộp.</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