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PROJECT CHARTER (A1b) — hai-long-benh-nhan-C1a-BVQY175</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Sinh tự động 2026-10-28 15:08; không thay xác nhận của PI/methodologist.</w:t>
      </w:r>
    </w:p>
    <w:p>
      <w:pPr>
        <w:spacing w:before="280" w:after="160" w:lineRule="auto" w:line="312"/>
      </w:pPr>
      <w:r>
        <w:rPr>
          <w:rFonts w:ascii="Times New Roman" w:hAnsi="Times New Roman" w:eastAsia="Times New Roman" w:cs="Times New Roman"/>
          <w:b/>
          <w:i w:val="0"/>
          <w:sz w:val="28"/>
        </w:rPr>
        <w:t>Phạm vi</w:t>
      </w:r>
    </w:p>
    <w:p>
      <w:pPr>
        <w:pStyle w:val="ListBullet"/>
        <w:spacing w:before="0" w:after="80" w:lineRule="auto" w:line="360"/>
        <w:jc w:val="both"/>
      </w:pPr>
      <w:r>
        <w:rPr>
          <w:rFonts w:ascii="Times New Roman" w:hAnsi="Times New Roman" w:eastAsia="Times New Roman" w:cs="Times New Roman"/>
          <w:b w:val="0"/>
          <w:i w:val="0"/>
          <w:sz w:val="26"/>
        </w:rPr>
        <w:t>Tên/chủ đề: Sự hài lòng của bệnh nhân trong hoạt động khám chữa bệnh tại Khoa Khám bệnh theo yêu cầu, bệnh viện quân y tuyến cuối</w:t>
      </w:r>
    </w:p>
    <w:p>
      <w:pPr>
        <w:pStyle w:val="ListBullet"/>
        <w:spacing w:before="0" w:after="80" w:lineRule="auto" w:line="360"/>
        <w:jc w:val="both"/>
      </w:pPr>
      <w:r>
        <w:rPr>
          <w:rFonts w:ascii="Times New Roman" w:hAnsi="Times New Roman" w:eastAsia="Times New Roman" w:cs="Times New Roman"/>
          <w:b w:val="0"/>
          <w:i w:val="0"/>
          <w:sz w:val="26"/>
        </w:rPr>
        <w:t>Thiết kế dự kiến: Nghiên cứu Cắt ngang Mô tả (Cross-sectional / Prevalence)</w:t>
      </w:r>
    </w:p>
    <w:p>
      <w:pPr>
        <w:pStyle w:val="ListBullet"/>
        <w:spacing w:before="0" w:after="80" w:lineRule="auto" w:line="360"/>
        <w:jc w:val="both"/>
      </w:pPr>
      <w:r>
        <w:rPr>
          <w:rFonts w:ascii="Times New Roman" w:hAnsi="Times New Roman" w:eastAsia="Times New Roman" w:cs="Times New Roman"/>
          <w:b w:val="0"/>
          <w:i w:val="0"/>
          <w:sz w:val="26"/>
        </w:rPr>
        <w:t>Quần thể: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pStyle w:val="ListBullet"/>
        <w:spacing w:before="0" w:after="80" w:lineRule="auto" w:line="360"/>
        <w:jc w:val="both"/>
      </w:pPr>
      <w:r>
        <w:rPr>
          <w:rFonts w:ascii="Times New Roman" w:hAnsi="Times New Roman" w:eastAsia="Times New Roman" w:cs="Times New Roman"/>
          <w:b w:val="0"/>
          <w:i w:val="0"/>
          <w:sz w:val="26"/>
        </w:rPr>
        <w:t>Bối cảnh: Khoa Khám bệnh C1a, Trung tâm Khám bệnh và Điều trị theo yêu cầu C1, Bệnh viện Quân y 175, Thành phố Hồ Chí Minh — khối khám ngoại trú theo yêu cầu (dịch vụ) tại bệnh viện quân y tuyến cuối</w:t>
      </w:r>
    </w:p>
    <w:p>
      <w:pPr>
        <w:pStyle w:val="ListBullet"/>
        <w:spacing w:before="0" w:after="80" w:lineRule="auto" w:line="360"/>
        <w:jc w:val="both"/>
      </w:pPr>
      <w:r>
        <w:rPr>
          <w:rFonts w:ascii="Times New Roman" w:hAnsi="Times New Roman" w:eastAsia="Times New Roman" w:cs="Times New Roman"/>
          <w:b w:val="0"/>
          <w:i w:val="0"/>
          <w:sz w:val="26"/>
        </w:rPr>
        <w:t>Thời gian nghiên cứu: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p>
      <w:pPr>
        <w:pStyle w:val="ListBullet"/>
        <w:spacing w:before="0" w:after="80" w:lineRule="auto" w:line="360"/>
        <w:jc w:val="both"/>
      </w:pPr>
      <w:r>
        <w:rPr>
          <w:rFonts w:ascii="Times New Roman" w:hAnsi="Times New Roman" w:eastAsia="Times New Roman" w:cs="Times New Roman"/>
          <w:b w:val="0"/>
          <w:i w:val="0"/>
          <w:sz w:val="26"/>
        </w:rPr>
        <w:t xml:space="preserve">Ngoài phạm vi: </w:t>
      </w:r>
      <w:r>
        <w:rPr>
          <w:rFonts w:ascii="Times New Roman" w:hAnsi="Times New Roman" w:eastAsia="Times New Roman" w:cs="Times New Roman"/>
          <w:b/>
          <w:i/>
          <w:color w:val="CC7700"/>
          <w:sz w:val="26"/>
        </w:rPr>
        <w:t>[CẦN BỔ SUNG]</w:t>
      </w:r>
    </w:p>
    <w:p>
      <w:pPr>
        <w:spacing w:before="280" w:after="160" w:lineRule="auto" w:line="312"/>
      </w:pPr>
      <w:r>
        <w:rPr>
          <w:rFonts w:ascii="Times New Roman" w:hAnsi="Times New Roman" w:eastAsia="Times New Roman" w:cs="Times New Roman"/>
          <w:b/>
          <w:i w:val="0"/>
          <w:sz w:val="28"/>
        </w:rPr>
        <w:t>Mục tiêu SMART</w:t>
      </w:r>
    </w:p>
    <w:p>
      <w:pPr>
        <w:pStyle w:val="ListBullet"/>
        <w:spacing w:before="0" w:after="80" w:lineRule="auto" w:line="360"/>
        <w:jc w:val="both"/>
      </w:pPr>
      <w:r>
        <w:rPr>
          <w:rFonts w:ascii="Times New Roman" w:hAnsi="Times New Roman" w:eastAsia="Times New Roman" w:cs="Times New Roman"/>
          <w:b w:val="0"/>
          <w:i w:val="0"/>
          <w:sz w:val="26"/>
        </w:rPr>
        <w:t>Mục tiêu: MT1 (mô tả): Xác định mức độ hài lòng của bệnh nhân trong hoạt động khám chữa bệnh tại Khoa Khám bệnh C1a, Trung tâm Khám bệnh và Điều trị theo yêu cầu C1, Bệnh viện Quân y 175; MT2 (phân tích): Đánh giá một số yếu tố liên quan đến mức độ hài lòng của bệnh nhân trong hoạt động khám chữa bệnh tại Khoa Khám bệnh C1a, Trung tâm Khám bệnh và Điều trị theo yêu cầu C1, Bệnh viện Quân y 175</w:t>
      </w:r>
    </w:p>
    <w:p>
      <w:pPr>
        <w:pStyle w:val="ListBullet"/>
        <w:spacing w:before="0" w:after="80" w:lineRule="auto" w:line="360"/>
        <w:jc w:val="both"/>
      </w:pPr>
      <w:r>
        <w:rPr>
          <w:rFonts w:ascii="Times New Roman" w:hAnsi="Times New Roman" w:eastAsia="Times New Roman" w:cs="Times New Roman"/>
          <w:b w:val="0"/>
          <w:i w:val="0"/>
          <w:sz w:val="26"/>
        </w:rPr>
        <w:t>Kết cục chính neo mục tiêu: G1 — mức hài lòng chung, hỏi trực tiếp (biến SHLNBChung_TrucTiep, Phần 3 phiếu)</w:t>
      </w:r>
    </w:p>
    <w:p>
      <w:pPr>
        <w:spacing w:before="280" w:after="160" w:lineRule="auto" w:line="312"/>
      </w:pPr>
      <w:r>
        <w:rPr>
          <w:rFonts w:ascii="Times New Roman" w:hAnsi="Times New Roman" w:eastAsia="Times New Roman" w:cs="Times New Roman"/>
          <w:b/>
          <w:i w:val="0"/>
          <w:sz w:val="28"/>
        </w:rPr>
        <w:t>Governance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Quyết định</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Vai trò chịu trách nhiệm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Bằng chứng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Chốt thiết kế G1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PI/Methodologist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`study_meta.json: gate_params.G1`</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Phê duyệt đạo đức G2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IRB/IEC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Approval ledger có chữ ký</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SAP G4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Biostatistician/PI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lock có chữ ký</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dữ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Manager/PI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Lock Memo</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Bình duyệt G8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Independent reviewer</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Approval ledger đúng vai trò</w:t>
            </w:r>
          </w:p>
        </w:tc>
      </w:tr>
    </w:tbl>
    <w:p/>
    <w:p>
      <w:pPr>
        <w:spacing w:before="280" w:after="160" w:lineRule="auto" w:line="312"/>
      </w:pPr>
      <w:r>
        <w:rPr>
          <w:rFonts w:ascii="Times New Roman" w:hAnsi="Times New Roman" w:eastAsia="Times New Roman" w:cs="Times New Roman"/>
          <w:b/>
          <w:i w:val="0"/>
          <w:sz w:val="28"/>
        </w:rPr>
        <w:t>Milestone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Mốc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Sản phẩm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đóng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PICO/FINER + evidence seed</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và khoảng trống được xác nhận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A1b/A2/A2b/A13/A13b</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 reporting map được PI/methodologist xác nhận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Ethics/registration package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IRB/IEC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G3–G4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Tham số có nguồn + SAP lock</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G5–G6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 phân tích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lock + phân tích theo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G7–G10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 kiểm duyệt + lắp ráp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A12/G8/G9 sạch và đúng vai trò</w:t>
            </w:r>
          </w:p>
        </w:tc>
      </w:tr>
    </w:tbl>
    <w:p/>
    <w:p>
      <w:pPr>
        <w:spacing w:before="120" w:after="200" w:lineRule="auto" w:line="312"/>
        <w:jc w:val="both"/>
        <w:ind w:left="567" w:right="567"/>
      </w:pPr>
      <w:r>
        <w:rPr>
          <w:rFonts w:ascii="Times New Roman" w:hAnsi="Times New Roman" w:eastAsia="Times New Roman" w:cs="Times New Roman"/>
          <w:b w:val="0"/>
          <w:i/>
          <w:sz w:val="22"/>
        </w:rPr>
        <w:t>Cần bác sĩ kiểm chứng.</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