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1.2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2026-10-17</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từ 2026-10-17 bản gốc là </w:t>
      </w:r>
      <w:r>
        <w:rPr>
          <w:rFonts w:ascii="Times New Roman" w:hAnsi="Times New Roman" w:eastAsia="Times New Roman" w:cs="Times New Roman"/>
          <w:b/>
          <w:i/>
          <w:sz w:val="22"/>
        </w:rPr>
        <w:t>đề cương nộp Hội đồng</w:t>
      </w:r>
    </w:p>
    <w:p>
      <w:pPr>
        <w:spacing w:before="120" w:after="200" w:lineRule="auto" w:line="312"/>
        <w:jc w:val="both"/>
        <w:ind w:left="567" w:right="567"/>
      </w:pPr>
      <w:r>
        <w:rPr>
          <w:rFonts w:ascii="Times New Roman" w:hAnsi="Times New Roman" w:eastAsia="Times New Roman" w:cs="Times New Roman"/>
          <w:b w:val="0"/>
          <w:i/>
          <w:sz w:val="22"/>
        </w:rPr>
        <w:t>(`DE_CUONG_NOP_HOI_DONG_hai-long-benh-nhan-C1a-BVQY175.md`, mục 4.10 và Phụ lục A). Đề cương v1.0</w:t>
      </w:r>
    </w:p>
    <w:p>
      <w:pPr>
        <w:spacing w:before="120" w:after="200" w:lineRule="auto" w:line="312"/>
        <w:jc w:val="both"/>
        <w:ind w:left="567" w:right="567"/>
      </w:pPr>
      <w:r>
        <w:rPr>
          <w:rFonts w:ascii="Times New Roman" w:hAnsi="Times New Roman" w:eastAsia="Times New Roman" w:cs="Times New Roman"/>
          <w:b w:val="0"/>
          <w:i/>
          <w:sz w:val="22"/>
        </w:rPr>
        <w:t>(`De-cuong_Hai-long-C1a_BVQY175.md`, Phụ lục A, DAG ở Phụ lục D) giữ làm lịch sử — bản 1.1 của SAP chép từ</w:t>
      </w:r>
    </w:p>
    <w:p>
      <w:pPr>
        <w:spacing w:before="120" w:after="200" w:lineRule="auto" w:line="312"/>
        <w:jc w:val="both"/>
        <w:ind w:left="567" w:right="567"/>
      </w:pPr>
      <w:r>
        <w:rPr>
          <w:rFonts w:ascii="Times New Roman" w:hAnsi="Times New Roman" w:eastAsia="Times New Roman" w:cs="Times New Roman"/>
          <w:b w:val="0"/>
          <w:i/>
          <w:sz w:val="22"/>
        </w:rPr>
        <w:t>đó ngày 2026-08-30. Bản 12 mục dưới đây là bản ĐỒNG BỘ máy-đọc phục vụ cổng G4; phát hiện lệch thì đề</w:t>
      </w:r>
    </w:p>
    <w:p>
      <w:pPr>
        <w:spacing w:before="120" w:after="200" w:lineRule="auto" w:line="312"/>
        <w:jc w:val="both"/>
        <w:ind w:left="567" w:right="567"/>
      </w:pPr>
      <w:r>
        <w:rPr>
          <w:rFonts w:ascii="Times New Roman" w:hAnsi="Times New Roman" w:eastAsia="Times New Roman" w:cs="Times New Roman"/>
          <w:b w:val="0"/>
          <w:i/>
          <w:sz w:val="22"/>
        </w:rPr>
        <w:t>cương nộp Hội đồng là bản gốc và bản này phải sửa theo. Mọi «đề cương 4.10» dưới đây là của bản nộp.</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 (đồng bộ với đề cương nộp Hội đồng 2026-10-17)</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yêu cầu bác sĩ; thẩm định độc lập (tham-dinh-dau-ra)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bộ với đề cương nộp Hội đồng (bản gốc mới): N tối thiểu 808, DE 1,78, CV 1,0 (§1, §12); KTC Wilson trên n hiệu dụng (§3); quy tắc trọng số hậu phân tầng tách Mục tiêu 1/2 + gộp tầng nhỏ + thứ tự ưu tiên (§4); §9, §10, §11 đồng bộ</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mẫu đủ tiêu chí</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(độ tin cậy 95%, sai số tuyệt đối d = ±0.05)</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808.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w:t>
      </w:r>
    </w:p>
    <w:p>
      <w:pPr>
        <w:pStyle w:val="ListBullet"/>
        <w:spacing w:before="0" w:after="80" w:lineRule="auto" w:line="360"/>
        <w:jc w:val="both"/>
      </w:pPr>
      <w:r>
        <w:rPr>
          <w:rFonts w:ascii="Times New Roman" w:hAnsi="Times New Roman" w:eastAsia="Times New Roman" w:cs="Times New Roman"/>
          <w:b w:val="0"/>
          <w:i w:val="0"/>
          <w:sz w:val="26"/>
        </w:rPr>
        <w:t>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w:t>
      </w:r>
    </w:p>
    <w:p>
      <w:pPr>
        <w:pStyle w:val="ListBullet"/>
        <w:spacing w:before="0" w:after="80" w:lineRule="auto" w:line="360"/>
        <w:jc w:val="both"/>
      </w:pPr>
      <w:r>
        <w:rPr>
          <w:rFonts w:ascii="Times New Roman" w:hAnsi="Times New Roman" w:eastAsia="Times New Roman" w:cs="Times New Roman"/>
          <w:b w:val="0"/>
          <w:i w:val="0"/>
          <w:sz w:val="26"/>
        </w:rPr>
        <w:t>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w:t>
      </w:r>
    </w:p>
    <w:p>
      <w:pPr>
        <w:pStyle w:val="ListBullet"/>
        <w:spacing w:before="0" w:after="80" w:lineRule="auto" w:line="360"/>
        <w:jc w:val="both"/>
      </w:pPr>
      <w:r>
        <w:rPr>
          <w:rFonts w:ascii="Times New Roman" w:hAnsi="Times New Roman" w:eastAsia="Times New Roman" w:cs="Times New Roman"/>
          <w:b w:val="0"/>
          <w:i w:val="0"/>
          <w:sz w:val="26"/>
        </w:rPr>
        <w:t>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1,78); báo cả KTC Wilson giả định độc lập để thấy mức nới rộng do gom cụm</w:t>
      </w:r>
    </w:p>
    <w:p>
      <w:pPr>
        <w:pStyle w:val="ListBullet"/>
        <w:spacing w:before="0" w:after="80" w:lineRule="auto" w:line="360"/>
        <w:jc w:val="both"/>
      </w:pPr>
      <w:r>
        <w:rPr>
          <w:rFonts w:ascii="Times New Roman" w:hAnsi="Times New Roman" w:eastAsia="Times New Roman" w:cs="Times New Roman"/>
          <w:b w:val="0"/>
          <w:i w:val="0"/>
          <w:sz w:val="26"/>
        </w:rPr>
        <w:t>Khi áp trọng số hậu phân tầng (§4), tỷ lệ và DE lấy từ thiết kế CÓ trọng số (R `survey`, đường Python không hỗ trợ trọng số) nên DE đã gồm cả hiệu ứng trọng số</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Trọng số theo thiết kế chọn mẫu (quy tắc định trước, đề cương 4.10):</w:t>
      </w:r>
      <w:r>
        <w:rPr>
          <w:rFonts w:ascii="Times New Roman" w:hAnsi="Times New Roman" w:eastAsia="Times New Roman" w:cs="Times New Roman"/>
          <w:b w:val="0"/>
          <w:i w:val="0"/>
          <w:sz w:val="26"/>
        </w:rPr>
        <w:t xml:space="preserve"> tầng h = ngày trong tuần × khung giờ khám; Nₕ = số lượt khám của tầng trong kỳ thu thập (HIS), nₕ = số phiếu hợp lệ của tầng. Tầng có nₕ &lt; 10 (hoặc trống) được gộp với khung giờ liền kề cùng ngày, chưa đủ thì gộp tiếp với cùng khung giờ của ngày liền kề, TRƯỚC khi tính trọng số. Mẫu phân bổ theo lưu lượng nên tự cân bằng suy ra mặc định KHÔNG trọng số. Quy tắc kích hoạt: có BẤT KỲ tầng nào lệch quá 20% so với tỷ lệ lưu lượng thực, tức |(nₕ/n) ÷ (Nₕ/N) − 1| &gt; 0,20; phép kiểm chỉ dùng nₕ, Nₕ — làm và ghi bảng nₕ · Nₕ · tỷ số TRƯỚC khi xem kết cục. Khi kích hoạt, trọng số hậu phân tầng wₕ = (Nₕ/N) ÷ (nₕ/n) áp như sau:</w:t>
      </w:r>
    </w:p>
    <w:p>
      <w:pPr>
        <w:pStyle w:val="ListBullet"/>
        <w:spacing w:before="0" w:after="80" w:lineRule="auto" w:line="360"/>
        <w:jc w:val="both"/>
      </w:pPr>
      <w:r>
        <w:rPr>
          <w:rFonts w:ascii="Times New Roman" w:hAnsi="Times New Roman" w:eastAsia="Times New Roman" w:cs="Times New Roman"/>
          <w:b/>
          <w:i w:val="0"/>
          <w:sz w:val="26"/>
        </w:rPr>
        <w:t>Mục tiêu 1 (tỷ lệ, phân bố mô tả):</w:t>
      </w:r>
      <w:r>
        <w:rPr>
          <w:rFonts w:ascii="Times New Roman" w:hAnsi="Times New Roman" w:eastAsia="Times New Roman" w:cs="Times New Roman"/>
          <w:b w:val="0"/>
          <w:i w:val="0"/>
          <w:sz w:val="26"/>
        </w:rPr>
        <w:t xml:space="preserve"> bản CÓ trọng số là phân tích CHÍNH — `survey::svydesign(ids = ~ma_ban_kham, data = …)` rồi `postStratify(…, strata = ~tang, population = &lt;Nₕ&gt;)` (Lumley 2004, doi:10.18637/jss.v009.i08; `postStratify` chuẩn hoá Σw = N, ước lượng không đổi so với wₕ chuẩn hoá Σw = n); KTC Wilson trên n_hd với DE từ `deff = "replace"` (§3); bản không trọng số báo song song</w:t>
      </w:r>
    </w:p>
    <w:p>
      <w:pPr>
        <w:pStyle w:val="ListBullet"/>
        <w:spacing w:before="0" w:after="80" w:lineRule="auto" w:line="360"/>
        <w:jc w:val="both"/>
      </w:pPr>
      <w:r>
        <w:rPr>
          <w:rFonts w:ascii="Times New Roman" w:hAnsi="Times New Roman" w:eastAsia="Times New Roman" w:cs="Times New Roman"/>
          <w:b/>
          <w:i w:val="0"/>
          <w:sz w:val="26"/>
        </w:rPr>
        <w:t>Mục tiêu 2 (mô hình chính):</w:t>
      </w:r>
      <w:r>
        <w:rPr>
          <w:rFonts w:ascii="Times New Roman" w:hAnsi="Times New Roman" w:eastAsia="Times New Roman" w:cs="Times New Roman"/>
          <w:b w:val="0"/>
          <w:i w:val="0"/>
          <w:sz w:val="26"/>
        </w:rPr>
        <w:t xml:space="preserve"> giữ KHÔNG trọng số — ngày trong tuần và khung giờ (biến tạo tầng) đã nằm trong tập forced-in nên trọng số không cần cho ước lượng vững của cOR hiệu chỉnh; mô hình CÓ trọng số `survey::svyolr` (cùng thiết kế trên) là phân tích độ nhạy định trước (§9). Chênh lệch lớn giữa hai bản là tín hiệu hiệu ứng thay đổi theo tầng, được bàn luận, không chọn bản «đẹp hơn» (Solon, Haider &amp; Wooldridge 2015, doi:10.3368/jhr.50.2.301)</w:t>
      </w:r>
    </w:p>
    <w:p>
      <w:pPr>
        <w:pStyle w:val="ListBullet"/>
        <w:spacing w:before="0" w:after="80" w:lineRule="auto" w:line="360"/>
        <w:jc w:val="both"/>
      </w:pPr>
      <w:r>
        <w:rPr>
          <w:rFonts w:ascii="Times New Roman" w:hAnsi="Times New Roman" w:eastAsia="Times New Roman" w:cs="Times New Roman"/>
          <w:b w:val="0"/>
          <w:i w:val="0"/>
          <w:sz w:val="26"/>
        </w:rPr>
        <w:t>Thứ tự ưu tiên: các quy tắc về giả định proportional odds và số bàn khám &lt; 15 ở trên áp cho mô hình chính KHÔNG trọng số; `svyolr` chỉ ước lượng mô hình PO nên khi PO bị vi phạm, bản có trọng số vẫn chỉ là độ nhạy và được diễn giải là cOR trung bình hoá</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và `duoc_dung_bacsi` </w:t>
      </w:r>
      <w:r>
        <w:rPr>
          <w:rFonts w:ascii="Times New Roman" w:hAnsi="Times New Roman" w:eastAsia="Times New Roman" w:cs="Times New Roman"/>
          <w:b w:val="0"/>
          <w:i/>
          <w:sz w:val="26"/>
        </w:rPr>
        <w:t>(PI xác nhận 2026-10-14: Khoa C1a KHÔNG vận hành phân biệt theo chuyên khoa/phòng khám suy ra `chuyenkhoa` loại khỏi tập forced-in,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Có/không trọng số hậu phân tầng (quy tắc §4): Mục tiêu 1 — bản không phải phân tích chính chạy song song; Mục tiêu 2 — mô hình CÓ trọng số `svyolr` khi quy tắc kích hoạt</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 n hiệu dụng)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2b, Gom cụm và trọng số của tỷ lệ hài lòng chung (§3, §4):</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bàn khám K; CV cỡ chùm thực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ICC thực tế; DE theo ICC (Eldridge)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 thiết kế (tuyến tính hoá, chặn dưới 1); n hiệu dụng (đã hiệu chỉnh bậc tự do)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 Wilson giả định độc lập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trọng số §4 kích hoạt? (tầng lệch lớn nhất,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có trọng số · không trọng số, KTC 95% Wilson n hiệu dụng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 · ___ (___–___)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có trọng số `svyolr` (độ nhạy)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w:t>
            </w:r>
          </w:p>
        </w:tc>
      </w:tr>
    </w:tbl>
    <w:p/>
    <w:p>
      <w:pPr>
        <w:spacing w:before="200" w:after="120" w:lineRule="auto" w:line="312"/>
      </w:pPr>
      <w:r>
        <w:rPr>
          <w:rFonts w:ascii="Times New Roman" w:hAnsi="Times New Roman" w:eastAsia="Times New Roman" w:cs="Times New Roman"/>
          <w:b/>
          <w:i/>
          <w:sz w:val="26"/>
        </w:rPr>
        <w:t>§12 ALPHA + ĐỘ CHÍNH XÁC (cỡ mẫu theo sai số cho phép)</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 — độ tin cậy 95%</w:t>
      </w:r>
    </w:p>
    <w:p>
      <w:pPr>
        <w:pStyle w:val="ListBullet"/>
        <w:spacing w:before="0" w:after="80" w:lineRule="auto" w:line="360"/>
        <w:jc w:val="both"/>
      </w:pPr>
      <w:r>
        <w:rPr>
          <w:rFonts w:ascii="Times New Roman" w:hAnsi="Times New Roman" w:eastAsia="Times New Roman" w:cs="Times New Roman"/>
          <w:b/>
          <w:i w:val="0"/>
          <w:sz w:val="26"/>
        </w:rPr>
        <w:t>Tỷ lệ ước lượng (p):</w:t>
      </w:r>
      <w:r>
        <w:rPr>
          <w:rFonts w:ascii="Times New Roman" w:hAnsi="Times New Roman" w:eastAsia="Times New Roman" w:cs="Times New Roman"/>
          <w:b w:val="0"/>
          <w:i w:val="0"/>
          <w:sz w:val="26"/>
        </w:rPr>
        <w:t xml:space="preserve"> 0.5</w:t>
      </w:r>
    </w:p>
    <w:p>
      <w:pPr>
        <w:pStyle w:val="ListBullet"/>
        <w:spacing w:before="0" w:after="80" w:lineRule="auto" w:line="360"/>
        <w:jc w:val="both"/>
      </w:pPr>
      <w:r>
        <w:rPr>
          <w:rFonts w:ascii="Times New Roman" w:hAnsi="Times New Roman" w:eastAsia="Times New Roman" w:cs="Times New Roman"/>
          <w:b/>
          <w:i w:val="0"/>
          <w:sz w:val="26"/>
        </w:rPr>
        <w:t>Sai số tuyệt đối cho phép (d):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không dùng — cỡ mẫu theo độ chính xác của ước lượng, không kiểm định giả thuyết</w:t>
      </w:r>
    </w:p>
    <w:p>
      <w:pPr>
        <w:pStyle w:val="ListBullet"/>
        <w:spacing w:before="0" w:after="80" w:lineRule="auto" w:line="360"/>
        <w:jc w:val="both"/>
      </w:pPr>
      <w:r>
        <w:rPr>
          <w:rFonts w:ascii="Times New Roman" w:hAnsi="Times New Roman" w:eastAsia="Times New Roman" w:cs="Times New Roman"/>
          <w:b/>
          <w:i w:val="0"/>
          <w:sz w:val="26"/>
        </w:rPr>
        <w:t>Tỷ lệ bỏ cuộc dự kiến:</w:t>
      </w:r>
      <w:r>
        <w:rPr>
          <w:rFonts w:ascii="Times New Roman" w:hAnsi="Times New Roman" w:eastAsia="Times New Roman" w:cs="Times New Roman"/>
          <w:b w:val="0"/>
          <w:i w:val="0"/>
          <w:sz w:val="26"/>
        </w:rPr>
        <w:t xml:space="preserve"> 0.15</w:t>
      </w:r>
    </w:p>
    <w:p>
      <w:pPr>
        <w:pStyle w:val="ListBullet"/>
        <w:spacing w:before="0" w:after="80" w:lineRule="auto" w:line="360"/>
        <w:jc w:val="both"/>
      </w:pPr>
      <w:r>
        <w:rPr>
          <w:rFonts w:ascii="Times New Roman" w:hAnsi="Times New Roman" w:eastAsia="Times New Roman" w:cs="Times New Roman"/>
          <w:b/>
          <w:i w:val="0"/>
          <w:sz w:val="26"/>
        </w:rPr>
        <w:t>Hiệu ứng thiết kế (DE):</w:t>
      </w:r>
      <w:r>
        <w:rPr>
          <w:rFonts w:ascii="Times New Roman" w:hAnsi="Times New Roman" w:eastAsia="Times New Roman" w:cs="Times New Roman"/>
          <w:b w:val="0"/>
          <w:i w:val="0"/>
          <w:sz w:val="26"/>
        </w:rPr>
        <w:t xml:space="preserve"> 1.78 — cỡ cụm không đều, DE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Ashby &amp; Kerry 2006, doi:10.1093/ije/dyl129)</w:t>
      </w:r>
    </w:p>
    <w:p>
      <w:pPr>
        <w:pStyle w:val="ListBullet"/>
        <w:spacing w:before="0" w:after="80" w:lineRule="auto" w:line="360"/>
        <w:jc w:val="both"/>
      </w:pPr>
      <w:r>
        <w:rPr>
          <w:rFonts w:ascii="Times New Roman" w:hAnsi="Times New Roman" w:eastAsia="Times New Roman" w:cs="Times New Roman"/>
          <w:b/>
          <w:i w:val="0"/>
          <w:sz w:val="26"/>
        </w:rPr>
        <w:t>ICC:</w:t>
      </w:r>
      <w:r>
        <w:rPr>
          <w:rFonts w:ascii="Times New Roman" w:hAnsi="Times New Roman" w:eastAsia="Times New Roman" w:cs="Times New Roman"/>
          <w:b w:val="0"/>
          <w:i w:val="0"/>
          <w:sz w:val="26"/>
        </w:rPr>
        <w:t xml:space="preserve"> 0.02</w:t>
      </w:r>
    </w:p>
    <w:p>
      <w:pPr>
        <w:pStyle w:val="ListBullet"/>
        <w:spacing w:before="0" w:after="80" w:lineRule="auto" w:line="360"/>
        <w:jc w:val="both"/>
      </w:pPr>
      <w:r>
        <w:rPr>
          <w:rFonts w:ascii="Times New Roman" w:hAnsi="Times New Roman" w:eastAsia="Times New Roman" w:cs="Times New Roman"/>
          <w:b/>
          <w:i w:val="0"/>
          <w:sz w:val="26"/>
        </w:rPr>
        <w:t>Cỡ cụm trung bình (m):</w:t>
      </w:r>
      <w:r>
        <w:rPr>
          <w:rFonts w:ascii="Times New Roman" w:hAnsi="Times New Roman" w:eastAsia="Times New Roman" w:cs="Times New Roman"/>
          <w:b w:val="0"/>
          <w:i w:val="0"/>
          <w:sz w:val="26"/>
        </w:rPr>
        <w:t xml:space="preserve"> 20</w:t>
      </w:r>
    </w:p>
    <w:p>
      <w:pPr>
        <w:pStyle w:val="ListBullet"/>
        <w:spacing w:before="0" w:after="80" w:lineRule="auto" w:line="360"/>
        <w:jc w:val="both"/>
      </w:pPr>
      <w:r>
        <w:rPr>
          <w:rFonts w:ascii="Times New Roman" w:hAnsi="Times New Roman" w:eastAsia="Times New Roman" w:cs="Times New Roman"/>
          <w:b/>
          <w:i w:val="0"/>
          <w:sz w:val="26"/>
        </w:rPr>
        <w:t>Hệ số biến thiên cỡ cụm (CV):</w:t>
      </w:r>
      <w:r>
        <w:rPr>
          <w:rFonts w:ascii="Times New Roman" w:hAnsi="Times New Roman" w:eastAsia="Times New Roman" w:cs="Times New Roman"/>
          <w:b w:val="0"/>
          <w:i w:val="0"/>
          <w:sz w:val="26"/>
        </w:rPr>
        <w:t xml:space="preserve"> 1.0 — giả định lập kế hoạch thận trọng (PI khai 14/10/2026; thay bằng CV thật từ HIS trước khi khoá SAP)</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1.2</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(độ tin cậy 95%)</w:t>
      </w:r>
    </w:p>
    <w:p>
      <w:pPr>
        <w:spacing w:before="0" w:after="160" w:lineRule="auto" w:line="360"/>
        <w:jc w:val="both"/>
      </w:pPr>
      <w:r>
        <w:rPr>
          <w:rFonts w:ascii="Times New Roman" w:hAnsi="Times New Roman" w:eastAsia="Times New Roman" w:cs="Times New Roman"/>
          <w:b w:val="0"/>
          <w:i w:val="0"/>
          <w:sz w:val="26"/>
        </w:rPr>
        <w:t xml:space="preserve">  Sai số d : ±0.05 (p = 0.5)</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