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OSF Registries (https://osf.io/registries)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Thời gian nghiên cứu: bắt đầu SAU phê duyệt IRB — một giai đoạn liên tục phủ đều khung giờ/ngày trong tuần (đề cương §4.2); dự kiến từ tháng 12/2026 đến tháng 12/2028 theo thời gian nghiên cứu PI đã chốt ở G1 (11/10/2026); ngày bắt đầu thu thập = sau ngày Hội đồng phê duyệt</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Xung đột lợi ích (COI): Không có xung đột lợi ích (khai đầy đủ ở Tài liệu 8)</w:t>
      </w:r>
    </w:p>
    <w:p>
      <w:pPr>
        <w:spacing w:before="0" w:after="160" w:lineRule="auto" w:line="360"/>
        <w:jc w:val="both"/>
      </w:pPr>
      <w:r>
        <w:rPr>
          <w:rFonts w:ascii="Times New Roman" w:hAnsi="Times New Roman" w:eastAsia="Times New Roman" w:cs="Times New Roman"/>
          <w:b w:val="0"/>
          <w:i w:val="0"/>
          <w:sz w:val="26"/>
        </w:rPr>
        <w:t>Đăng ký nghiên cứu: OSF Registries (https://osf.io/registries) — đăng ký TRƯỚC người tham gia đầu tiên (khảo sát tiến cứu, đề cương); mã đăng ký cập nhật sau khi đăng ký</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val="0"/>
          <w:i w:val="0"/>
          <w:sz w:val="26"/>
        </w:rPr>
        <w:t>Tạp chí mục tiêu: Tạp chí Y Dược Thực hành 175</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nặc danh ngay từ khâu phát, không thu tên/số điện thoại; ICF ký tên lưu TÁCH RIÊNG, không liên kết với phiếu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tự điền ~15–20 phút tại khoa sau khi khám xong, MỘT lần; dừng bất kỳ lúc nào</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Ngại nhận xét về nhân viên y tế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Nặc danh, hòm phiếu kín; điều tra viên không thuộc kíp khám; khẳng định không ảnh hưởng chăm sóc</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và các yếu tố liên quan tại Khoa C1a — căn cứ cải tiến chất lượng;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Chủ nhiệm đã rà và xác nhận bảng rủi ro theo đề cương (03/10/2026).</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val="0"/>
          <w:i w:val="0"/>
          <w:sz w:val="26"/>
        </w:rPr>
        <w:t>Chúng tôi muốn tìm hiểu ông/bà hài lòng đến đâu về lần khám hôm nay — từ khâu đón tiếp, thời gian chờ, nơi khám, đến bác sĩ, điều dưỡng và kết quả — để bệnh viện phục vụ tốt hơn.</w:t>
      </w:r>
    </w:p>
    <w:p>
      <w:pPr>
        <w:spacing w:before="0" w:after="160" w:lineRule="auto" w:line="360"/>
        <w:jc w:val="both"/>
      </w:pPr>
      <w:r>
        <w:rPr>
          <w:rFonts w:ascii="Times New Roman" w:hAnsi="Times New Roman" w:eastAsia="Times New Roman" w:cs="Times New Roman"/>
          <w:b w:val="0"/>
          <w:i w:val="0"/>
          <w:sz w:val="26"/>
        </w:rPr>
        <w:t>Nghiên cứu do Khoa Khám bệnh C1a, Bệnh viện Quân y 175 thực hiện, không có tài trợ bên</w:t>
      </w:r>
    </w:p>
    <w:p>
      <w:pPr>
        <w:spacing w:before="0" w:after="160" w:lineRule="auto" w:line="360"/>
        <w:jc w:val="both"/>
      </w:pPr>
      <w:r>
        <w:rPr>
          <w:rFonts w:ascii="Times New Roman" w:hAnsi="Times New Roman" w:eastAsia="Times New Roman" w:cs="Times New Roman"/>
          <w:b w:val="0"/>
          <w:i w:val="0"/>
          <w:sz w:val="26"/>
        </w:rPr>
        <w:t>ngoài (kinh phí tự túc).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tại Khoa Khám bệnh C1a, Bệnh viện Quân y 175.</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Nghiên cứu do Nguyễn Hà Luân, Bác sĩ Chuyên khoa I (BS.CKI), công tác tại Khoa Khám bệnh C1a, Bệnh viện Quân y 175,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Bước 1: đọc thông tin này và xác nhận đồng ý tham gia (theo hình thức đồng thuận được Hội đồng phê duyệt cho khảo sát nặc danh)</w:t>
      </w:r>
    </w:p>
    <w:p>
      <w:pPr>
        <w:spacing w:before="0" w:after="160" w:lineRule="auto" w:line="360"/>
        <w:jc w:val="both"/>
      </w:pPr>
      <w:r>
        <w:rPr>
          <w:rFonts w:ascii="Times New Roman" w:hAnsi="Times New Roman" w:eastAsia="Times New Roman" w:cs="Times New Roman"/>
          <w:b w:val="0"/>
          <w:i w:val="0"/>
          <w:sz w:val="26"/>
        </w:rPr>
        <w:t>□ Bước 2: tự điền bộ câu hỏi ~15–20 phút, MỘT lần duy nhất</w:t>
      </w:r>
    </w:p>
    <w:p>
      <w:pPr>
        <w:spacing w:before="0" w:after="160" w:lineRule="auto" w:line="360"/>
        <w:jc w:val="both"/>
      </w:pPr>
      <w:r>
        <w:rPr>
          <w:rFonts w:ascii="Times New Roman" w:hAnsi="Times New Roman" w:eastAsia="Times New Roman" w:cs="Times New Roman"/>
          <w:b w:val="0"/>
          <w:i w:val="0"/>
          <w:sz w:val="26"/>
        </w:rPr>
        <w:t>Tổng thời gian tham gia ước tính: ~15–20 phút, trong MỘT lần duy nhất (không theo dõi thêm)</w:t>
      </w:r>
    </w:p>
    <w:p>
      <w:pPr>
        <w:spacing w:before="0" w:after="160" w:lineRule="auto" w:line="360"/>
        <w:jc w:val="both"/>
      </w:pPr>
      <w:r>
        <w:rPr>
          <w:rFonts w:ascii="Times New Roman" w:hAnsi="Times New Roman" w:eastAsia="Times New Roman" w:cs="Times New Roman"/>
          <w:b w:val="0"/>
          <w:i w:val="0"/>
          <w:sz w:val="26"/>
        </w:rPr>
        <w:t>Số lần đến cơ sở y tế: 0 lần thêm — thực hiện ngay trong lượt khám thường quy</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đến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đến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Chi phí điều trị biến cố liên quan nghiên cứu: Không áp dụng — nghiên cứu chỉ khảo sát ý kiến, không can thiệp y khoa nên không phát sinh biến cố điều trị liên quan.</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Lợi ích trực tiếp: không có lợi ích y khoa trực tiếp; ý kiến của ông/bà giúp cải thiện chất lượng dịch vụ khám bệnh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không có tài trợ bên ngoài (kinh phí tự túc, chủ nhiệm đề tài tự</w:t>
      </w:r>
    </w:p>
    <w:p>
      <w:pPr>
        <w:spacing w:before="0" w:after="160" w:lineRule="auto" w:line="360"/>
        <w:jc w:val="both"/>
      </w:pPr>
      <w:r>
        <w:rPr>
          <w:rFonts w:ascii="Times New Roman" w:hAnsi="Times New Roman" w:eastAsia="Times New Roman" w:cs="Times New Roman"/>
          <w:b w:val="0"/>
          <w:i w:val="0"/>
          <w:sz w:val="26"/>
        </w:rPr>
        <w:t>chi trả). Nhóm nghiên cứu không có xung đột lợi ích liên quan đến chủ đề</w:t>
      </w:r>
    </w:p>
    <w:p>
      <w:pPr>
        <w:spacing w:before="0" w:after="160" w:lineRule="auto" w:line="360"/>
        <w:jc w:val="both"/>
      </w:pPr>
      <w:r>
        <w:rPr>
          <w:rFonts w:ascii="Times New Roman" w:hAnsi="Times New Roman" w:eastAsia="Times New Roman" w:cs="Times New Roman"/>
          <w:b w:val="0"/>
          <w:i w:val="0"/>
          <w:sz w:val="26"/>
        </w:rPr>
        <w:t>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trên ổ đĩa mã hóa AES-256 tại Khoa Khám bệnh</w:t>
      </w:r>
    </w:p>
    <w:p>
      <w:pPr>
        <w:spacing w:before="0" w:after="160" w:lineRule="auto" w:line="360"/>
        <w:jc w:val="both"/>
      </w:pPr>
      <w:r>
        <w:rPr>
          <w:rFonts w:ascii="Times New Roman" w:hAnsi="Times New Roman" w:eastAsia="Times New Roman" w:cs="Times New Roman"/>
          <w:b w:val="0"/>
          <w:i w:val="0"/>
          <w:sz w:val="26"/>
        </w:rPr>
        <w:t>C1a, Bệnh viện Quân y 175</w:t>
      </w:r>
    </w:p>
    <w:p>
      <w:pPr>
        <w:spacing w:before="0" w:after="160" w:lineRule="auto" w:line="360"/>
        <w:jc w:val="both"/>
      </w:pPr>
      <w:r>
        <w:rPr>
          <w:rFonts w:ascii="Times New Roman" w:hAnsi="Times New Roman" w:eastAsia="Times New Roman" w:cs="Times New Roman"/>
          <w:b w:val="0"/>
          <w:i w:val="0"/>
          <w:sz w:val="26"/>
        </w:rPr>
        <w:t>Nhóm nghiên cứu KHÔNG nhận thông tin danh tính của ông/bà</w:t>
      </w:r>
    </w:p>
    <w:p>
      <w:pPr>
        <w:spacing w:before="0" w:after="160" w:lineRule="auto" w:line="360"/>
        <w:jc w:val="both"/>
      </w:pPr>
      <w:r>
        <w:rPr>
          <w:rFonts w:ascii="Times New Roman" w:hAnsi="Times New Roman" w:eastAsia="Times New Roman" w:cs="Times New Roman"/>
          <w:b w:val="0"/>
          <w:i w:val="0"/>
          <w:sz w:val="26"/>
        </w:rPr>
        <w:t>Thời gian chờ khám được lấy từ hệ thống quản lý bệnh viện (HIS) qua MÃ NGHIÊN CỨU trên phiếu: nhân viên được</w:t>
      </w:r>
    </w:p>
    <w:p>
      <w:pPr>
        <w:spacing w:before="0" w:after="160" w:lineRule="auto" w:line="360"/>
        <w:jc w:val="both"/>
      </w:pPr>
      <w:r>
        <w:rPr>
          <w:rFonts w:ascii="Times New Roman" w:hAnsi="Times New Roman" w:eastAsia="Times New Roman" w:cs="Times New Roman"/>
          <w:b w:val="0"/>
          <w:i w:val="0"/>
          <w:sz w:val="26"/>
        </w:rPr>
        <w:t>uỷ quyền của Phòng CNTT/QLCL đối chiếu và chỉ chuyển cho nhóm nghiên cứu mã nghiên cứu cùng số phút chờ;</w:t>
      </w:r>
    </w:p>
    <w:p>
      <w:pPr>
        <w:spacing w:before="0" w:after="160" w:lineRule="auto" w:line="360"/>
        <w:jc w:val="both"/>
      </w:pPr>
      <w:r>
        <w:rPr>
          <w:rFonts w:ascii="Times New Roman" w:hAnsi="Times New Roman" w:eastAsia="Times New Roman" w:cs="Times New Roman"/>
          <w:b w:val="0"/>
          <w:i w:val="0"/>
          <w:sz w:val="26"/>
        </w:rPr>
        <w:t>bảng đối chiếu do CNTT/QLCL giữ và huỷ trong 30 ngày</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Dữ liệu nhận dạng: phiếu KHÔNG ghi thông tin định danh; thời gian chờ được ghép theo cách</w:t>
      </w:r>
    </w:p>
    <w:p>
      <w:pPr>
        <w:spacing w:before="0" w:after="160" w:lineRule="auto" w:line="360"/>
        <w:jc w:val="both"/>
      </w:pPr>
      <w:r>
        <w:rPr>
          <w:rFonts w:ascii="Times New Roman" w:hAnsi="Times New Roman" w:eastAsia="Times New Roman" w:cs="Times New Roman"/>
          <w:b w:val="0"/>
          <w:i w:val="0"/>
          <w:sz w:val="26"/>
        </w:rPr>
        <w:t>giả danh hóa có kiểm soát — bảng đối chiếu HIS nêu trên là liên kết duy nhất về lượt khám, do CNTT/QLCL giữ</w:t>
      </w:r>
    </w:p>
    <w:p>
      <w:pPr>
        <w:spacing w:before="0" w:after="160" w:lineRule="auto" w:line="360"/>
        <w:jc w:val="both"/>
      </w:pPr>
      <w:r>
        <w:rPr>
          <w:rFonts w:ascii="Times New Roman" w:hAnsi="Times New Roman" w:eastAsia="Times New Roman" w:cs="Times New Roman"/>
          <w:b w:val="0"/>
          <w:i w:val="0"/>
          <w:sz w:val="26"/>
        </w:rPr>
        <w:t>và huỷ trong 30 ngày</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(do tính nặc danh: SAU khi nộp phiếu không thể rút riêng phiếu của ông/bà vì không có cách nhận dạng; ông/bà có toàn quyền từ chối hoặc dừng bất kỳ lúc nào TRƯỚC khi nộp)</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Đây là nghiên cứu quan sát nguy cơ tối thiểu, không phát sinh thủ thuật/can</w:t>
      </w:r>
    </w:p>
    <w:p>
      <w:pPr>
        <w:spacing w:before="0" w:after="160" w:lineRule="auto" w:line="360"/>
        <w:jc w:val="both"/>
      </w:pPr>
      <w:r>
        <w:rPr>
          <w:rFonts w:ascii="Times New Roman" w:hAnsi="Times New Roman" w:eastAsia="Times New Roman" w:cs="Times New Roman"/>
          <w:b w:val="0"/>
          <w:i w:val="0"/>
          <w:sz w:val="26"/>
        </w:rPr>
        <w:t>thiệp nào ngoài thực hành khám chữa bệnh thường quy. Nếu xảy ra tổn hại liên</w:t>
      </w:r>
    </w:p>
    <w:p>
      <w:pPr>
        <w:spacing w:before="0" w:after="160" w:lineRule="auto" w:line="360"/>
        <w:jc w:val="both"/>
      </w:pPr>
      <w:r>
        <w:rPr>
          <w:rFonts w:ascii="Times New Roman" w:hAnsi="Times New Roman" w:eastAsia="Times New Roman" w:cs="Times New Roman"/>
          <w:b w:val="0"/>
          <w:i w:val="0"/>
          <w:sz w:val="26"/>
        </w:rPr>
        <w:t>quan trực tiếp đến việc tham gia nghiên cứu, Bệnh viện Quân y 175 xử trí theo</w:t>
      </w:r>
    </w:p>
    <w:p>
      <w:pPr>
        <w:spacing w:before="0" w:after="160" w:lineRule="auto" w:line="360"/>
        <w:jc w:val="both"/>
      </w:pPr>
      <w:r>
        <w:rPr>
          <w:rFonts w:ascii="Times New Roman" w:hAnsi="Times New Roman" w:eastAsia="Times New Roman" w:cs="Times New Roman"/>
          <w:b w:val="0"/>
          <w:i w:val="0"/>
          <w:sz w:val="26"/>
        </w:rPr>
        <w:t>quy trình khám chữa bệnh thường quy; nghiên cứu không có bảo hiểm riêng.</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Hội đồng Đạo đức: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Institution: Outpatient Examination Department C1a, On-Demand Examination and Treatment Center C1, Military Hospital 175 (Ho Chi Minh City)</w:t>
      </w:r>
    </w:p>
    <w:p>
      <w:pPr>
        <w:spacing w:before="0" w:after="160" w:lineRule="auto" w:line="360"/>
        <w:jc w:val="both"/>
      </w:pPr>
      <w:r>
        <w:rPr>
          <w:rFonts w:ascii="Times New Roman" w:hAnsi="Times New Roman" w:eastAsia="Times New Roman" w:cs="Times New Roman"/>
          <w:b w:val="0"/>
          <w:i w:val="0"/>
          <w:sz w:val="26"/>
        </w:rPr>
        <w:t>Principal Investigator: Nguyễn Hà Luân</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val="0"/>
          <w:i w:val="0"/>
          <w:sz w:val="26"/>
        </w:rPr>
        <w:t>We would like to learn how satisfied you are with today's visit, from reception, waiting time and the examination area to the doctors, nurses and the results, so that the hospital can serve you better.</w:t>
      </w:r>
    </w:p>
    <w:p>
      <w:pPr>
        <w:spacing w:before="0" w:after="160" w:lineRule="auto" w:line="360"/>
        <w:jc w:val="both"/>
      </w:pPr>
      <w:r>
        <w:rPr>
          <w:rFonts w:ascii="Times New Roman" w:hAnsi="Times New Roman" w:eastAsia="Times New Roman" w:cs="Times New Roman"/>
          <w:b w:val="0"/>
          <w:i w:val="0"/>
          <w:sz w:val="26"/>
        </w:rPr>
        <w:t>Estimated participants: about 1,000</w:t>
      </w:r>
    </w:p>
    <w:p>
      <w:pPr>
        <w:spacing w:before="0" w:after="160" w:lineRule="auto" w:line="360"/>
        <w:jc w:val="both"/>
      </w:pPr>
      <w:r>
        <w:rPr>
          <w:rFonts w:ascii="Times New Roman" w:hAnsi="Times New Roman" w:eastAsia="Times New Roman" w:cs="Times New Roman"/>
          <w:b w:val="0"/>
          <w:i w:val="0"/>
          <w:sz w:val="26"/>
        </w:rPr>
        <w:t>Location: Outpatient Examination Department C1a, Military Hospital 175 (Ho Chi Minh City)</w:t>
      </w:r>
    </w:p>
    <w:p>
      <w:pPr>
        <w:spacing w:before="0" w:after="160" w:lineRule="auto" w:line="360"/>
        <w:jc w:val="both"/>
      </w:pPr>
      <w:r>
        <w:rPr>
          <w:rFonts w:ascii="Times New Roman" w:hAnsi="Times New Roman" w:eastAsia="Times New Roman" w:cs="Times New Roman"/>
          <w:b w:val="0"/>
          <w:i w:val="0"/>
          <w:sz w:val="26"/>
        </w:rPr>
        <w:t>PARTICIPATION IS ENTIRELY VOLUNTARY.</w:t>
      </w:r>
    </w:p>
    <w:p>
      <w:pPr>
        <w:spacing w:before="0" w:after="160" w:lineRule="auto" w:line="360"/>
        <w:jc w:val="both"/>
      </w:pPr>
      <w:r>
        <w:rPr>
          <w:rFonts w:ascii="Times New Roman" w:hAnsi="Times New Roman" w:eastAsia="Times New Roman" w:cs="Times New Roman"/>
          <w:b w:val="0"/>
          <w:i w:val="0"/>
          <w:sz w:val="26"/>
        </w:rPr>
        <w:t>1b. STUDY INVESTIGATOR</w:t>
      </w:r>
    </w:p>
    <w:p>
      <w:pPr>
        <w:spacing w:before="0" w:after="160" w:lineRule="auto" w:line="360"/>
        <w:jc w:val="both"/>
      </w:pPr>
      <w:r>
        <w:rPr>
          <w:rFonts w:ascii="Times New Roman" w:hAnsi="Times New Roman" w:eastAsia="Times New Roman" w:cs="Times New Roman"/>
          <w:b w:val="0"/>
          <w:i w:val="0"/>
          <w:sz w:val="26"/>
        </w:rPr>
        <w:t>The study is led by Nguyễn Hà Luân, MD, Specialist Level I (BS.CKI), Outpatient Examination Department</w:t>
      </w:r>
    </w:p>
    <w:p>
      <w:pPr>
        <w:spacing w:before="0" w:after="160" w:lineRule="auto" w:line="360"/>
        <w:jc w:val="both"/>
      </w:pPr>
      <w:r>
        <w:rPr>
          <w:rFonts w:ascii="Times New Roman" w:hAnsi="Times New Roman" w:eastAsia="Times New Roman" w:cs="Times New Roman"/>
          <w:b w:val="0"/>
          <w:i w:val="0"/>
          <w:sz w:val="26"/>
        </w:rPr>
        <w:t>C1a, Military Hospital 175.</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Step 1: read this information and confirm that you agree to take part (using the consent procedure approved by the Ethics Committee for anonymous surveys)</w:t>
      </w:r>
    </w:p>
    <w:p>
      <w:pPr>
        <w:spacing w:before="0" w:after="160" w:lineRule="auto" w:line="360"/>
        <w:jc w:val="both"/>
      </w:pPr>
      <w:r>
        <w:rPr>
          <w:rFonts w:ascii="Times New Roman" w:hAnsi="Times New Roman" w:eastAsia="Times New Roman" w:cs="Times New Roman"/>
          <w:b w:val="0"/>
          <w:i w:val="0"/>
          <w:sz w:val="26"/>
        </w:rPr>
        <w:t>□ Step 2: complete the questionnaire yourself (~15–20 minutes), ONCE only</w:t>
      </w:r>
    </w:p>
    <w:p>
      <w:pPr>
        <w:spacing w:before="0" w:after="160" w:lineRule="auto" w:line="360"/>
        <w:jc w:val="both"/>
      </w:pPr>
      <w:r>
        <w:rPr>
          <w:rFonts w:ascii="Times New Roman" w:hAnsi="Times New Roman" w:eastAsia="Times New Roman" w:cs="Times New Roman"/>
          <w:b w:val="0"/>
          <w:i w:val="0"/>
          <w:sz w:val="26"/>
        </w:rPr>
        <w:t>Estimated time commitment: ~15–20 minutes on ONE occasion only (no follow-up); no additional visits, as it is done during your routine clinic visit</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Direct benefit: no direct medical benefit; your views help improve the quality of outpatient services, and NO medical intervention or procedure is added beyond routine examination and care. Community benefit: local data on the proportions of satisfaction and related factors, at low cost. We do NOT guarantee any personal benefit from participation.</w:t>
      </w:r>
    </w:p>
    <w:p>
      <w:pPr>
        <w:spacing w:before="0" w:after="160" w:lineRule="auto" w:line="360"/>
        <w:jc w:val="both"/>
      </w:pPr>
      <w:r>
        <w:rPr>
          <w:rFonts w:ascii="Times New Roman" w:hAnsi="Times New Roman" w:eastAsia="Times New Roman" w:cs="Times New Roman"/>
          <w:b w:val="0"/>
          <w:i w:val="0"/>
          <w:sz w:val="26"/>
        </w:rPr>
        <w:t>4b. FUNDING AND CONFLICTS OF INTEREST</w:t>
      </w:r>
    </w:p>
    <w:p>
      <w:pPr>
        <w:spacing w:before="0" w:after="160" w:lineRule="auto" w:line="360"/>
        <w:jc w:val="both"/>
      </w:pPr>
      <w:r>
        <w:rPr>
          <w:rFonts w:ascii="Times New Roman" w:hAnsi="Times New Roman" w:eastAsia="Times New Roman" w:cs="Times New Roman"/>
          <w:b w:val="0"/>
          <w:i w:val="0"/>
          <w:sz w:val="26"/>
        </w:rPr>
        <w:t>This study has no external funding (self-funded; costs are borne by the principal investigator).</w:t>
      </w:r>
    </w:p>
    <w:p>
      <w:pPr>
        <w:spacing w:before="0" w:after="160" w:lineRule="auto" w:line="360"/>
        <w:jc w:val="both"/>
      </w:pPr>
      <w:r>
        <w:rPr>
          <w:rFonts w:ascii="Times New Roman" w:hAnsi="Times New Roman" w:eastAsia="Times New Roman" w:cs="Times New Roman"/>
          <w:b w:val="0"/>
          <w:i w:val="0"/>
          <w:sz w:val="26"/>
        </w:rPr>
        <w:t>The research team has no conflicts of interest related to the study topic (consistent with the COI</w:t>
      </w:r>
    </w:p>
    <w:p>
      <w:pPr>
        <w:spacing w:before="0" w:after="160" w:lineRule="auto" w:line="360"/>
        <w:jc w:val="both"/>
      </w:pPr>
      <w:r>
        <w:rPr>
          <w:rFonts w:ascii="Times New Roman" w:hAnsi="Times New Roman" w:eastAsia="Times New Roman" w:cs="Times New Roman"/>
          <w:b w:val="0"/>
          <w:i w:val="0"/>
          <w:sz w:val="26"/>
        </w:rPr>
        <w:t>declaration in Document 8).</w:t>
      </w:r>
    </w:p>
    <w:p>
      <w:pPr>
        <w:spacing w:before="0" w:after="160" w:lineRule="auto" w:line="360"/>
        <w:jc w:val="both"/>
      </w:pPr>
      <w:r>
        <w:rPr>
          <w:rFonts w:ascii="Times New Roman" w:hAnsi="Times New Roman" w:eastAsia="Times New Roman" w:cs="Times New Roman"/>
          <w:b w:val="0"/>
          <w:i w:val="0"/>
          <w:sz w:val="26"/>
        </w:rPr>
        <w:t>4c. PAYMENT OR SUPPORT FOR PARTICIPATION</w:t>
      </w:r>
    </w:p>
    <w:p>
      <w:pPr>
        <w:spacing w:before="0" w:after="160" w:lineRule="auto" w:line="360"/>
        <w:jc w:val="both"/>
      </w:pPr>
      <w:r>
        <w:rPr>
          <w:rFonts w:ascii="Times New Roman" w:hAnsi="Times New Roman" w:eastAsia="Times New Roman" w:cs="Times New Roman"/>
          <w:b w:val="0"/>
          <w:i w:val="0"/>
          <w:sz w:val="26"/>
        </w:rPr>
        <w:t>■ No payment or support other than routine medical care.</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spacing w:before="0" w:after="160" w:lineRule="auto" w:line="360"/>
        <w:jc w:val="both"/>
      </w:pPr>
      <w:r>
        <w:rPr>
          <w:rFonts w:ascii="Times New Roman" w:hAnsi="Times New Roman" w:eastAsia="Times New Roman" w:cs="Times New Roman"/>
          <w:b w:val="0"/>
          <w:i w:val="0"/>
          <w:sz w:val="26"/>
        </w:rPr>
        <w:t>Your waiting time will be taken from the hospital information system (HIS) via the STUDY CODE on your</w:t>
      </w:r>
    </w:p>
    <w:p>
      <w:pPr>
        <w:spacing w:before="0" w:after="160" w:lineRule="auto" w:line="360"/>
        <w:jc w:val="both"/>
      </w:pPr>
      <w:r>
        <w:rPr>
          <w:rFonts w:ascii="Times New Roman" w:hAnsi="Times New Roman" w:eastAsia="Times New Roman" w:cs="Times New Roman"/>
          <w:b w:val="0"/>
          <w:i w:val="0"/>
          <w:sz w:val="26"/>
        </w:rPr>
        <w:t>questionnaire: authorised staff of the IT/Quality Management department match it and pass only the study code</w:t>
      </w:r>
    </w:p>
    <w:p>
      <w:pPr>
        <w:spacing w:before="0" w:after="160" w:lineRule="auto" w:line="360"/>
        <w:jc w:val="both"/>
      </w:pPr>
      <w:r>
        <w:rPr>
          <w:rFonts w:ascii="Times New Roman" w:hAnsi="Times New Roman" w:eastAsia="Times New Roman" w:cs="Times New Roman"/>
          <w:b w:val="0"/>
          <w:i w:val="0"/>
          <w:sz w:val="26"/>
        </w:rPr>
        <w:t>and the number of minutes to the research team, which never receives your identity; the matching table is kept</w:t>
      </w:r>
    </w:p>
    <w:p>
      <w:pPr>
        <w:spacing w:before="0" w:after="160" w:lineRule="auto" w:line="360"/>
        <w:jc w:val="both"/>
      </w:pPr>
      <w:r>
        <w:rPr>
          <w:rFonts w:ascii="Times New Roman" w:hAnsi="Times New Roman" w:eastAsia="Times New Roman" w:cs="Times New Roman"/>
          <w:b w:val="0"/>
          <w:i w:val="0"/>
          <w:sz w:val="26"/>
        </w:rPr>
        <w:t>by IT/Quality Management and destroyed within 30 days.</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spacing w:before="0" w:after="160" w:lineRule="auto" w:line="360"/>
        <w:jc w:val="both"/>
      </w:pPr>
      <w:r>
        <w:rPr>
          <w:rFonts w:ascii="Times New Roman" w:hAnsi="Times New Roman" w:eastAsia="Times New Roman" w:cs="Times New Roman"/>
          <w:b w:val="0"/>
          <w:i w:val="0"/>
          <w:sz w:val="26"/>
        </w:rPr>
        <w:t>6c. COMPENSATION FOR INJURY</w:t>
      </w:r>
    </w:p>
    <w:p>
      <w:pPr>
        <w:spacing w:before="0" w:after="160" w:lineRule="auto" w:line="360"/>
        <w:jc w:val="both"/>
      </w:pPr>
      <w:r>
        <w:rPr>
          <w:rFonts w:ascii="Times New Roman" w:hAnsi="Times New Roman" w:eastAsia="Times New Roman" w:cs="Times New Roman"/>
          <w:b w:val="0"/>
          <w:i w:val="0"/>
          <w:sz w:val="26"/>
        </w:rPr>
        <w:t>This is a minimal-risk observational study; it involves no procedures or interventions beyond</w:t>
      </w:r>
    </w:p>
    <w:p>
      <w:pPr>
        <w:spacing w:before="0" w:after="160" w:lineRule="auto" w:line="360"/>
        <w:jc w:val="both"/>
      </w:pPr>
      <w:r>
        <w:rPr>
          <w:rFonts w:ascii="Times New Roman" w:hAnsi="Times New Roman" w:eastAsia="Times New Roman" w:cs="Times New Roman"/>
          <w:b w:val="0"/>
          <w:i w:val="0"/>
          <w:sz w:val="26"/>
        </w:rPr>
        <w:t>routine clinical practice. If harm directly related to study participation occurs, Military Hospital 175</w:t>
      </w:r>
    </w:p>
    <w:p>
      <w:pPr>
        <w:spacing w:before="0" w:after="160" w:lineRule="auto" w:line="360"/>
        <w:jc w:val="both"/>
      </w:pPr>
      <w:r>
        <w:rPr>
          <w:rFonts w:ascii="Times New Roman" w:hAnsi="Times New Roman" w:eastAsia="Times New Roman" w:cs="Times New Roman"/>
          <w:b w:val="0"/>
          <w:i w:val="0"/>
          <w:sz w:val="26"/>
        </w:rPr>
        <w:t>will manage it under its routine clinical care procedures; the study has no separate insurance.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Nguyễn Hà Luân | Phone/Email: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Ethics Committee: Medical Ethics Committee of Military Hospital 175 (Hội đồng Y đức Bệnh viện Quân y 175)</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Kết quả khảo sát (phiếu tự điền, KHÔNG ghi thông tin định danh) — không dùng hồ sơ bệnh án</w:t>
      </w:r>
    </w:p>
    <w:p>
      <w:pPr>
        <w:spacing w:before="0" w:after="160" w:lineRule="auto" w:line="360"/>
        <w:jc w:val="both"/>
      </w:pPr>
      <w:r>
        <w:rPr>
          <w:rFonts w:ascii="Times New Roman" w:hAnsi="Times New Roman" w:eastAsia="Times New Roman" w:cs="Times New Roman"/>
          <w:b w:val="0"/>
          <w:i w:val="0"/>
          <w:sz w:val="26"/>
        </w:rPr>
        <w:t>■ Mốc thời gian hành chính từ HIS/eHospital (hoàn tất đăng ký, gọi vào buồng khám) ghép theo mã nghiên cứu —</w:t>
      </w:r>
    </w:p>
    <w:p>
      <w:pPr>
        <w:spacing w:before="0" w:after="160" w:lineRule="auto" w:line="360"/>
        <w:jc w:val="both"/>
      </w:pPr>
      <w:r>
        <w:rPr>
          <w:rFonts w:ascii="Times New Roman" w:hAnsi="Times New Roman" w:eastAsia="Times New Roman" w:cs="Times New Roman"/>
          <w:b w:val="0"/>
          <w:i w:val="0"/>
          <w:sz w:val="26"/>
        </w:rPr>
        <w:t>nhóm nghiên cứu chỉ nhận mã nghiên cứu + số phút chờ (đề cương §4.6.3)</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Phiếu giấy (nặc danh, tự điền tại khoa)</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GIẢ DANH HÓA CÓ KIỂM SOÁT — phiếu KHÔNG có ô định danh, chỉ mang mã nghiên cứu; phiếu</w:t>
      </w:r>
    </w:p>
    <w:p>
      <w:pPr>
        <w:spacing w:before="0" w:after="160" w:lineRule="auto" w:line="360"/>
        <w:jc w:val="both"/>
      </w:pPr>
      <w:r>
        <w:rPr>
          <w:rFonts w:ascii="Times New Roman" w:hAnsi="Times New Roman" w:eastAsia="Times New Roman" w:cs="Times New Roman"/>
          <w:b w:val="0"/>
          <w:i w:val="0"/>
          <w:sz w:val="26"/>
        </w:rPr>
        <w:t>đồng ý (ICF) ký tên lưu tách biệt vật lý, không ghép với phiếu (đề cương §4.11)</w:t>
      </w:r>
    </w:p>
    <w:p>
      <w:pPr>
        <w:spacing w:before="0" w:after="160" w:lineRule="auto" w:line="360"/>
        <w:jc w:val="both"/>
      </w:pPr>
      <w:r>
        <w:rPr>
          <w:rFonts w:ascii="Times New Roman" w:hAnsi="Times New Roman" w:eastAsia="Times New Roman" w:cs="Times New Roman"/>
          <w:b w:val="0"/>
          <w:i w:val="0"/>
          <w:sz w:val="26"/>
        </w:rPr>
        <w:t xml:space="preserve">Ghép HIS: nhân sự được uỷ quyền của Phòng CNTT/QLCL trích hai mốc thời gian và giữ bảng ghép mã nghiên cứu - </w:t>
      </w:r>
    </w:p>
    <w:p>
      <w:pPr>
        <w:spacing w:before="0" w:after="160" w:lineRule="auto" w:line="360"/>
        <w:jc w:val="both"/>
      </w:pPr>
      <w:r>
        <w:rPr>
          <w:rFonts w:ascii="Times New Roman" w:hAnsi="Times New Roman" w:eastAsia="Times New Roman" w:cs="Times New Roman"/>
          <w:b w:val="0"/>
          <w:i w:val="0"/>
          <w:sz w:val="26"/>
        </w:rPr>
        <w:t>lượt khám; nhóm nghiên cứu chỉ nhận mã nghiên cứu + số phút chờ; bảng ghép huỷ trong 30 ngày, có nhật ký huỷ</w:t>
      </w:r>
    </w:p>
    <w:p>
      <w:pPr>
        <w:spacing w:before="0" w:after="160" w:lineRule="auto" w:line="360"/>
        <w:jc w:val="both"/>
      </w:pPr>
      <w:r>
        <w:rPr>
          <w:rFonts w:ascii="Times New Roman" w:hAnsi="Times New Roman" w:eastAsia="Times New Roman" w:cs="Times New Roman"/>
          <w:b w:val="0"/>
          <w:i w:val="0"/>
          <w:sz w:val="26"/>
        </w:rPr>
        <w:t>(đề cương §4.6.3, §4.11, §6.5)</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ổ đĩa mã hóa AES-256 tại Khoa Khám bệnh C1a, Bệnh viện Quân y 175;</w:t>
      </w:r>
    </w:p>
    <w:p>
      <w:pPr>
        <w:spacing w:before="0" w:after="160" w:lineRule="auto" w:line="360"/>
        <w:jc w:val="both"/>
      </w:pPr>
      <w:r>
        <w:rPr>
          <w:rFonts w:ascii="Times New Roman" w:hAnsi="Times New Roman" w:eastAsia="Times New Roman" w:cs="Times New Roman"/>
          <w:b w:val="0"/>
          <w:i w:val="0"/>
          <w:sz w:val="26"/>
        </w:rPr>
        <w:t>chỉ nhóm nghiên cứu được truy cập</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Sao lưu: hằng tuần, 2 bản độc lập</w:t>
      </w:r>
    </w:p>
    <w:p>
      <w:pPr>
        <w:spacing w:before="0" w:after="160" w:lineRule="auto" w:line="360"/>
        <w:jc w:val="both"/>
      </w:pPr>
      <w:r>
        <w:rPr>
          <w:rFonts w:ascii="Times New Roman" w:hAnsi="Times New Roman" w:eastAsia="Times New Roman" w:cs="Times New Roman"/>
          <w:b w:val="0"/>
          <w:i w:val="0"/>
          <w:sz w:val="26"/>
        </w:rPr>
        <w:t>Thời gian lưu: 2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Không chia sẻ</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Mở hoàn toàn sau ẩn danh hóa</w:t>
      </w:r>
    </w:p>
    <w:p>
      <w:pPr>
        <w:spacing w:before="0" w:after="160" w:lineRule="auto" w:line="360"/>
        <w:jc w:val="both"/>
      </w:pPr>
      <w:r>
        <w:rPr>
          <w:rFonts w:ascii="Times New Roman" w:hAnsi="Times New Roman" w:eastAsia="Times New Roman" w:cs="Times New Roman"/>
          <w:b w:val="0"/>
          <w:i w:val="0"/>
          <w:sz w:val="26"/>
        </w:rPr>
        <w:t>Lựa chọn của chủ nhiệm (03/10/2026): chia sẻ có kiểm soát theo yêu cầu — bộ dữ</w:t>
      </w:r>
    </w:p>
    <w:p>
      <w:pPr>
        <w:spacing w:before="0" w:after="160" w:lineRule="auto" w:line="360"/>
        <w:jc w:val="both"/>
      </w:pPr>
      <w:r>
        <w:rPr>
          <w:rFonts w:ascii="Times New Roman" w:hAnsi="Times New Roman" w:eastAsia="Times New Roman" w:cs="Times New Roman"/>
          <w:b w:val="0"/>
          <w:i w:val="0"/>
          <w:sz w:val="26"/>
        </w:rPr>
        <w:t>liệu đã khử định danh kèm từ điển biến, sau khi công bố, cho mục đích nghiên</w:t>
      </w:r>
    </w:p>
    <w:p>
      <w:pPr>
        <w:spacing w:before="0" w:after="160" w:lineRule="auto" w:line="360"/>
        <w:jc w:val="both"/>
      </w:pPr>
      <w:r>
        <w:rPr>
          <w:rFonts w:ascii="Times New Roman" w:hAnsi="Times New Roman" w:eastAsia="Times New Roman" w:cs="Times New Roman"/>
          <w:b w:val="0"/>
          <w:i w:val="0"/>
          <w:sz w:val="26"/>
        </w:rPr>
        <w:t>cứu hợp lý, ký thoả thuận sử dụng dữ liệu (DTA) trước.</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Quy trình: theo qui định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12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SỐ BẢN NỘP: 02</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Tên chủ nhiệm: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 | 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Tài trợ chính: Không có tài trợ bên ngoài —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Tài trợ bổ sung: Không có</w:t>
      </w:r>
    </w:p>
    <w:p>
      <w:pPr>
        <w:spacing w:before="0" w:after="160" w:lineRule="auto" w:line="360"/>
        <w:jc w:val="both"/>
      </w:pPr>
      <w:r>
        <w:rPr>
          <w:rFonts w:ascii="Times New Roman" w:hAnsi="Times New Roman" w:eastAsia="Times New Roman" w:cs="Times New Roman"/>
          <w:b w:val="0"/>
          <w:i w:val="0"/>
          <w:sz w:val="26"/>
        </w:rPr>
        <w:t>Số hợp đồng (nếu có): Không áp dụng</w:t>
      </w:r>
    </w:p>
    <w:p>
      <w:pPr>
        <w:spacing w:before="0" w:after="160" w:lineRule="auto" w:line="360"/>
        <w:jc w:val="both"/>
      </w:pPr>
      <w:r>
        <w:rPr>
          <w:rFonts w:ascii="Times New Roman" w:hAnsi="Times New Roman" w:eastAsia="Times New Roman" w:cs="Times New Roman"/>
          <w:b w:val="0"/>
          <w:i w:val="0"/>
          <w:sz w:val="26"/>
        </w:rPr>
        <w:t>D. VAI TRÒ NHÀ TÀI TRỢ: Không áp dụng — không có nhà tài trợ bên ngoài.</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Người kiểm tra đầu ra: Nguyễn Hà Luân (chủ nhiệm đề tài)</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 KHÔNG NỘP</w:t>
      </w:r>
    </w:p>
    <w:p>
      <w:pPr>
        <w:spacing w:before="120" w:after="200" w:lineRule="auto" w:line="312"/>
        <w:jc w:val="both"/>
        <w:ind w:left="567" w:right="567"/>
      </w:pPr>
      <w:r>
        <w:rPr>
          <w:rFonts w:ascii="Times New Roman" w:hAnsi="Times New Roman" w:eastAsia="Times New Roman" w:cs="Times New Roman"/>
          <w:b w:val="0"/>
          <w:i/>
          <w:sz w:val="22"/>
        </w:rPr>
        <w:t>Bác sĩ/chủ nhiệm quyết 03/10/2026: KHÔNG xin miễn ICF — dùng Bản thông tin &amp; Đồng thuận ICF ký tên riêng theo đề cương</w:t>
      </w:r>
    </w:p>
    <w:p>
      <w:pPr>
        <w:spacing w:before="120" w:after="200" w:lineRule="auto" w:line="312"/>
        <w:jc w:val="both"/>
        <w:ind w:left="567" w:right="567"/>
      </w:pPr>
      <w:r>
        <w:rPr>
          <w:rFonts w:ascii="Times New Roman" w:hAnsi="Times New Roman" w:eastAsia="Times New Roman" w:cs="Times New Roman"/>
          <w:b w:val="0"/>
          <w:i/>
          <w:sz w:val="22"/>
        </w:rPr>
        <w:t>(Phụ lục B); khảo sát có điều tra viên tiếp xúc người tham gia nên ICF bắt buộc (TT43/2024/TT-BYT · Helsinki §25–26).</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OSF Registries (https://osf.io/registries)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 xml:space="preserve">hệ thống không tra được hai nguồn đầu vì không có API mở. WHO ICTRP: PI đã tự tra 2026-10-11, không thấy nghiên cứu trùng (ghi ở G0); PROSPERO: không áp dụng (không phải tổng quan hệ thống); đăng ký trong nước: </w:t>
      </w:r>
      <w:r>
        <w:rPr>
          <w:rFonts w:ascii="Times New Roman" w:hAnsi="Times New Roman" w:eastAsia="Times New Roman" w:cs="Times New Roman"/>
          <w:b/>
          <w:i/>
          <w:color w:val="CC7700"/>
          <w:sz w:val="22"/>
        </w:rPr>
        <w:t>[CẦN BÁC SĨ TỰ TRA]</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trên OSF Registries: mã/URL đăng ký dạng osf.io/xxxxx]</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val="0"/>
          <w:i w:val="0"/>
          <w:sz w:val="26"/>
        </w:rPr>
        <w:t>None — self-funded by the principal investigator (no external funding)</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Bệnh viện Quân y 175 (Military Hospital 175), TP. Hồ Chí Minh</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Ethics committee: Hội đồng Đạo đức Nghiên cứu Y sinh — Hội đồng Y đức Bệnh viện Quân y 175</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Plan to share de-identified IPD: Yes — controlled access on reasonable request</w:t>
      </w:r>
    </w:p>
    <w:p>
      <w:pPr>
        <w:spacing w:before="0" w:after="160" w:lineRule="auto" w:line="360"/>
        <w:jc w:val="both"/>
      </w:pPr>
      <w:r>
        <w:rPr>
          <w:rFonts w:ascii="Times New Roman" w:hAnsi="Times New Roman" w:eastAsia="Times New Roman" w:cs="Times New Roman"/>
          <w:b w:val="0"/>
          <w:i w:val="0"/>
          <w:sz w:val="26"/>
        </w:rPr>
        <w:t>What/when/how/with whom/purpose: de-identified dataset with data dictionary; after publication; via the</w:t>
      </w:r>
    </w:p>
    <w:p>
      <w:pPr>
        <w:spacing w:before="0" w:after="160" w:lineRule="auto" w:line="360"/>
        <w:jc w:val="both"/>
      </w:pPr>
      <w:r>
        <w:rPr>
          <w:rFonts w:ascii="Times New Roman" w:hAnsi="Times New Roman" w:eastAsia="Times New Roman" w:cs="Times New Roman"/>
          <w:b w:val="0"/>
          <w:i w:val="0"/>
          <w:sz w:val="26"/>
        </w:rPr>
        <w:t>principal investigator under a signed data-use agreement; for researchers with a reasonable research purpose</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i/>
          <w:color w:val="CC770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OSF Registries (https://osf.io/registries)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