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Bệnh viện Quân y 175</w:t>
      </w:r>
    </w:p>
    <w:p>
      <w:pPr>
        <w:spacing w:before="0" w:after="120" w:lineRule="auto" w:line="312"/>
        <w:jc w:val="center"/>
      </w:pPr>
      <w:r>
        <w:rPr>
          <w:rFonts w:ascii="Times New Roman" w:hAnsi="Times New Roman" w:eastAsia="Times New Roman" w:cs="Times New Roman"/>
          <w:b/>
          <w:i w:val="0"/>
          <w:sz w:val="28"/>
        </w:rPr>
        <w:t>Trung tâm Khám bệnh và Điều trị theo yêu cầu C1</w:t>
      </w:r>
    </w:p>
    <w:p>
      <w:pPr>
        <w:spacing w:before="0" w:after="120" w:lineRule="auto" w:line="312"/>
        <w:jc w:val="center"/>
      </w:pPr>
      <w:r>
        <w:rPr>
          <w:rFonts w:ascii="Times New Roman" w:hAnsi="Times New Roman" w:eastAsia="Times New Roman" w:cs="Times New Roman"/>
          <w:b/>
          <w:i w:val="0"/>
          <w:sz w:val="28"/>
        </w:rPr>
        <w:t>Khoa Khám bệnh C1a</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Nhóm nghiên cứu:</w:t>
      </w:r>
      <w:r>
        <w:rPr>
          <w:rFonts w:ascii="Times New Roman" w:hAnsi="Times New Roman" w:eastAsia="Times New Roman" w:cs="Times New Roman"/>
          <w:b/>
          <w:i w:val="0"/>
          <w:sz w:val="26"/>
        </w:rPr>
        <w:t xml:space="preserve"> Bác sĩ Chuyên khoa I (BS.CKI) Nguyễn Hà Luân (chủ nhiệm đề tài)</w:t>
      </w:r>
    </w:p>
    <w:p/>
    <w:p/>
    <w:p/>
    <w:p>
      <w:pPr>
        <w:spacing w:before="0" w:after="120" w:lineRule="auto" w:line="312"/>
        <w:jc w:val="center"/>
      </w:pPr>
      <w:r>
        <w:rPr>
          <w:rFonts w:ascii="Times New Roman" w:hAnsi="Times New Roman" w:eastAsia="Times New Roman" w:cs="Times New Roman"/>
          <w:b w:val="0"/>
          <w:i w:val="0"/>
          <w:sz w:val="26"/>
        </w:rPr>
        <w:t>Bệnh viện Quân y 175 – 2026</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GÓI ETHICS_SUBMISSION (trước dữ liệu):</w:t>
      </w:r>
      <w:r>
        <w:rPr>
          <w:rFonts w:ascii="Times New Roman" w:hAnsi="Times New Roman" w:eastAsia="Times New Roman" w:cs="Times New Roman"/>
          <w:b w:val="0"/>
          <w:i/>
          <w:sz w:val="22"/>
        </w:rPr>
        <w:t xml:space="preserve"> A12 đạt tại thời điểm lắp ráp; G10 chỉ đòi G0–G4. Trạng thái khoá phải xác minh bằng G10_QUALITY_REPORT.json/approval_ledger — tệp này không phải bằng chứng đã khoá, đã nộp hay đã được Hội đồng/cơ quan đăng ký chấp nhận.</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2026-10-17 17:07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NGUYỄN HÀ LUÂN (khối phát hành 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 17:07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KHOÁ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808).</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H0: Ở người bệnh ngoại trú Khoa C1a, sau hiệu chỉnh các biến gây nhiễu đã khoá theo DAG (SAP §5), thời gian chờ khám theo mốc HIS (mỗi 15 phút) không liên quan với mức hài lòng chung G1: OR chung = 1. H1: OR chung khác 1 (kiểm định hai phía, alpha = 0,05). (G0 — PI đã chốt)</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`SHLNBChung_TrucTiep`</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 chuyenkhoa.</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 </w:t>
      </w: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 (SAP §7).</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+1)m-1)×ICC, CV=1 — Eldridge 2006=1.78, m=20, ICC=0.02): n 385 đến 686 (~35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686</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(808).</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Trạng thái kiểm định: chưa có chỉ số độ tin cậy/giá trị tại thời điểm nộp Hội đồng — kiểm định trong pha phát triển công cụ nêu trên, trước thu thập chính.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kế hoạch: Kết quả khảo sát (phiếu tự điền, KHÔNG ghi thông tin định danh) — không dùng hồ sơ bệnh án; Mốc thời gian hành chính từ HIS/eHospital (hoàn tất đăng ký, gọi vào buồng khám) ghép theo mã nghiên cứu —; nhóm nghiên cứu chỉ nhận, kèm mã nghiên cứu: số phút chờ, mã bàn khám giả danh, ngày và khung giờ khám, có làm cận lâm sàng hay không và số quầy phải qua; cùng số liệu tổng hợp không định danh về người bệnh bỏ về trước khi vào buồng khám (số lượt, tỷ lệ, thời gian chờ trung vị) (đề cương §4.6.3); Công cụ thu thập: Phiếu giấy (nặc danh, tự điền tại khoa) (DMP §1–§2, hồ sơ G2 Tài liệu 6); nơi lưu trữ: Nơi lưu: ổ đĩa mã hóa AES-256 tại Khoa Khám bệnh C1a, Bệnh viện Quân y 175;; chỉ nhóm nghiên cứu được truy cập; Bảo mật: AES-256 · mật khẩu cấp người dùng · VPN (nếu từ xa); Sao lưu: hằng tuần, 2 bản độc lập; Thời gian lưu: 2 năm sau kết thúc nghiên cứu; (theo TT38/2018/TT-BYT về lưu trữ hồ sơ y tế) (DMP §4, hồ sơ G2 Tài liệu 6); phân quyền: Phân quyền truy cập: Chỉ nhóm nghiên cứu được cấp phép; Phê duyệt quyền: Chủ nhiệm đề tài (DMP §2); thời hạn lưu: 2 năm sau kết thúc nghiên cứu (PI nhập ở hồ sơ G2) (bản nháp ở G2 — TL6).</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 </w:t>
      </w: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 </w:t>
      </w: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 </w:t>
      </w: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 (SAP §2).</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 Biến phân loại: n (%) 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 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 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 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1,78); báo cả KTC Wilson giả định độc lập để thấy mức nới rộng do gom cụm Khi áp trọng số hậu phân tầng (§4), tỷ lệ và DE lấy từ thiết kế CÓ trọng số (R `survey`, đường Python không hỗ trợ trọng số) nên DE đã gồm cả hiệu ứng trọng số 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r>
        <w:rPr>
          <w:rFonts w:ascii="Times New Roman" w:hAnsi="Times New Roman" w:eastAsia="Times New Roman" w:cs="Times New Roman"/>
          <w:b w:val="0"/>
          <w:i w:val="0"/>
          <w:sz w:val="26"/>
        </w:rPr>
        <w:t xml:space="preserve"> (SAP §3).</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Complete-case (chính) vs MICE cho biến nền/phơi nhiễm Hồi quy tuyến tính trên G1 coi liên tục, sai số chuẩn robust HC3 — song song mô hình chính, không chi phối kết luận Partial proportional odds/generalized ordered logit nếu vi phạm proportional odds Kết cục nhị phân G1 ≥ 4/5 (logistic) song song; logistic thường vs Firth (Firth CHỈ khi separation VÀ đủ thông tin để ước lượng ổn định) Có/không điểm ảnh hưởng; mô hình đầy đủ vs rút gọn khi số tham số eo hẹp </w:t>
      </w: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 Mô hình thứ tự hệ số chặn ngẫu nhiên theo `ma_ban_kham` (đối chiếu sai số chuẩn chùm) Có/không trọng số hậu phân tầng (quy tắc §4): Mục tiêu 1 — bản không phải phân tích chính chạy song song; Mục tiêu 2 — mô hình CÓ trọng số `svyolr` khi quy tắc kích hoạt 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 Phi tuyến exposure: restricted cubic spline 3 nút / phân tích theo phân vị thời gian chờ Quy tắc gộp mức G1 khi lệch trần (mức &lt; 20 quan sát, gộp 1 đến 2 đến 3, mức 5 không gộp, không dưới 3 mức; bảng 5 mức gốc vẫn in đủ) (SAP §9).</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 (SAP §8).</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 </w:t>
      </w: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 </w:t>
      </w: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 (SAP §10).</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khung luồng: được mời/sàng lọc đến đủ tiêu chuẩn đến đồng ý tham gia đến có dữ liệu hợp lệ đến đưa vào phân tích, kèm số và lý do từ chối/loại ở từng bước</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 (OSF Registries (https://osf.io/registries) (PI đã chốt — gate_params.G2.registration_registry)).</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Nguy cơ tối thiểu; rủi ro tiềm tàng, biện pháp giảm thiểu và xử lý theo Bảng rủi ro–lợi ích (Tài liệu 3 hồ sơ G2) — chủ nhiệm đã rà và xác nhận.</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mục PMID (G0/G7/chủ nhiệm khai) — metadata Vancouver lấy từ PubMed qua cổng A12 (`check_citation_metadata.py`, `check_citation_retraction.py`), đã kiểm rút bài:</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psychology open. 2021.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Dibba Y, Boima F, Jerome JG, Watson SI, Chery L. Patient satisfaction and its associated factors in selected primary healthcare facilities in Kono District, Sierra Leone: a cross-sectional study. BMJ open. 2025. doi:10.1136/bmjopen-2024-093501. PMID: 40295132.</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Hospital topics. 2023.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Dang KT, Quang NA, Nguyen MH, Huynh NB, Nguyen NT. Outpatient satisfaction assessed using a nationally standardized questionnaire: a survey of five health care facilities in Vietnam. Frontiers in health services. 2026.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Hwang J, Vu GT, Tran BX, Nguyen THT, Nguyen BV. Measuring satisfaction with health care services for Vietnamese patients with cardiovascular diseases. PloS one. 2020.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Tran BX, Dang AK, Vu GT, Tran TT, Latkin CA. Patient satisfaction with HIV services in Vietnam: Status, service models and association with treatment outcome. PloS one. 2019.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Duc Thanh N, My Anh BT, Xiem CH, Quynh Anh P, Tien PH. Patient Satisfaction With Healthcare Service Quality and Its Associated Factors at One Polyclinic in Hanoi, Vietnam. International journal of public health. 2022.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F1000Research. 2017. doi:10.12688/f1000research.11045.3. PMID: 28690831.</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G1 — mức hài lòng chung, hỏi trực tiếp (biến SHLNBChung_TrucTiep, Phần 3 phiếu); phơi nhiễm/yếu tố chính: `thoigian_cho` (phút; nguồn ưu tiên mốc HIS/eHospital theo mục 4.6.3; nguồn dự phòng tự báo cáo phân tích TÁCH BẠCH, không trộn chung một biến) (SAP §5)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(69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