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GIAO THỨC NGHIÊN CỨU</w:t>
      </w:r>
    </w:p>
    <w:p>
      <w:pPr>
        <w:spacing w:before="280" w:after="160" w:lineRule="auto" w:line="312"/>
      </w:pPr>
      <w:r>
        <w:rPr>
          <w:rFonts w:ascii="Times New Roman" w:hAnsi="Times New Roman" w:eastAsia="Times New Roman" w:cs="Times New Roman"/>
          <w:b/>
          <w:i w:val="0"/>
          <w:sz w:val="28"/>
        </w:rPr>
        <w:t>Đánh giá sự hài lòng của người bệnh trong hoạt động khám chữa bệnh tại một khoa khám theo yêu cầu của bệnh viện quân y tuyến cuối: giao thức nghiên cứu cắt ngang có phân tích</w:t>
      </w:r>
    </w:p>
    <w:p>
      <w:pPr>
        <w:spacing w:before="0" w:after="160" w:lineRule="auto" w:line="360"/>
        <w:jc w:val="both"/>
      </w:pPr>
      <w:r>
        <w:rPr>
          <w:rFonts w:ascii="Times New Roman" w:hAnsi="Times New Roman" w:eastAsia="Times New Roman" w:cs="Times New Roman"/>
          <w:b/>
          <w:i w:val="0"/>
          <w:sz w:val="26"/>
        </w:rPr>
        <w:t>Tác giả:</w:t>
      </w:r>
      <w:r>
        <w:rPr>
          <w:rFonts w:ascii="Times New Roman" w:hAnsi="Times New Roman" w:eastAsia="Times New Roman" w:cs="Times New Roman"/>
          <w:b w:val="0"/>
          <w:i w:val="0"/>
          <w:sz w:val="26"/>
        </w:rPr>
        <w:t xml:space="preserve"> Nguyễn Hà Luân</w:t>
      </w:r>
    </w:p>
    <w:p>
      <w:pPr>
        <w:spacing w:before="0" w:after="160" w:lineRule="auto" w:line="360"/>
        <w:jc w:val="both"/>
      </w:pPr>
      <w:r>
        <w:rPr>
          <w:rFonts w:ascii="Times New Roman" w:hAnsi="Times New Roman" w:eastAsia="Times New Roman" w:cs="Times New Roman"/>
          <w:b/>
          <w:i w:val="0"/>
          <w:sz w:val="26"/>
        </w:rPr>
        <w:t>Đơn vị:</w:t>
      </w:r>
      <w:r>
        <w:rPr>
          <w:rFonts w:ascii="Times New Roman" w:hAnsi="Times New Roman" w:eastAsia="Times New Roman" w:cs="Times New Roman"/>
          <w:b w:val="0"/>
          <w:i w:val="0"/>
          <w:sz w:val="26"/>
        </w:rPr>
        <w:t xml:space="preserve"> Khoa Khám bệnh C1a, Trung tâm Khám bệnh và Điều trị theo yêu cầu C1, Bệnh viện Quân y 175, Thành phố Hồ Chí Minh</w:t>
      </w:r>
    </w:p>
    <w:p>
      <w:pPr>
        <w:spacing w:before="0" w:after="160" w:lineRule="auto" w:line="360"/>
        <w:jc w:val="both"/>
      </w:pPr>
      <w:r>
        <w:rPr>
          <w:rFonts w:ascii="Times New Roman" w:hAnsi="Times New Roman" w:eastAsia="Times New Roman" w:cs="Times New Roman"/>
          <w:b/>
          <w:i w:val="0"/>
          <w:sz w:val="26"/>
        </w:rPr>
        <w:t>Loại bài:</w:t>
      </w:r>
      <w:r>
        <w:rPr>
          <w:rFonts w:ascii="Times New Roman" w:hAnsi="Times New Roman" w:eastAsia="Times New Roman" w:cs="Times New Roman"/>
          <w:b w:val="0"/>
          <w:i w:val="0"/>
          <w:sz w:val="26"/>
        </w:rPr>
        <w:t xml:space="preserve"> Giao thức nghiên cứu (study protocol). Bài viết trình bày thiết kế và kế hoạch phân tích đã định trước; nghiên cứu </w:t>
      </w:r>
      <w:r>
        <w:rPr>
          <w:rFonts w:ascii="Times New Roman" w:hAnsi="Times New Roman" w:eastAsia="Times New Roman" w:cs="Times New Roman"/>
          <w:b/>
          <w:i w:val="0"/>
          <w:sz w:val="26"/>
        </w:rPr>
        <w:t>chưa thu thập số liệu</w:t>
      </w:r>
      <w:r>
        <w:rPr>
          <w:rFonts w:ascii="Times New Roman" w:hAnsi="Times New Roman" w:eastAsia="Times New Roman" w:cs="Times New Roman"/>
          <w:b w:val="0"/>
          <w:i w:val="0"/>
          <w:sz w:val="26"/>
        </w:rPr>
        <w:t>, do đó bài không chứa bất kỳ kết quả nào.</w:t>
      </w:r>
    </w:p>
    <w:p>
      <w:pPr>
        <w:spacing w:before="0" w:after="160" w:lineRule="auto" w:line="360"/>
        <w:jc w:val="both"/>
      </w:pPr>
      <w:r>
        <w:rPr>
          <w:rFonts w:ascii="Times New Roman" w:hAnsi="Times New Roman" w:eastAsia="Times New Roman" w:cs="Times New Roman"/>
          <w:b/>
          <w:i w:val="0"/>
          <w:sz w:val="26"/>
        </w:rPr>
        <w:t>Trạng thái hồ sơ:</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[BẢN THẢO]</w:t>
      </w:r>
      <w:r>
        <w:rPr>
          <w:rFonts w:ascii="Times New Roman" w:hAnsi="Times New Roman" w:eastAsia="Times New Roman" w:cs="Times New Roman"/>
          <w:b w:val="0"/>
          <w:i w:val="0"/>
          <w:sz w:val="26"/>
        </w:rPr>
        <w:t xml:space="preserve"> Đề cương đang chờ Hội đồng Y đức Bệnh viện Quân y 175 phê duyệt. Việc thu thập số liệu chỉ bắt đầu sau khi có phê duyệt và sau khi hoàn tất đăng ký nghiên cứu công khai.</w:t>
      </w:r>
    </w:p>
    <w:p>
      <w:pPr>
        <w:spacing w:before="0" w:after="160" w:lineRule="auto" w:line="360"/>
        <w:jc w:val="both"/>
      </w:pPr>
      <w:r>
        <w:rPr>
          <w:rFonts w:ascii="Times New Roman" w:hAnsi="Times New Roman" w:eastAsia="Times New Roman" w:cs="Times New Roman"/>
          <w:b/>
          <w:i w:val="0"/>
          <w:sz w:val="26"/>
        </w:rPr>
        <w:t>Chuẩn báo cáo áp dụng:</w:t>
      </w:r>
      <w:r>
        <w:rPr>
          <w:rFonts w:ascii="Times New Roman" w:hAnsi="Times New Roman" w:eastAsia="Times New Roman" w:cs="Times New Roman"/>
          <w:b w:val="0"/>
          <w:i w:val="0"/>
          <w:sz w:val="26"/>
        </w:rPr>
        <w:t xml:space="preserve"> STROBE (nghiên cứu cắt ngang) và CROSS (nghiên cứu khảo sát).</w:t>
      </w:r>
    </w:p>
    <w:p>
      <w:r>
        <w:br w:type="page"/>
      </w:r>
    </w:p>
    <w:p>
      <w:pPr>
        <w:spacing w:before="0" w:after="320" w:lineRule="auto" w:line="312"/>
        <w:jc w:val="center"/>
      </w:pPr>
      <w:r>
        <w:rPr>
          <w:rFonts w:ascii="Times New Roman" w:hAnsi="Times New Roman" w:eastAsia="Times New Roman" w:cs="Times New Roman"/>
          <w:b/>
          <w:i w:val="0"/>
          <w:sz w:val="32"/>
        </w:rPr>
        <w:t>TÓM TẮT</w:t>
      </w:r>
    </w:p>
    <w:p>
      <w:pPr>
        <w:spacing w:before="0" w:after="160" w:lineRule="auto" w:line="360"/>
        <w:jc w:val="both"/>
      </w:pPr>
      <w:r>
        <w:rPr>
          <w:rFonts w:ascii="Times New Roman" w:hAnsi="Times New Roman" w:eastAsia="Times New Roman" w:cs="Times New Roman"/>
          <w:b/>
          <w:i w:val="0"/>
          <w:sz w:val="26"/>
        </w:rPr>
        <w:t>Đặt vấn đề.</w:t>
      </w:r>
      <w:r>
        <w:rPr>
          <w:rFonts w:ascii="Times New Roman" w:hAnsi="Times New Roman" w:eastAsia="Times New Roman" w:cs="Times New Roman"/>
          <w:b w:val="0"/>
          <w:i w:val="0"/>
          <w:sz w:val="26"/>
        </w:rPr>
        <w:t xml:space="preserve"> Sự hài lòng của người bệnh là chỉ số cốt lõi trong quản lý chất lượng bệnh viện và là yêu cầu thường quy với mọi cơ sở khám chữa bệnh tại Việt Nam. Khối khám ngoại trú theo yêu cầu là mô hình đặc thù: người bệnh chi trả cao hơn để đổi lấy kỳ vọng cao hơn về chất lượng phục vụ và thời gian chờ. Y văn trong nước ghi nhận một nghịch lý đáng chú ý là nhóm sử dụng dịch vụ theo yêu cầu đôi khi lại hài lòng thấp hơn, có thể do kỳ vọng cao hơn. Tuy vậy chưa có nghiên cứu công bố nào khảo sát riêng mức độ hài lòng tại một khoa khám theo yêu cầu trong bệnh viện quân y tuyến cuối.</w:t>
      </w:r>
    </w:p>
    <w:p>
      <w:pPr>
        <w:spacing w:before="0" w:after="160" w:lineRule="auto" w:line="360"/>
        <w:jc w:val="both"/>
      </w:pPr>
      <w:r>
        <w:rPr>
          <w:rFonts w:ascii="Times New Roman" w:hAnsi="Times New Roman" w:eastAsia="Times New Roman" w:cs="Times New Roman"/>
          <w:b/>
          <w:i w:val="0"/>
          <w:sz w:val="26"/>
        </w:rPr>
        <w:t>Mục tiêu.</w:t>
      </w:r>
      <w:r>
        <w:rPr>
          <w:rFonts w:ascii="Times New Roman" w:hAnsi="Times New Roman" w:eastAsia="Times New Roman" w:cs="Times New Roman"/>
          <w:b w:val="0"/>
          <w:i w:val="0"/>
          <w:sz w:val="26"/>
        </w:rPr>
        <w:t xml:space="preserve"> (1) Xác định mức độ hài lòng của người bệnh trong hoạt động khám chữa bệnh tại Khoa Khám bệnh C1a, Trung tâm Khám bệnh và Điều trị theo yêu cầu C1, Bệnh viện Quân y 175. (2) Đánh giá một số yếu tố liên quan đến mức độ hài lòng đó.</w:t>
      </w:r>
    </w:p>
    <w:p>
      <w:pPr>
        <w:spacing w:before="0" w:after="160" w:lineRule="auto" w:line="360"/>
        <w:jc w:val="both"/>
      </w:pPr>
      <w:r>
        <w:rPr>
          <w:rFonts w:ascii="Times New Roman" w:hAnsi="Times New Roman" w:eastAsia="Times New Roman" w:cs="Times New Roman"/>
          <w:b/>
          <w:i w:val="0"/>
          <w:sz w:val="26"/>
        </w:rPr>
        <w:t>Đối tượng và phương pháp.</w:t>
      </w:r>
      <w:r>
        <w:rPr>
          <w:rFonts w:ascii="Times New Roman" w:hAnsi="Times New Roman" w:eastAsia="Times New Roman" w:cs="Times New Roman"/>
          <w:b w:val="0"/>
          <w:i w:val="0"/>
          <w:sz w:val="26"/>
        </w:rPr>
        <w:t xml:space="preserve"> Nghiên cứu mô tả cắt ngang có phân tích trên 1000 người bệnh ngoại trú từ đủ 18 tuổi, đã cơ bản hoàn thành quy trình khám tại Khoa C1a và đồng ý tham gia. Chọn mẫu hệ thống phân tầng theo ngày trong tuần và khung giờ khám. Công cụ là bộ câu hỏi tự xây dựng gồm 30 mục thuộc sáu lĩnh vực và một mục hài lòng chung hỏi trực tiếp, thang Likert 5 mức; bộ câu hỏi trải qua pha phát triển đầy đủ (bảng truy xuất nguồn gốc mục, hội đồng chuyên gia tính chỉ số giá trị nội dung, phỏng vấn nhận thức, nghiên cứu thử) trước khi dùng cho mẫu chính. Kết cục chính là mục hài lòng chung, giữ nguyên thang thứ hạng và phân tích bằng hồi quy logistic thứ tự đa biến. Phơi nhiễm trung tâm là thời gian chờ khám đo theo mốc hệ thống thông tin bệnh viện.</w:t>
      </w:r>
    </w:p>
    <w:p>
      <w:pPr>
        <w:spacing w:before="0" w:after="160" w:lineRule="auto" w:line="360"/>
        <w:jc w:val="both"/>
      </w:pPr>
      <w:r>
        <w:rPr>
          <w:rFonts w:ascii="Times New Roman" w:hAnsi="Times New Roman" w:eastAsia="Times New Roman" w:cs="Times New Roman"/>
          <w:b/>
          <w:i w:val="0"/>
          <w:sz w:val="26"/>
        </w:rPr>
        <w:t>Kết quả dự kiến.</w:t>
      </w:r>
      <w:r>
        <w:rPr>
          <w:rFonts w:ascii="Times New Roman" w:hAnsi="Times New Roman" w:eastAsia="Times New Roman" w:cs="Times New Roman"/>
          <w:b w:val="0"/>
          <w:i w:val="0"/>
          <w:sz w:val="26"/>
        </w:rPr>
        <w:t xml:space="preserve"> Nghiên cứu sẽ ước lượng tỷ lệ hài lòng chung và theo từng lĩnh vực kèm khoảng tin cậy 95%, đồng thời xác định các yếu tố liên quan bằng mô hình đa biến. Vì là thiết kế cắt ngang, kết quả chỉ cho phép kết luận về mối liên quan chứ không suy diễn nhân quả.</w:t>
      </w:r>
    </w:p>
    <w:p>
      <w:pPr>
        <w:spacing w:before="0" w:after="160" w:lineRule="auto" w:line="360"/>
        <w:jc w:val="both"/>
      </w:pP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t xml:space="preserve"> Giao thức này cung cấp dữ liệu nền tại chỗ cho một bối cảnh còn thiếu bằng chứng, đồng thời đóng góp một bộ công cụ được phát triển riêng cho khối khám theo yêu cầu, nơi khung phiếu chung của Bộ Y tế không tách riêng khía cạnh chi phí dịch vụ.</w:t>
      </w:r>
    </w:p>
    <w:p>
      <w:pPr>
        <w:spacing w:before="0" w:after="160" w:lineRule="auto" w:line="360"/>
        <w:jc w:val="both"/>
      </w:pPr>
      <w:r>
        <w:rPr>
          <w:rFonts w:ascii="Times New Roman" w:hAnsi="Times New Roman" w:eastAsia="Times New Roman" w:cs="Times New Roman"/>
          <w:b/>
          <w:i w:val="0"/>
          <w:sz w:val="26"/>
        </w:rPr>
        <w:t>Từ khóa:</w:t>
      </w:r>
      <w:r>
        <w:rPr>
          <w:rFonts w:ascii="Times New Roman" w:hAnsi="Times New Roman" w:eastAsia="Times New Roman" w:cs="Times New Roman"/>
          <w:b w:val="0"/>
          <w:i w:val="0"/>
          <w:sz w:val="26"/>
        </w:rPr>
        <w:t xml:space="preserve"> hài lòng người bệnh; khám theo yêu cầu; ngoại trú; nghiên cứu cắt ngang; thời gian chờ; bệnh viện quân y.</w:t>
      </w:r>
    </w:p>
    <w:p>
      <w:r>
        <w:br w:type="page"/>
      </w:r>
    </w:p>
    <w:p>
      <w:pPr>
        <w:spacing w:before="0" w:after="320" w:lineRule="auto" w:line="312"/>
        <w:jc w:val="center"/>
      </w:pPr>
      <w:r>
        <w:rPr>
          <w:rFonts w:ascii="Times New Roman" w:hAnsi="Times New Roman" w:eastAsia="Times New Roman" w:cs="Times New Roman"/>
          <w:b/>
          <w:i w:val="0"/>
          <w:sz w:val="32"/>
        </w:rPr>
        <w:t>1. ĐẶT VẤN ĐỀ</w:t>
      </w:r>
    </w:p>
    <w:p>
      <w:pPr>
        <w:spacing w:before="0" w:after="160" w:lineRule="auto" w:line="360"/>
        <w:jc w:val="both"/>
      </w:pPr>
      <w:r>
        <w:rPr>
          <w:rFonts w:ascii="Times New Roman" w:hAnsi="Times New Roman" w:eastAsia="Times New Roman" w:cs="Times New Roman"/>
          <w:b w:val="0"/>
          <w:i w:val="0"/>
          <w:sz w:val="26"/>
        </w:rPr>
        <w:t>Sự hài lòng của người bệnh phản ánh mức độ trải nghiệm dịch vụ y tế đáp ứng được kỳ vọng, và là một cấu phần bắt buộc trong khung quản lý chất lượng bệnh viện tại Việt Nam. Đây là thước đo do người bệnh tự báo cáo, bao quát nhiều chiều của chất lượng dịch vụ: khả năng tiếp cận, sự minh bạch thông tin và thủ tục, cơ sở vật chất, thái độ ứng xử cùng năng lực chuyên môn của nhân viên y tế, và kết quả cung cấp dịch vụ. Trong thực hành quản lý, chỉ số này vừa được theo dõi thường quy, vừa là căn cứ xác định điểm cần cải tiến.</w:t>
      </w:r>
    </w:p>
    <w:p>
      <w:pPr>
        <w:spacing w:before="0" w:after="160" w:lineRule="auto" w:line="360"/>
        <w:jc w:val="both"/>
      </w:pPr>
      <w:r>
        <w:rPr>
          <w:rFonts w:ascii="Times New Roman" w:hAnsi="Times New Roman" w:eastAsia="Times New Roman" w:cs="Times New Roman"/>
          <w:b w:val="0"/>
          <w:i w:val="0"/>
          <w:sz w:val="26"/>
        </w:rPr>
        <w:t>Khối khám chữa bệnh ngoại trú theo yêu cầu là một mô hình đặc thù trong hệ thống bệnh viện. Người bệnh chủ động chi trả cao hơn để đổi lấy kỳ vọng cao hơn về chất lượng phục vụ, thời gian chờ và tiện nghi. Sự phát triển của mô hình này gắn với một chuyển dịch rộng hơn: phân tích tám đợt Khảo sát mức sống hộ gia đình Việt Nam giai đoạn 2006–2020 cho thấy người bệnh có bảo hiểm ở nông thôn ngày càng ít dùng trạm y tế xã mà chuyển sang bệnh viện công tuyến cao và cơ sở tư nhân, với mức chuyển dịch rõ rệt hơn ở nhóm kinh tế khá giả.</w:t>
      </w:r>
      <w:r>
        <w:rPr>
          <w:rFonts w:ascii="Times New Roman" w:hAnsi="Times New Roman" w:eastAsia="Times New Roman" w:cs="Times New Roman"/>
          <w:b w:val="0"/>
          <w:i w:val="0"/>
          <w:sz w:val="26"/>
        </w:rPr>
        <w:t>[1]</w:t>
      </w:r>
      <w:r>
        <w:rPr>
          <w:rFonts w:ascii="Times New Roman" w:hAnsi="Times New Roman" w:eastAsia="Times New Roman" w:cs="Times New Roman"/>
          <w:b w:val="0"/>
          <w:i w:val="0"/>
          <w:sz w:val="26"/>
        </w:rPr>
        <w:t xml:space="preserve"> Khi người bệnh chủ động chọn nơi khám và chi trả nhiều hơn, kỳ vọng của họ về dịch vụ cũng thay đổi theo.</w:t>
      </w:r>
    </w:p>
    <w:p>
      <w:pPr>
        <w:spacing w:before="0" w:after="160" w:lineRule="auto" w:line="360"/>
        <w:jc w:val="both"/>
      </w:pPr>
      <w:r>
        <w:rPr>
          <w:rFonts w:ascii="Times New Roman" w:hAnsi="Times New Roman" w:eastAsia="Times New Roman" w:cs="Times New Roman"/>
          <w:b w:val="0"/>
          <w:i w:val="0"/>
          <w:sz w:val="26"/>
        </w:rPr>
        <w:t>Nhiều nghiên cứu trong nước đã khảo sát sự hài lòng của người bệnh ngoại trú. Một khảo sát đa cơ sở tại Hà Nội ghi nhận nhóm sử dụng dịch vụ theo yêu cầu, nhóm ngoại trú và nhóm người bệnh ở tỉnh khác có mức hài lòng thấp hơn.</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Nghiên cứu trên hệ thống chăm sóc ban đầu toàn quốc cho thấy tỷ lệ hài lòng nhìn chung cao, khoảng 85% ở trạm y tế và 73% ở bệnh viện huyện, đồng thời thời gian chờ dài đi kèm mức hài lòng thấp hơn.</w:t>
      </w:r>
      <w:r>
        <w:rPr>
          <w:rFonts w:ascii="Times New Roman" w:hAnsi="Times New Roman" w:eastAsia="Times New Roman" w:cs="Times New Roman"/>
          <w:b w:val="0"/>
          <w:i w:val="0"/>
          <w:sz w:val="26"/>
        </w:rPr>
        <w:t>[3]</w:t>
      </w:r>
      <w:r>
        <w:rPr>
          <w:rFonts w:ascii="Times New Roman" w:hAnsi="Times New Roman" w:eastAsia="Times New Roman" w:cs="Times New Roman"/>
          <w:b w:val="0"/>
          <w:i w:val="0"/>
          <w:sz w:val="26"/>
        </w:rPr>
        <w:t xml:space="preserve"> Các nghiên cứu về cấp phát thuốc bảo hiểm y tế ngoại trú và về phòng khám ngoại trú tiếp tục xác nhận thủ tục hành chính cùng thời gian chờ là miền có điểm thấp nhất.</w:t>
      </w:r>
      <w:r>
        <w:rPr>
          <w:rFonts w:ascii="Times New Roman" w:hAnsi="Times New Roman" w:eastAsia="Times New Roman" w:cs="Times New Roman"/>
          <w:b w:val="0"/>
          <w:i w:val="0"/>
          <w:sz w:val="26"/>
        </w:rPr>
        <w:t>[4]</w:t>
      </w:r>
      <w:r>
        <w:rPr>
          <w:rFonts w:ascii="Times New Roman" w:hAnsi="Times New Roman" w:eastAsia="Times New Roman" w:cs="Times New Roman"/>
          <w:b w:val="0"/>
          <w:i w:val="0"/>
          <w:sz w:val="26"/>
        </w:rPr>
        <w:t>[5]</w:t>
      </w:r>
      <w:r>
        <w:rPr>
          <w:rFonts w:ascii="Times New Roman" w:hAnsi="Times New Roman" w:eastAsia="Times New Roman" w:cs="Times New Roman"/>
          <w:b w:val="0"/>
          <w:i w:val="0"/>
          <w:sz w:val="26"/>
        </w:rPr>
        <w:t xml:space="preserve"> Mẫu hình lặp lại của y văn trong nước khá rõ: người bệnh ngoại trú thường hài lòng thấp hơn nội trú, và các điểm đau xoay quanh thời gian chờ, thủ tục hành chính, thông tin, cơ sở vật chất và chi phí.</w:t>
      </w:r>
    </w:p>
    <w:p>
      <w:pPr>
        <w:spacing w:before="0" w:after="160" w:lineRule="auto" w:line="360"/>
        <w:jc w:val="both"/>
      </w:pPr>
      <w:r>
        <w:rPr>
          <w:rFonts w:ascii="Times New Roman" w:hAnsi="Times New Roman" w:eastAsia="Times New Roman" w:cs="Times New Roman"/>
          <w:b w:val="0"/>
          <w:i w:val="0"/>
          <w:sz w:val="26"/>
        </w:rPr>
        <w:t>Một số bằng chứng còn gợi ý nghịch lý đáng lưu tâm: nhóm sử dụng dịch vụ theo yêu cầu đôi khi lại có mức hài lòng thấp hơn, có thể vì kỳ vọng đặt ra cao hơn.</w:t>
      </w:r>
      <w:r>
        <w:rPr>
          <w:rFonts w:ascii="Times New Roman" w:hAnsi="Times New Roman" w:eastAsia="Times New Roman" w:cs="Times New Roman"/>
          <w:b w:val="0"/>
          <w:i w:val="0"/>
          <w:sz w:val="26"/>
        </w:rPr>
        <w:t>[2]</w:t>
      </w:r>
      <w:r>
        <w:rPr>
          <w:rFonts w:ascii="Times New Roman" w:hAnsi="Times New Roman" w:eastAsia="Times New Roman" w:cs="Times New Roman"/>
          <w:b w:val="0"/>
          <w:i w:val="0"/>
          <w:sz w:val="26"/>
        </w:rPr>
        <w:t xml:space="preserve"> Nghịch lý này khiến việc đo lường tại chính khối dịch vụ trở nên có ý nghĩa thực tiễn, thay vì suy ra từ dữ liệu của khối khám thông thường.</w:t>
      </w:r>
    </w:p>
    <w:p>
      <w:pPr>
        <w:spacing w:before="0" w:after="160" w:lineRule="auto" w:line="360"/>
        <w:jc w:val="both"/>
      </w:pPr>
      <w:r>
        <w:rPr>
          <w:rFonts w:ascii="Times New Roman" w:hAnsi="Times New Roman" w:eastAsia="Times New Roman" w:cs="Times New Roman"/>
          <w:b w:val="0"/>
          <w:i w:val="0"/>
          <w:sz w:val="26"/>
        </w:rPr>
        <w:t>Khoảng trống hiện tại nằm ở hai điểm. Thứ nhất là khoảng trống cấp cơ sở: chưa tìm thấy nghiên cứu công bố, được kiểm chứng, khảo sát riêng mức độ hài lòng và các yếu tố liên quan tại một khoa khám theo yêu cầu trong bệnh viện quân y tuyến cuối, nơi giao thoa giữa khối dịch vụ và vị trí tuyến cuối tại đô thị lớn. Thứ hai là khoảng trống về công cụ: các bộ mẫu phiếu do Bộ Y tế ban hành hướng đến quần thể ngoại trú nói chung, không có lĩnh vực riêng cho chi phí dịch vụ theo yêu cầu.</w:t>
      </w:r>
    </w:p>
    <w:p>
      <w:pPr>
        <w:spacing w:before="0" w:after="160" w:lineRule="auto" w:line="360"/>
        <w:jc w:val="both"/>
      </w:pPr>
      <w:r>
        <w:rPr>
          <w:rFonts w:ascii="Times New Roman" w:hAnsi="Times New Roman" w:eastAsia="Times New Roman" w:cs="Times New Roman"/>
          <w:b w:val="0"/>
          <w:i w:val="0"/>
          <w:sz w:val="26"/>
        </w:rPr>
        <w:t>Xuất phát từ nhu cầu có dữ liệu nền tại chỗ để cải tiến chất lượng, chúng tôi xây dựng giao thức nghiên cứu này với hai mục tiêu:</w:t>
      </w:r>
    </w:p>
    <w:p>
      <w:pPr>
        <w:pStyle w:val="ListNumber"/>
        <w:spacing w:before="0" w:after="120" w:lineRule="auto" w:line="360"/>
        <w:jc w:val="both"/>
      </w:pPr>
      <w:r>
        <w:rPr>
          <w:rFonts w:ascii="Times New Roman" w:hAnsi="Times New Roman" w:eastAsia="Times New Roman" w:cs="Times New Roman"/>
          <w:b w:val="0"/>
          <w:i w:val="0"/>
          <w:sz w:val="26"/>
        </w:rPr>
        <w:t>Xác định mức độ hài lòng của người bệnh trong hoạt động khám chữa bệnh tại Khoa Khám bệnh C1a, Trung tâm Khám bệnh và Điều trị theo yêu cầu C1, Bệnh viện Quân y 175.</w:t>
      </w:r>
    </w:p>
    <w:p>
      <w:pPr>
        <w:pStyle w:val="ListNumber"/>
        <w:spacing w:before="0" w:after="120" w:lineRule="auto" w:line="360"/>
        <w:jc w:val="both"/>
      </w:pPr>
      <w:r>
        <w:rPr>
          <w:rFonts w:ascii="Times New Roman" w:hAnsi="Times New Roman" w:eastAsia="Times New Roman" w:cs="Times New Roman"/>
          <w:b w:val="0"/>
          <w:i w:val="0"/>
          <w:sz w:val="26"/>
        </w:rPr>
        <w:t>Đánh giá một số yếu tố liên quan đến mức độ hài lòng của người bệnh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Do là nghiên cứu quan sát cắt ngang, Mục tiêu 2 chỉ nhằm xác định các mối liên quan, không cho phép suy diễn quan hệ nhân quả.</w:t>
      </w:r>
    </w:p>
    <w:p>
      <w:r>
        <w:br w:type="page"/>
      </w:r>
    </w:p>
    <w:p>
      <w:pPr>
        <w:spacing w:before="0" w:after="320" w:lineRule="auto" w:line="312"/>
        <w:jc w:val="center"/>
      </w:pPr>
      <w:r>
        <w:rPr>
          <w:rFonts w:ascii="Times New Roman" w:hAnsi="Times New Roman" w:eastAsia="Times New Roman" w:cs="Times New Roman"/>
          <w:b/>
          <w:i w:val="0"/>
          <w:sz w:val="32"/>
        </w:rPr>
        <w:t>2. ĐỐI TƯỢNG VÀ PHƯƠNG PHÁP NGHIÊN CỨU</w:t>
      </w:r>
    </w:p>
    <w:p>
      <w:pPr>
        <w:spacing w:before="280" w:after="160" w:lineRule="auto" w:line="312"/>
      </w:pPr>
      <w:r>
        <w:rPr>
          <w:rFonts w:ascii="Times New Roman" w:hAnsi="Times New Roman" w:eastAsia="Times New Roman" w:cs="Times New Roman"/>
          <w:b/>
          <w:i w:val="0"/>
          <w:sz w:val="28"/>
        </w:rPr>
        <w:t>2.1. Thiết kế</w:t>
      </w:r>
    </w:p>
    <w:p>
      <w:pPr>
        <w:spacing w:before="0" w:after="160" w:lineRule="auto" w:line="360"/>
        <w:jc w:val="both"/>
      </w:pPr>
      <w:r>
        <w:rPr>
          <w:rFonts w:ascii="Times New Roman" w:hAnsi="Times New Roman" w:eastAsia="Times New Roman" w:cs="Times New Roman"/>
          <w:b w:val="0"/>
          <w:i w:val="0"/>
          <w:sz w:val="26"/>
        </w:rPr>
        <w:t>Nghiên cứu mô tả cắt ngang có phân tích. Báo cáo theo chuẩn STROBE phiên bản cắt ngang, đồng thời áp dụng chuẩn CROSS cho phần đặc thù của một khảo sát.</w:t>
      </w:r>
      <w:r>
        <w:rPr>
          <w:rFonts w:ascii="Times New Roman" w:hAnsi="Times New Roman" w:eastAsia="Times New Roman" w:cs="Times New Roman"/>
          <w:b w:val="0"/>
          <w:i w:val="0"/>
          <w:sz w:val="26"/>
        </w:rPr>
        <w:t>[6]</w:t>
      </w:r>
      <w:r>
        <w:rPr>
          <w:rFonts w:ascii="Times New Roman" w:hAnsi="Times New Roman" w:eastAsia="Times New Roman" w:cs="Times New Roman"/>
          <w:b w:val="0"/>
          <w:i w:val="0"/>
          <w:sz w:val="26"/>
        </w:rPr>
        <w:t xml:space="preserve"> Hai chuẩn bổ sung cho nhau: STROBE bao quát phần dịch tễ học quan sát, còn CROSS bao quát quá trình phát triển bộ câu hỏi, phương thức phát phiếu, tỷ lệ đáp ứng và cách xử lý câu trả lời thiếu ở mức từng mục.</w:t>
      </w:r>
    </w:p>
    <w:p>
      <w:pPr>
        <w:spacing w:before="0" w:after="160" w:lineRule="auto" w:line="360"/>
        <w:jc w:val="both"/>
      </w:pPr>
      <w:r>
        <w:rPr>
          <w:rFonts w:ascii="Times New Roman" w:hAnsi="Times New Roman" w:eastAsia="Times New Roman" w:cs="Times New Roman"/>
          <w:b w:val="0"/>
          <w:i w:val="0"/>
          <w:sz w:val="26"/>
        </w:rPr>
        <w:t>Thiết kế cắt ngang phù hợp với cả hai mục tiêu. Với Mục tiêu 1, đây là thiết kế chuẩn để ước lượng tỷ lệ hiện mắc của một trạng thái trong quần thể. Với Mục tiêu 2, thiết kế cho phép đo đồng thời phơi nhiễm và kết cục để ước lượng mối liên quan. Vì phơi nhiễm và kết cục đo cùng thời điểm, nghiên cứu không xác lập được trình tự thời gian.</w:t>
      </w:r>
    </w:p>
    <w:p>
      <w:pPr>
        <w:spacing w:before="0" w:after="160" w:lineRule="auto" w:line="360"/>
        <w:jc w:val="both"/>
      </w:pPr>
      <w:r>
        <w:rPr>
          <w:rFonts w:ascii="Times New Roman" w:hAnsi="Times New Roman" w:eastAsia="Times New Roman" w:cs="Times New Roman"/>
          <w:b w:val="0"/>
          <w:i w:val="0"/>
          <w:sz w:val="26"/>
        </w:rPr>
        <w:t>Chúng tôi đã cân nhắc và loại các thiết kế thay thế. Đoàn hệ tiến cứu vượt nhu cầu của câu hỏi hiện tại và không khả thi về nguồn lực trong phạm vi một khoa. Thiết kế bệnh chứng không phù hợp cho câu hỏi ước lượng tỷ lệ. Cấu phần định tính có thể bổ trợ nhưng không thay được cắt ngang, và không bắt buộc trong đề tài này.</w:t>
      </w:r>
    </w:p>
    <w:p>
      <w:pPr>
        <w:spacing w:before="280" w:after="160" w:lineRule="auto" w:line="312"/>
      </w:pPr>
      <w:r>
        <w:rPr>
          <w:rFonts w:ascii="Times New Roman" w:hAnsi="Times New Roman" w:eastAsia="Times New Roman" w:cs="Times New Roman"/>
          <w:b/>
          <w:i w:val="0"/>
          <w:sz w:val="28"/>
        </w:rPr>
        <w:t>2.2. Địa điểm và thời gian</w:t>
      </w:r>
    </w:p>
    <w:p>
      <w:pPr>
        <w:spacing w:before="0" w:after="160" w:lineRule="auto" w:line="360"/>
        <w:jc w:val="both"/>
      </w:pPr>
      <w:r>
        <w:rPr>
          <w:rFonts w:ascii="Times New Roman" w:hAnsi="Times New Roman" w:eastAsia="Times New Roman" w:cs="Times New Roman"/>
          <w:b w:val="0"/>
          <w:i w:val="0"/>
          <w:sz w:val="26"/>
        </w:rPr>
        <w:t>Nghiên cứu thực hiện tại Khoa Khám bệnh C1a, Trung tâm Khám bệnh và Điều trị theo yêu cầu C1, Bệnh viện Quân y 175, Thành phố Hồ Chí Minh. Khung thời gian thu thập là một giai đoạn liên tục đủ dài để phủ đều các khung giờ và các ngày trong tuần, tránh chỉ lấy giờ cao điểm hoặc thấp điểm. Độ dài cụ thể phụ thuộc lịch khoa và cỡ mẫu. Việc thu thập chỉ bắt đầu sau khi được Hội đồng Y đức và lãnh đạo Bệnh viện phê duyệt.</w:t>
      </w:r>
    </w:p>
    <w:p>
      <w:pPr>
        <w:spacing w:before="280" w:after="160" w:lineRule="auto" w:line="312"/>
      </w:pPr>
      <w:r>
        <w:rPr>
          <w:rFonts w:ascii="Times New Roman" w:hAnsi="Times New Roman" w:eastAsia="Times New Roman" w:cs="Times New Roman"/>
          <w:b/>
          <w:i w:val="0"/>
          <w:sz w:val="28"/>
        </w:rPr>
        <w:t>2.3. Đối tượng</w:t>
      </w:r>
    </w:p>
    <w:p>
      <w:pPr>
        <w:spacing w:before="0" w:after="160" w:lineRule="auto" w:line="360"/>
        <w:jc w:val="both"/>
      </w:pPr>
      <w:r>
        <w:rPr>
          <w:rFonts w:ascii="Times New Roman" w:hAnsi="Times New Roman" w:eastAsia="Times New Roman" w:cs="Times New Roman"/>
          <w:b w:val="0"/>
          <w:i w:val="0"/>
          <w:sz w:val="26"/>
        </w:rPr>
        <w:t>Tiêu chuẩn chọn vào gồm: người bệnh ngoại trú từ đủ 18 tuổi trở lên, kể cả phụ nữ mang thai; đủ sức khỏe, tỉnh táo và đủ năng lực nhận thức cùng ngôn ngữ để trả lời; đã cơ bản hoàn thành quy trình khám tại Khoa C1a, tức đang chờ thanh toán, nhận thuốc hoặc nhận lại thẻ bảo hiểm y tế, nhằm phản ánh trọn trải nghiệm lần khám; và đồng ý tham gia tự nguyện sau khi được giải thích.</w:t>
      </w:r>
    </w:p>
    <w:p>
      <w:pPr>
        <w:spacing w:before="0" w:after="160" w:lineRule="auto" w:line="360"/>
        <w:jc w:val="both"/>
      </w:pPr>
      <w:r>
        <w:rPr>
          <w:rFonts w:ascii="Times New Roman" w:hAnsi="Times New Roman" w:eastAsia="Times New Roman" w:cs="Times New Roman"/>
          <w:b w:val="0"/>
          <w:i w:val="0"/>
          <w:sz w:val="26"/>
        </w:rPr>
        <w:t>Tiêu chuẩn loại trừ gồm: từ chối tham gia; không đủ năng lực trả lời do tình trạng cấp cứu, suy giảm nhận thức hoặc rào cản ngôn ngữ không khắc phục được; nhân viên y tế của chính khoa hoặc bệnh viện đi khám, vì nguy cơ xung đột và thiên lệch đánh giá; đã tham gia ở lượt trước trong cùng kỳ; và phiếu khuyết dữ liệu vượt ngưỡng cho phép.</w:t>
      </w:r>
    </w:p>
    <w:p>
      <w:pPr>
        <w:spacing w:before="280" w:after="160" w:lineRule="auto" w:line="312"/>
      </w:pPr>
      <w:r>
        <w:rPr>
          <w:rFonts w:ascii="Times New Roman" w:hAnsi="Times New Roman" w:eastAsia="Times New Roman" w:cs="Times New Roman"/>
          <w:b/>
          <w:i w:val="0"/>
          <w:sz w:val="28"/>
        </w:rPr>
        <w:t>2.4. Cỡ mẫu và cách chọn mẫu</w:t>
      </w:r>
    </w:p>
    <w:p>
      <w:pPr>
        <w:spacing w:before="0" w:after="160" w:lineRule="auto" w:line="360"/>
        <w:jc w:val="both"/>
      </w:pPr>
      <w:r>
        <w:rPr>
          <w:rFonts w:ascii="Times New Roman" w:hAnsi="Times New Roman" w:eastAsia="Times New Roman" w:cs="Times New Roman"/>
          <w:b w:val="0"/>
          <w:i w:val="0"/>
          <w:sz w:val="26"/>
        </w:rPr>
        <w:t>Cỡ mẫu nghiên cứu là 1000, do Hội đồng ấn định. Con số này được biện minh như sau.</w:t>
      </w:r>
    </w:p>
    <w:p>
      <w:pPr>
        <w:spacing w:before="0" w:after="160" w:lineRule="auto" w:line="360"/>
        <w:jc w:val="both"/>
      </w:pPr>
      <w:r>
        <w:rPr>
          <w:rFonts w:ascii="Times New Roman" w:hAnsi="Times New Roman" w:eastAsia="Times New Roman" w:cs="Times New Roman"/>
          <w:b w:val="0"/>
          <w:i w:val="0"/>
          <w:sz w:val="26"/>
        </w:rPr>
        <w:t>Cỡ mẫu tối thiểu cho Mục tiêu 1 áp dụng công thức ước lượng một tỷ lệ theo độ chính xác của Lwanga và Lemeshow.</w:t>
      </w:r>
      <w:r>
        <w:rPr>
          <w:rFonts w:ascii="Times New Roman" w:hAnsi="Times New Roman" w:eastAsia="Times New Roman" w:cs="Times New Roman"/>
          <w:b w:val="0"/>
          <w:i w:val="0"/>
          <w:sz w:val="26"/>
        </w:rPr>
        <w:t>[7]</w:t>
      </w:r>
      <w:r>
        <w:rPr>
          <w:rFonts w:ascii="Times New Roman" w:hAnsi="Times New Roman" w:eastAsia="Times New Roman" w:cs="Times New Roman"/>
          <w:b w:val="0"/>
          <w:i w:val="0"/>
          <w:sz w:val="26"/>
        </w:rPr>
        <w:t xml:space="preserve"> Với mức ý nghĩa 0,05, tỷ lệ ước lượng p = 0,50 (giá trị làm phương sai đạt cực đại, do đó cho cỡ mẫu lớn nhất khi chưa biết tỷ lệ thật) và sai số cho phép d = 0,05, cỡ mẫu tối thiểu là 385. Dự phòng 15% cho phiếu không trả lời hoặc phiếu lỗi, cỡ mẫu cho riêng Mục tiêu 1 khoảng 453.</w:t>
      </w:r>
    </w:p>
    <w:p>
      <w:pPr>
        <w:spacing w:before="0" w:after="160" w:lineRule="auto" w:line="360"/>
        <w:jc w:val="both"/>
      </w:pPr>
      <w:r>
        <w:rPr>
          <w:rFonts w:ascii="Times New Roman" w:hAnsi="Times New Roman" w:eastAsia="Times New Roman" w:cs="Times New Roman"/>
          <w:b w:val="0"/>
          <w:i w:val="0"/>
          <w:sz w:val="26"/>
        </w:rPr>
        <w:t>Với Mục tiêu 2, kết cục phân tích chính là một biến thứ hạng năm mức, phân tích bằng hồi quy logistic thứ tự. Chưa có công thức đơn giản được đồng thuận rộng rãi cho cỡ mẫu của mô hình này. Chúng tôi áp dụng quy tắc mở rộng số biến cố trên mỗi tham số của hồi quy logistic nhị phân</w:t>
      </w:r>
      <w:r>
        <w:rPr>
          <w:rFonts w:ascii="Times New Roman" w:hAnsi="Times New Roman" w:eastAsia="Times New Roman" w:cs="Times New Roman"/>
          <w:b w:val="0"/>
          <w:i w:val="0"/>
          <w:sz w:val="26"/>
        </w:rPr>
        <w:t>[8]</w:t>
      </w:r>
      <w:r>
        <w:rPr>
          <w:rFonts w:ascii="Times New Roman" w:hAnsi="Times New Roman" w:eastAsia="Times New Roman" w:cs="Times New Roman"/>
          <w:b w:val="0"/>
          <w:i w:val="0"/>
          <w:sz w:val="26"/>
        </w:rPr>
        <w:t xml:space="preserve"> sang mô hình thứ tự theo hướng dẫn thực hành của Bender và Grouven.</w:t>
      </w:r>
      <w:r>
        <w:rPr>
          <w:rFonts w:ascii="Times New Roman" w:hAnsi="Times New Roman" w:eastAsia="Times New Roman" w:cs="Times New Roman"/>
          <w:b w:val="0"/>
          <w:i w:val="0"/>
          <w:sz w:val="26"/>
        </w:rPr>
        <w:t>[9]</w:t>
      </w:r>
      <w:r>
        <w:rPr>
          <w:rFonts w:ascii="Times New Roman" w:hAnsi="Times New Roman" w:eastAsia="Times New Roman" w:cs="Times New Roman"/>
          <w:b w:val="0"/>
          <w:i w:val="0"/>
          <w:sz w:val="26"/>
        </w:rPr>
        <w:t xml:space="preserve"> Ràng buộc chặt nhất rơi vào mức ít gặp nhất trong năm mức của kết cục, và cần được rà lại bằng dữ liệu mô tả thật ngay khi có.</w:t>
      </w:r>
    </w:p>
    <w:p>
      <w:pPr>
        <w:spacing w:before="0" w:after="160" w:lineRule="auto" w:line="360"/>
        <w:jc w:val="both"/>
      </w:pPr>
      <w:r>
        <w:rPr>
          <w:rFonts w:ascii="Times New Roman" w:hAnsi="Times New Roman" w:eastAsia="Times New Roman" w:cs="Times New Roman"/>
          <w:b w:val="0"/>
          <w:i w:val="0"/>
          <w:sz w:val="26"/>
        </w:rPr>
        <w:t>Ở cỡ mẫu 1000, nửa rộng khoảng tin cậy 95% của ước lượng tỷ lệ đạt khoảng ±3,1% khi p = 0,5, chặt hơn mức thường quy ±5%. Đây là lý do cỡ mẫu kế hoạch lớn hơn mức tối thiểu theo lý thuyết: nó tạo biên an toàn cho một kết cục thứ hạng có khả năng lệch phân bố.</w:t>
      </w:r>
    </w:p>
    <w:p>
      <w:pPr>
        <w:spacing w:before="0" w:after="160" w:lineRule="auto" w:line="360"/>
        <w:jc w:val="both"/>
      </w:pPr>
      <w:r>
        <w:rPr>
          <w:rFonts w:ascii="Times New Roman" w:hAnsi="Times New Roman" w:eastAsia="Times New Roman" w:cs="Times New Roman"/>
          <w:b w:val="0"/>
          <w:i w:val="0"/>
          <w:sz w:val="26"/>
        </w:rPr>
        <w:t>Chọn mẫu hệ thống phân tầng theo ngày trong tuần và khung giờ khám. Trong mỗi tầng, bước nhảy được tính bằng số người đủ điều kiện dự kiến chia cho số người cần mời. Một người chuyên trách theo dõi số thứ tự dòng người bệnh trong từng tầng và không kiêm nhiệm việc phát hay thu phiếu. Trước khi thu thập chính thức, nhóm nghiên cứu tổ chức một buổi chạy thử toàn bộ quy trình; buổi này đóng vai cổng quyết định tính khả thi chứ không chỉ là diễn tập. Nếu chạy thử cho thấy quy trình không khả thi, nghiên cứu dừng lại để sửa quy trình rồi chạy thử lại, thay vì đổi thiết kế lấy mẫu giữa chừng.</w:t>
      </w:r>
    </w:p>
    <w:p>
      <w:pPr>
        <w:spacing w:before="280" w:after="160" w:lineRule="auto" w:line="312"/>
      </w:pPr>
      <w:r>
        <w:rPr>
          <w:rFonts w:ascii="Times New Roman" w:hAnsi="Times New Roman" w:eastAsia="Times New Roman" w:cs="Times New Roman"/>
          <w:b/>
          <w:i w:val="0"/>
          <w:sz w:val="28"/>
        </w:rPr>
        <w:t>2.5. Công cụ đo lường</w:t>
      </w:r>
    </w:p>
    <w:p>
      <w:pPr>
        <w:spacing w:before="0" w:after="160" w:lineRule="auto" w:line="360"/>
        <w:jc w:val="both"/>
      </w:pPr>
      <w:r>
        <w:rPr>
          <w:rFonts w:ascii="Times New Roman" w:hAnsi="Times New Roman" w:eastAsia="Times New Roman" w:cs="Times New Roman"/>
          <w:b w:val="0"/>
          <w:i w:val="0"/>
          <w:sz w:val="26"/>
        </w:rPr>
        <w:t>Công cụ thu thập là bộ câu hỏi do nhóm nghiên cứu tự xây dựng cho đề tài này, không phải bản sao mẫu phiếu ngoại trú của Bộ Y tế. Phiếu gồm bốn phần: thông tin chung của người trả lời (14 mục), đánh giá mức độ hài lòng theo sáu lĩnh vực (30 mục, thang Likert 5 mức), một mục hài lòng chung hỏi trực tiếp, và một mục ý kiến mở.</w:t>
      </w:r>
    </w:p>
    <w:p>
      <w:pPr>
        <w:spacing w:before="0" w:after="160" w:lineRule="auto" w:line="360"/>
        <w:jc w:val="both"/>
      </w:pPr>
      <w:r>
        <w:rPr>
          <w:rFonts w:ascii="Times New Roman" w:hAnsi="Times New Roman" w:eastAsia="Times New Roman" w:cs="Times New Roman"/>
          <w:b w:val="0"/>
          <w:i w:val="0"/>
          <w:sz w:val="26"/>
        </w:rPr>
        <w:t>Sáu lĩnh vực gồm khả năng tiếp cận dịch vụ; cơ sở vật chất và phương tiện phục vụ; thái độ ứng xử và năng lực chuyên môn của nhân viên y tế; sự minh bạch thông tin và thủ tục; kết quả cung cấp dịch vụ; và chi phí dịch vụ. Năm lĩnh vực đầu tương thích về khái niệm với khung của Bộ Y tế; lĩnh vực chi phí là bổ sung riêng, phù hợp bối cảnh khối khám theo yêu cầu tự chi trả.</w:t>
      </w:r>
    </w:p>
    <w:p>
      <w:pPr>
        <w:spacing w:before="0" w:after="160" w:lineRule="auto" w:line="360"/>
        <w:jc w:val="both"/>
      </w:pPr>
      <w:r>
        <w:rPr>
          <w:rFonts w:ascii="Times New Roman" w:hAnsi="Times New Roman" w:eastAsia="Times New Roman" w:cs="Times New Roman"/>
          <w:b w:val="0"/>
          <w:i w:val="0"/>
          <w:sz w:val="26"/>
        </w:rPr>
        <w:t>Vì đây là bộ câu hỏi tự xây dựng, dùng lần đầu, nghiên cứu không lấy hệ số tin cậy nội tại trên mẫu chính làm bằng chứng giá trị nội dung duy nhất. Một pha phát triển và kiểm định công cụ được thực hiện trước khi thu thập mẫu chính, theo bốn bước bắt buộc: lập bảng truy xuất nguồn gốc cho từng mục; hội đồng chuyên gia gồm 5–7 người chấm mức liên quan từng mục để tính chỉ số giá trị nội dung ở cấp mục và cấp thang, với ngưỡng đạt theo Polit và Beck;</w:t>
      </w:r>
      <w:r>
        <w:rPr>
          <w:rFonts w:ascii="Times New Roman" w:hAnsi="Times New Roman" w:eastAsia="Times New Roman" w:cs="Times New Roman"/>
          <w:b w:val="0"/>
          <w:i w:val="0"/>
          <w:sz w:val="26"/>
        </w:rPr>
        <w:t>[10]</w:t>
      </w:r>
      <w:r>
        <w:rPr>
          <w:rFonts w:ascii="Times New Roman" w:hAnsi="Times New Roman" w:eastAsia="Times New Roman" w:cs="Times New Roman"/>
          <w:b w:val="0"/>
          <w:i w:val="0"/>
          <w:sz w:val="26"/>
        </w:rPr>
        <w:t xml:space="preserve"> phỏng vấn nhận thức 10–15 người bệnh để kiểm cách hiểu câu chữ; và nghiên cứu thử tại thực địa với khoảng 50–100 người. Chỉ sau khi hoàn tất bốn bước này, phiên bản cuối của công cụ mới được khóa.</w:t>
      </w:r>
    </w:p>
    <w:p>
      <w:pPr>
        <w:spacing w:before="0" w:after="160" w:lineRule="auto" w:line="360"/>
        <w:jc w:val="both"/>
      </w:pPr>
      <w:r>
        <w:rPr>
          <w:rFonts w:ascii="Times New Roman" w:hAnsi="Times New Roman" w:eastAsia="Times New Roman" w:cs="Times New Roman"/>
          <w:b w:val="0"/>
          <w:i w:val="0"/>
          <w:sz w:val="26"/>
        </w:rPr>
        <w:t>Ba mã dữ liệu thiếu được tách riêng thay vì gộp chung: không áp dụng hoặc không sử dụng dịch vụ; không biết hoặc không nhớ; và không trả lời. Việc tách giúp phân biệt trường hợp người bệnh không dùng dịch vụ với trường hợp từ chối trả lời, hai tình huống mang ý nghĩa khác hẳn nhau khi diễn giải.</w:t>
      </w:r>
    </w:p>
    <w:p>
      <w:pPr>
        <w:spacing w:before="280" w:after="160" w:lineRule="auto" w:line="312"/>
      </w:pPr>
      <w:r>
        <w:rPr>
          <w:rFonts w:ascii="Times New Roman" w:hAnsi="Times New Roman" w:eastAsia="Times New Roman" w:cs="Times New Roman"/>
          <w:b/>
          <w:i w:val="0"/>
          <w:sz w:val="28"/>
        </w:rPr>
        <w:t>2.6. Biến số</w:t>
      </w:r>
    </w:p>
    <w:p>
      <w:pPr>
        <w:spacing w:before="0" w:after="160" w:lineRule="auto" w:line="360"/>
        <w:jc w:val="both"/>
      </w:pPr>
      <w:r>
        <w:rPr>
          <w:rFonts w:ascii="Times New Roman" w:hAnsi="Times New Roman" w:eastAsia="Times New Roman" w:cs="Times New Roman"/>
          <w:b w:val="0"/>
          <w:i w:val="0"/>
          <w:sz w:val="26"/>
        </w:rPr>
        <w:t>Kết cục chính của cả hai mục tiêu là mục hài lòng chung hỏi trực tiếp, giữ nguyên thang thứ hạng 1–5. Chúng tôi cố ý không dùng điểm trung bình của các lĩnh vực làm kết cục chính, vì lĩnh vực đầu tiên hỏi trực tiếp về mức hài lòng với các loại thời gian chờ, trong khi thời gian chờ cũng là phơi nhiễm trung tâm của Mục tiêu 2. Nếu dùng điểm trung bình, hồi quy của thời gian chờ lên hài lòng sẽ mang tính vòng tròn một phần. Dùng mục hài lòng chung độc lập loại bỏ hoàn toàn nguy cơ này ở phân tích chính.</w:t>
      </w:r>
    </w:p>
    <w:p>
      <w:pPr>
        <w:spacing w:before="0" w:after="160" w:lineRule="auto" w:line="360"/>
        <w:jc w:val="both"/>
      </w:pPr>
      <w:r>
        <w:rPr>
          <w:rFonts w:ascii="Times New Roman" w:hAnsi="Times New Roman" w:eastAsia="Times New Roman" w:cs="Times New Roman"/>
          <w:b w:val="0"/>
          <w:i w:val="0"/>
          <w:sz w:val="26"/>
        </w:rPr>
        <w:t>Phơi nhiễm trung tâm là thời gian chờ khám, đo theo mốc thời gian của hệ thống thông tin bệnh viện và báo hiệu ứng theo mỗi 15 phút chờ thêm. Các biến độc lập khác gồm đặc điểm nhân khẩu, nơi cư trú và khoảng cách từ nhà đến viện, tình trạng bảo hiểm y tế, lý do khám, số lần khám trong 12 tháng qua, phương tiện di chuyển, thu nhập hộ gia đình, cùng các biến vận hành như khung giờ khám và ngày trong tuần. Khung giờ và ngày trong tuần bắt buộc thu thập vì chúng liên quan đồng thời với cả thời gian chờ lẫn mức hài lòng, nên cần hiệu chỉnh.</w:t>
      </w:r>
    </w:p>
    <w:p>
      <w:pPr>
        <w:spacing w:before="0" w:after="160" w:lineRule="auto" w:line="360"/>
        <w:jc w:val="both"/>
      </w:pPr>
      <w:r>
        <w:rPr>
          <w:rFonts w:ascii="Times New Roman" w:hAnsi="Times New Roman" w:eastAsia="Times New Roman" w:cs="Times New Roman"/>
          <w:b w:val="0"/>
          <w:i w:val="0"/>
          <w:sz w:val="26"/>
        </w:rPr>
        <w:t>Bộ dữ liệu phiếu không chứa ô tên, số căn cước, số thẻ bảo hiểm, số điện thoại hay địa chỉ. Mã hồ sơ bệnh án không nằm trong bộ dữ liệu hay hệ thống nhập liệu của nhóm nghiên cứu; việc đối soát và chống trùng do bộ phận công nghệ thông tin của bệnh viện thực hiện riêng.</w:t>
      </w:r>
    </w:p>
    <w:p>
      <w:pPr>
        <w:spacing w:before="280" w:after="160" w:lineRule="auto" w:line="312"/>
      </w:pPr>
      <w:r>
        <w:rPr>
          <w:rFonts w:ascii="Times New Roman" w:hAnsi="Times New Roman" w:eastAsia="Times New Roman" w:cs="Times New Roman"/>
          <w:b/>
          <w:i w:val="0"/>
          <w:sz w:val="28"/>
        </w:rPr>
        <w:t>2.7. Thu thập số liệu và khống chế sai số</w:t>
      </w:r>
    </w:p>
    <w:p>
      <w:pPr>
        <w:spacing w:before="0" w:after="160" w:lineRule="auto" w:line="360"/>
        <w:jc w:val="both"/>
      </w:pPr>
      <w:r>
        <w:rPr>
          <w:rFonts w:ascii="Times New Roman" w:hAnsi="Times New Roman" w:eastAsia="Times New Roman" w:cs="Times New Roman"/>
          <w:b w:val="0"/>
          <w:i w:val="0"/>
          <w:sz w:val="26"/>
        </w:rPr>
        <w:t>Người bệnh tự điền phiếu tại khu vực chờ, tách khỏi khu vực khám và không có mặt nhân viên trực tiếp khám. Với người khó tự điền, người hỗ trợ ghi hộ đúng nguyên văn lời người bệnh, không gợi ý hay diễn giải đáp án; cách hoàn thành phiếu được ghi lại thành một biến để phân tích nhạy cảm. Phiếu nộp vào hòm kín.</w:t>
      </w:r>
    </w:p>
    <w:p>
      <w:pPr>
        <w:spacing w:before="0" w:after="160" w:lineRule="auto" w:line="360"/>
        <w:jc w:val="both"/>
      </w:pPr>
      <w:r>
        <w:rPr>
          <w:rFonts w:ascii="Times New Roman" w:hAnsi="Times New Roman" w:eastAsia="Times New Roman" w:cs="Times New Roman"/>
          <w:b w:val="0"/>
          <w:i w:val="0"/>
          <w:sz w:val="26"/>
        </w:rPr>
        <w:t>Ba nhóm sai số được nhận diện trước. Thiên kiến chiều lòng có thể đẩy điểm lên cao, biểu hiện thành hiệu ứng trần điểm; nghiên cứu khống chế bằng cách bảo đảm khuyết danh, tách không gian điền phiếu, và báo cáo tỷ lệ đạt điểm trần theo từng lĩnh vực. Thiên kiến người còn lui tới khiến nghiên cứu chỉ nắm bắt người đang đến khám và có thể bỏ sót người đã rời bỏ khoa vì không hài lòng, dẫn đến khả năng ước lượng vượt mức hài lòng thật; đây là hạn chế cố hữu của thiết kế, được nêu rõ khi diễn giải. Sai số chọn mẫu do điều tra viên tự chọn người dễ tính được khống chế bằng quy tắc bước nhảy hệ thống và bằng việc tách vai trò đếm số thứ tự khỏi vai trò phát phiếu.</w:t>
      </w:r>
    </w:p>
    <w:p>
      <w:pPr>
        <w:spacing w:before="280" w:after="160" w:lineRule="auto" w:line="312"/>
      </w:pPr>
      <w:r>
        <w:rPr>
          <w:rFonts w:ascii="Times New Roman" w:hAnsi="Times New Roman" w:eastAsia="Times New Roman" w:cs="Times New Roman"/>
          <w:b/>
          <w:i w:val="0"/>
          <w:sz w:val="28"/>
        </w:rPr>
        <w:t>2.8. Kế hoạch phân tích</w:t>
      </w:r>
    </w:p>
    <w:p>
      <w:pPr>
        <w:spacing w:before="0" w:after="160" w:lineRule="auto" w:line="360"/>
        <w:jc w:val="both"/>
      </w:pPr>
      <w:r>
        <w:rPr>
          <w:rFonts w:ascii="Times New Roman" w:hAnsi="Times New Roman" w:eastAsia="Times New Roman" w:cs="Times New Roman"/>
          <w:b w:val="0"/>
          <w:i w:val="0"/>
          <w:sz w:val="26"/>
        </w:rPr>
        <w:t>Kế hoạch phân tích được khóa trước khi mở dữ liệu. Mức ý nghĩa 0,05 hai đuôi; mọi ước lượng báo kèm khoảng tin cậy 95%. Nguyên tắc bắt buộc là không báo giá trị p đơn độc mà luôn kèm hiệu ứng và khoảng tin cậy.</w:t>
      </w:r>
    </w:p>
    <w:p>
      <w:pPr>
        <w:spacing w:before="0" w:after="160" w:lineRule="auto" w:line="360"/>
        <w:jc w:val="both"/>
      </w:pPr>
      <w:r>
        <w:rPr>
          <w:rFonts w:ascii="Times New Roman" w:hAnsi="Times New Roman" w:eastAsia="Times New Roman" w:cs="Times New Roman"/>
          <w:b w:val="0"/>
          <w:i w:val="0"/>
          <w:sz w:val="26"/>
        </w:rPr>
        <w:t>Với Mục tiêu 1, nghiên cứu trình bày cả trung bình kèm độ lệch chuẩn và trung vị kèm khoảng tứ phân vị của điểm hài lòng, ước lượng tỷ lệ hài lòng chung và theo từng lĩnh vực kèm khoảng tin cậy 95% theo phương pháp Wilson score, và báo phần trăm đạt điểm sàn cùng điểm trần mỗi lĩnh vực.</w:t>
      </w:r>
    </w:p>
    <w:p>
      <w:pPr>
        <w:spacing w:before="0" w:after="160" w:lineRule="auto" w:line="360"/>
        <w:jc w:val="both"/>
      </w:pPr>
      <w:r>
        <w:rPr>
          <w:rFonts w:ascii="Times New Roman" w:hAnsi="Times New Roman" w:eastAsia="Times New Roman" w:cs="Times New Roman"/>
          <w:b w:val="0"/>
          <w:i w:val="0"/>
          <w:sz w:val="26"/>
        </w:rPr>
        <w:t>Với Mục tiêu 2, bước đơn biến dùng để sàng lọc và báo cáo thô. Phân tích chính là hồi quy logistic thứ tự đa biến trên kết cục hài lòng chung, báo tỷ số chênh chung hiệu chỉnh kèm khoảng tin cậy 95%. Giả định tỷ lệ chênh không đổi được kiểm định trước khi diễn giải hệ số như một tỷ số chênh chung duy nhất; nếu vi phạm, mô hình chuyển sang dạng tỷ lệ chênh riêng phần. Tính phi tuyến của thời gian chờ được kiểm bằng spline khối hạn chế ba nút hoặc phân tích theo phân vị. Hồi quy tuyến tính với sai số chuẩn vững, coi kết cục là liên tục, chỉ dùng làm phân tích nhạy cảm.</w:t>
      </w:r>
    </w:p>
    <w:p>
      <w:pPr>
        <w:spacing w:before="0" w:after="160" w:lineRule="auto" w:line="360"/>
        <w:jc w:val="both"/>
      </w:pPr>
      <w:r>
        <w:rPr>
          <w:rFonts w:ascii="Times New Roman" w:hAnsi="Times New Roman" w:eastAsia="Times New Roman" w:cs="Times New Roman"/>
          <w:b w:val="0"/>
          <w:i w:val="0"/>
          <w:sz w:val="26"/>
        </w:rPr>
        <w:t>Ngưỡng nhị phân hóa "hài lòng" được ấn định trước khi thu thập số liệu và không thay đổi sau khi nhìn dữ liệu; nghiên cứu không dùng ngưỡng theo trung vị mẫu. Dữ liệu thiếu xử lý theo kế hoạch định trước: phân tích trên bộ đầy đủ khi tỷ lệ thiếu dưới 5%, và đa trọng imputation cho biến nền cùng biến phơi nhiễm khi cao hơn. Ý kiến ở câu hỏi mở được mã hóa độc lập bởi hai người, bất đồng đưa ra hòa giải, và trích dẫn đã khử định danh.</w:t>
      </w:r>
    </w:p>
    <w:p>
      <w:pPr>
        <w:spacing w:before="280" w:after="160" w:lineRule="auto" w:line="312"/>
      </w:pPr>
      <w:r>
        <w:rPr>
          <w:rFonts w:ascii="Times New Roman" w:hAnsi="Times New Roman" w:eastAsia="Times New Roman" w:cs="Times New Roman"/>
          <w:b/>
          <w:i w:val="0"/>
          <w:sz w:val="28"/>
        </w:rPr>
        <w:t>2.9. Đạo đức nghiên cứu</w:t>
      </w:r>
    </w:p>
    <w:p>
      <w:pPr>
        <w:spacing w:before="0" w:after="160" w:lineRule="auto" w:line="360"/>
        <w:jc w:val="both"/>
      </w:pPr>
      <w:r>
        <w:rPr>
          <w:rFonts w:ascii="Times New Roman" w:hAnsi="Times New Roman" w:eastAsia="Times New Roman" w:cs="Times New Roman"/>
          <w:b w:val="0"/>
          <w:i w:val="0"/>
          <w:sz w:val="26"/>
        </w:rPr>
        <w:t>Nghiên cứu tuân thủ Tuyên ngôn Helsinki. Toàn bộ hồ sơ là bản trình Hội đồng; việc thu thập dữ liệu chỉ bắt đầu sau khi được Hội đồng Y đức Bệnh viện Quân y 175 và cấp có thẩm quyền phê duyệt.</w:t>
      </w:r>
    </w:p>
    <w:p>
      <w:pPr>
        <w:spacing w:before="0" w:after="160" w:lineRule="auto" w:line="360"/>
        <w:jc w:val="both"/>
      </w:pPr>
      <w:r>
        <w:rPr>
          <w:rFonts w:ascii="Times New Roman" w:hAnsi="Times New Roman" w:eastAsia="Times New Roman" w:cs="Times New Roman"/>
          <w:b w:val="0"/>
          <w:i w:val="0"/>
          <w:sz w:val="26"/>
        </w:rPr>
        <w:t>Người tham gia được giải thích rõ và ký phiếu đồng thuận. Phiếu đồng thuận và phiếu khảo sát là hai tài liệu giấy tách biệt hoàn toàn: phiếu đồng thuận mang tên và chữ ký, phiếu khảo sát chỉ mang mã số nghiên cứu. Nhóm nghiên cứu không lập bảng ghép hai loại mã này, và hai loại tài liệu được lưu tách biệt về mặt vật lý. Người tham gia có thể dừng trước khi nộp phiếu; sau khi phiếu đã vào hòm kín thì không thể truy ngược để rút, và điều này được nói rõ trước khi họ đồng ý.</w:t>
      </w:r>
    </w:p>
    <w:p>
      <w:pPr>
        <w:spacing w:before="0" w:after="160" w:lineRule="auto" w:line="360"/>
        <w:jc w:val="both"/>
      </w:pPr>
      <w:r>
        <w:rPr>
          <w:rFonts w:ascii="Times New Roman" w:hAnsi="Times New Roman" w:eastAsia="Times New Roman" w:cs="Times New Roman"/>
          <w:b w:val="0"/>
          <w:i w:val="0"/>
          <w:sz w:val="26"/>
        </w:rPr>
        <w:t>Đây là nghiên cứu quan sát thuần túy, không phân bổ can thiệp, nên không thuộc diện đăng ký thử nghiệm lâm sàng bắt buộc. Dù vậy, nghiên cứu vẫn đăng ký công khai trước khi tuyển người tham gia đầu tiên, theo yêu cầu đăng ký của Tuyên ngôn Helsinki áp dụng cho mọi nghiên cứu y học có người tham gia.</w:t>
      </w:r>
    </w:p>
    <w:p>
      <w:r>
        <w:br w:type="page"/>
      </w:r>
    </w:p>
    <w:p>
      <w:pPr>
        <w:spacing w:before="0" w:after="320" w:lineRule="auto" w:line="312"/>
        <w:jc w:val="center"/>
      </w:pPr>
      <w:r>
        <w:rPr>
          <w:rFonts w:ascii="Times New Roman" w:hAnsi="Times New Roman" w:eastAsia="Times New Roman" w:cs="Times New Roman"/>
          <w:b/>
          <w:i w:val="0"/>
          <w:sz w:val="32"/>
        </w:rPr>
        <w:t>3. KẾT QUẢ DỰ KIẾN</w:t>
      </w:r>
    </w:p>
    <w:p>
      <w:pPr>
        <w:spacing w:before="0" w:after="160" w:lineRule="auto" w:line="360"/>
        <w:jc w:val="both"/>
      </w:pPr>
      <w:r>
        <w:rPr>
          <w:rFonts w:ascii="Times New Roman" w:hAnsi="Times New Roman" w:eastAsia="Times New Roman" w:cs="Times New Roman"/>
          <w:b w:val="0"/>
          <w:i w:val="0"/>
          <w:sz w:val="26"/>
        </w:rPr>
        <w:t xml:space="preserve">Bài viết này là giao thức, do đó </w:t>
      </w:r>
      <w:r>
        <w:rPr>
          <w:rFonts w:ascii="Times New Roman" w:hAnsi="Times New Roman" w:eastAsia="Times New Roman" w:cs="Times New Roman"/>
          <w:b/>
          <w:i w:val="0"/>
          <w:sz w:val="26"/>
        </w:rPr>
        <w:t>không trình bày bất kỳ kết quả nào</w:t>
      </w:r>
      <w:r>
        <w:rPr>
          <w:rFonts w:ascii="Times New Roman" w:hAnsi="Times New Roman" w:eastAsia="Times New Roman" w:cs="Times New Roman"/>
          <w:b w:val="0"/>
          <w:i w:val="0"/>
          <w:sz w:val="26"/>
        </w:rPr>
        <w:t>. Nghiên cứu chưa thu thập số liệu.</w:t>
      </w:r>
    </w:p>
    <w:p>
      <w:pPr>
        <w:spacing w:before="0" w:after="160" w:lineRule="auto" w:line="360"/>
        <w:jc w:val="both"/>
      </w:pPr>
      <w:r>
        <w:rPr>
          <w:rFonts w:ascii="Times New Roman" w:hAnsi="Times New Roman" w:eastAsia="Times New Roman" w:cs="Times New Roman"/>
          <w:b w:val="0"/>
          <w:i w:val="0"/>
          <w:sz w:val="26"/>
        </w:rPr>
        <w:t>Khi hoàn tất, kết quả sẽ được trình bày theo bộ bảng đã định trước: đặc điểm nền của mẫu; mức độ hài lòng theo lĩnh vực và chung; phân tích đơn biến các yếu tố liên quan; mô hình đa biến chính; tỷ lệ đáp ứng và dữ liệu thiếu theo yêu cầu của chuẩn CROSS; và các phân tích nhạy cảm. Sơ đồ luồng tham gia được trình bày theo chuẩn STROBE.</w:t>
      </w:r>
    </w:p>
    <w:p>
      <w:pPr>
        <w:spacing w:before="0" w:after="160" w:lineRule="auto" w:line="360"/>
        <w:jc w:val="both"/>
      </w:pPr>
      <w:r>
        <w:rPr>
          <w:rFonts w:ascii="Times New Roman" w:hAnsi="Times New Roman" w:eastAsia="Times New Roman" w:cs="Times New Roman"/>
          <w:b w:val="0"/>
          <w:i w:val="0"/>
          <w:sz w:val="26"/>
        </w:rPr>
        <w:t>Khung bảng đã được xây dựng sẵn ở dạng bảng trống, chỉ chứa ký hiệu chỗ trống chờ điền, không có số giả định nào.</w:t>
      </w:r>
    </w:p>
    <w:p>
      <w:r>
        <w:br w:type="page"/>
      </w:r>
    </w:p>
    <w:p>
      <w:pPr>
        <w:spacing w:before="0" w:after="320" w:lineRule="auto" w:line="312"/>
        <w:jc w:val="center"/>
      </w:pPr>
      <w:r>
        <w:rPr>
          <w:rFonts w:ascii="Times New Roman" w:hAnsi="Times New Roman" w:eastAsia="Times New Roman" w:cs="Times New Roman"/>
          <w:b/>
          <w:i w:val="0"/>
          <w:sz w:val="32"/>
        </w:rPr>
        <w:t>4. BÀN LUẬN</w:t>
      </w:r>
    </w:p>
    <w:p>
      <w:pPr>
        <w:spacing w:before="280" w:after="160" w:lineRule="auto" w:line="312"/>
      </w:pPr>
      <w:r>
        <w:rPr>
          <w:rFonts w:ascii="Times New Roman" w:hAnsi="Times New Roman" w:eastAsia="Times New Roman" w:cs="Times New Roman"/>
          <w:b/>
          <w:i w:val="0"/>
          <w:sz w:val="28"/>
        </w:rPr>
        <w:t>4.1. Ý nghĩa dự kiến</w:t>
      </w:r>
    </w:p>
    <w:p>
      <w:pPr>
        <w:spacing w:before="0" w:after="160" w:lineRule="auto" w:line="360"/>
        <w:jc w:val="both"/>
      </w:pPr>
      <w:r>
        <w:rPr>
          <w:rFonts w:ascii="Times New Roman" w:hAnsi="Times New Roman" w:eastAsia="Times New Roman" w:cs="Times New Roman"/>
          <w:b w:val="0"/>
          <w:i w:val="0"/>
          <w:sz w:val="26"/>
        </w:rPr>
        <w:t>Nghiên cứu cung cấp dữ liệu nền tại chỗ cho một bối cảnh còn thiếu bằng chứng. Kết quả dự kiến phục vụ trực tiếp việc cải tiến chất lượng của Khoa C1a và Trung tâm C1: xác định lĩnh vực có điểm thấp nhất, lượng hóa mối liên quan giữa thời gian chờ và mức hài lòng, và nhận diện nhóm người bệnh có nguy cơ hài lòng thấp.</w:t>
      </w:r>
    </w:p>
    <w:p>
      <w:pPr>
        <w:spacing w:before="0" w:after="160" w:lineRule="auto" w:line="360"/>
        <w:jc w:val="both"/>
      </w:pPr>
      <w:r>
        <w:rPr>
          <w:rFonts w:ascii="Times New Roman" w:hAnsi="Times New Roman" w:eastAsia="Times New Roman" w:cs="Times New Roman"/>
          <w:b w:val="0"/>
          <w:i w:val="0"/>
          <w:sz w:val="26"/>
        </w:rPr>
        <w:t>Tính mới của đề tài nằm ở việc mở rộng vào một bối cảnh mới chứ không phải mới về chủ đề hay phương pháp. Chúng tôi chủ trương phát biểu đúng mức, không phóng đại thành "lần đầu nghiên cứu hài lòng khối dịch vụ". Bên cạnh đó, bộ công cụ được phát triển riêng cho khối khám theo yêu cầu, với lĩnh vực chi phí dịch vụ mà khung chung không tách riêng, là một đóng góp về công cụ có thể dùng lại ở các cơ sở tương tự.</w:t>
      </w:r>
    </w:p>
    <w:p>
      <w:pPr>
        <w:spacing w:before="280" w:after="160" w:lineRule="auto" w:line="312"/>
      </w:pPr>
      <w:r>
        <w:rPr>
          <w:rFonts w:ascii="Times New Roman" w:hAnsi="Times New Roman" w:eastAsia="Times New Roman" w:cs="Times New Roman"/>
          <w:b/>
          <w:i w:val="0"/>
          <w:sz w:val="28"/>
        </w:rPr>
        <w:t>4.2. Điểm mạnh</w:t>
      </w:r>
    </w:p>
    <w:p>
      <w:pPr>
        <w:spacing w:before="0" w:after="160" w:lineRule="auto" w:line="360"/>
        <w:jc w:val="both"/>
      </w:pPr>
      <w:r>
        <w:rPr>
          <w:rFonts w:ascii="Times New Roman" w:hAnsi="Times New Roman" w:eastAsia="Times New Roman" w:cs="Times New Roman"/>
          <w:b w:val="0"/>
          <w:i w:val="0"/>
          <w:sz w:val="26"/>
        </w:rPr>
        <w:t>Ba điểm mạnh đáng nêu. Thứ nhất, kết cục chính được chọn để tránh thiên lệch phần-toàn thể, một vấn đề dễ bị bỏ qua khi nghiên cứu dùng điểm trung bình các lĩnh vực làm kết cục trong khi một lĩnh vực lại chứa chính biến phơi nhiễm. Thứ hai, kế hoạch phân tích và ngưỡng nhị phân hóa được khóa trước khi mở dữ liệu, giảm nguy cơ chọn lọc kết quả. Thứ ba, mô hình đồng thuận hai tài liệu tách biệt bảo vệ tính khuyết danh của phiếu khảo sát chặt hơn cách làm một phiếu tích hợp rồi tách sau.</w:t>
      </w:r>
    </w:p>
    <w:p>
      <w:pPr>
        <w:spacing w:before="280" w:after="160" w:lineRule="auto" w:line="312"/>
      </w:pPr>
      <w:r>
        <w:rPr>
          <w:rFonts w:ascii="Times New Roman" w:hAnsi="Times New Roman" w:eastAsia="Times New Roman" w:cs="Times New Roman"/>
          <w:b/>
          <w:i w:val="0"/>
          <w:sz w:val="28"/>
        </w:rPr>
        <w:t>4.3. Hạn chế đã biết</w:t>
      </w:r>
    </w:p>
    <w:p>
      <w:pPr>
        <w:spacing w:before="0" w:after="160" w:lineRule="auto" w:line="360"/>
        <w:jc w:val="both"/>
      </w:pPr>
      <w:r>
        <w:rPr>
          <w:rFonts w:ascii="Times New Roman" w:hAnsi="Times New Roman" w:eastAsia="Times New Roman" w:cs="Times New Roman"/>
          <w:b w:val="0"/>
          <w:i w:val="0"/>
          <w:sz w:val="26"/>
        </w:rPr>
        <w:t>Ba hạn chế được ghi nhận trước. Thiết kế cắt ngang không cho phép suy diễn nhân quả và không xác lập trình tự thời gian. Thiên kiến người còn lui tới có thể khiến nghiên cứu ước lượng vượt mức hài lòng thật, vì chỉ tiếp cận được người đang đến khám. Hiệu ứng trần điểm do thiên kiến chiều lòng có thể làm phân bố kết cục lệch mạnh về phía điểm cao, ảnh hưởng đến khả năng phát hiện mối liên quan; đây cũng là lý do cỡ mẫu kế hoạch được đặt cao hơn mức tối thiểu theo lý thuyết.</w:t>
      </w:r>
    </w:p>
    <w:p>
      <w:pPr>
        <w:spacing w:before="0" w:after="160" w:lineRule="auto" w:line="360"/>
        <w:jc w:val="both"/>
      </w:pPr>
      <w:r>
        <w:rPr>
          <w:rFonts w:ascii="Times New Roman" w:hAnsi="Times New Roman" w:eastAsia="Times New Roman" w:cs="Times New Roman"/>
          <w:b w:val="0"/>
          <w:i w:val="0"/>
          <w:sz w:val="26"/>
        </w:rPr>
        <w:t>Nghiên cứu thực hiện tại một khoa duy nhất, nên kết quả không đại diện cho toàn bộ khối khám theo yêu cầu trong nước. So sánh trực tiếp giữa mô hình khám theo yêu cầu và mô hình khám thông thường nằm ngoài thiết kế này.</w:t>
      </w:r>
    </w:p>
    <w:p>
      <w:r>
        <w:br w:type="page"/>
      </w:r>
    </w:p>
    <w:p>
      <w:pPr>
        <w:spacing w:before="0" w:after="320" w:lineRule="auto" w:line="312"/>
        <w:jc w:val="center"/>
      </w:pPr>
      <w:r>
        <w:rPr>
          <w:rFonts w:ascii="Times New Roman" w:hAnsi="Times New Roman" w:eastAsia="Times New Roman" w:cs="Times New Roman"/>
          <w:b/>
          <w:i w:val="0"/>
          <w:sz w:val="32"/>
        </w:rPr>
        <w:t>5. KẾT LUẬN</w:t>
      </w:r>
    </w:p>
    <w:p>
      <w:pPr>
        <w:spacing w:before="0" w:after="160" w:lineRule="auto" w:line="360"/>
        <w:jc w:val="both"/>
      </w:pPr>
      <w:r>
        <w:rPr>
          <w:rFonts w:ascii="Times New Roman" w:hAnsi="Times New Roman" w:eastAsia="Times New Roman" w:cs="Times New Roman"/>
          <w:b w:val="0"/>
          <w:i w:val="0"/>
          <w:sz w:val="26"/>
        </w:rPr>
        <w:t>Giao thức trình bày một nghiên cứu cắt ngang có phân tích nhằm đo mức độ hài lòng của người bệnh và xác định các yếu tố liên quan tại một khoa khám theo yêu cầu của bệnh viện quân y tuyến cuối. Thiết kế đặt trọng tâm vào ba điểm: chọn kết cục chính tránh vòng tròn logic với biến phơi nhiễm, phát triển công cụ đầy đủ trước khi dùng cho mẫu chính, và khóa kế hoạch phân tích trước khi mở dữ liệu. Kết quả dự kiến sẽ cung cấp dữ liệu nền phục vụ cải tiến chất lượng tại chỗ.</w:t>
      </w:r>
    </w:p>
    <w:p>
      <w:r>
        <w:br w:type="page"/>
      </w:r>
    </w:p>
    <w:p>
      <w:pPr>
        <w:spacing w:before="0" w:after="320" w:lineRule="auto" w:line="312"/>
        <w:jc w:val="center"/>
      </w:pPr>
      <w:r>
        <w:rPr>
          <w:rFonts w:ascii="Times New Roman" w:hAnsi="Times New Roman" w:eastAsia="Times New Roman" w:cs="Times New Roman"/>
          <w:b/>
          <w:i w:val="0"/>
          <w:sz w:val="32"/>
        </w:rPr>
        <w:t>TUYÊN BỐ</w:t>
      </w:r>
    </w:p>
    <w:p>
      <w:pPr>
        <w:spacing w:before="0" w:after="160" w:lineRule="auto" w:line="360"/>
        <w:jc w:val="both"/>
      </w:pPr>
      <w:r>
        <w:rPr>
          <w:rFonts w:ascii="Times New Roman" w:hAnsi="Times New Roman" w:eastAsia="Times New Roman" w:cs="Times New Roman"/>
          <w:b/>
          <w:i w:val="0"/>
          <w:sz w:val="26"/>
        </w:rPr>
        <w:t>Xung đột lợi ích:</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color w:val="CC7700"/>
          <w:sz w:val="26"/>
        </w:rPr>
        <w:t>[CẦN CHỦ NHIỆM KHAI BÁO trước khi nộp.]</w:t>
      </w:r>
    </w:p>
    <w:p>
      <w:pPr>
        <w:spacing w:before="0" w:after="160" w:lineRule="auto" w:line="360"/>
        <w:jc w:val="both"/>
      </w:pPr>
      <w:r>
        <w:rPr>
          <w:rFonts w:ascii="Times New Roman" w:hAnsi="Times New Roman" w:eastAsia="Times New Roman" w:cs="Times New Roman"/>
          <w:b/>
          <w:i w:val="0"/>
          <w:sz w:val="26"/>
        </w:rPr>
        <w:t>Nguồn kinh phí:</w:t>
      </w:r>
      <w:r>
        <w:rPr>
          <w:rFonts w:ascii="Times New Roman" w:hAnsi="Times New Roman" w:eastAsia="Times New Roman" w:cs="Times New Roman"/>
          <w:b w:val="0"/>
          <w:i w:val="0"/>
          <w:sz w:val="26"/>
        </w:rPr>
        <w:t xml:space="preserve"> Không có tài trợ bên ngoài; kinh phí tự túc.</w:t>
      </w:r>
    </w:p>
    <w:p>
      <w:pPr>
        <w:spacing w:before="0" w:after="160" w:lineRule="auto" w:line="360"/>
        <w:jc w:val="both"/>
      </w:pPr>
      <w:r>
        <w:rPr>
          <w:rFonts w:ascii="Times New Roman" w:hAnsi="Times New Roman" w:eastAsia="Times New Roman" w:cs="Times New Roman"/>
          <w:b/>
          <w:i w:val="0"/>
          <w:sz w:val="26"/>
        </w:rPr>
        <w:t>Phê duyệt đạo đức:</w:t>
      </w:r>
      <w:r>
        <w:rPr>
          <w:rFonts w:ascii="Times New Roman" w:hAnsi="Times New Roman" w:eastAsia="Times New Roman" w:cs="Times New Roman"/>
          <w:b w:val="0"/>
          <w:i w:val="0"/>
          <w:sz w:val="26"/>
        </w:rPr>
        <w:t xml:space="preserve"> Đề cương đang chờ Hội đồng Y đức Bệnh viện Quân y 175 xem xét. Mã số phê duyệt sẽ được bổ sung khi có. Nghiên cứu chưa thu thập số liệu.</w:t>
      </w:r>
    </w:p>
    <w:p>
      <w:pPr>
        <w:spacing w:before="0" w:after="160" w:lineRule="auto" w:line="360"/>
        <w:jc w:val="both"/>
      </w:pPr>
      <w:r>
        <w:rPr>
          <w:rFonts w:ascii="Times New Roman" w:hAnsi="Times New Roman" w:eastAsia="Times New Roman" w:cs="Times New Roman"/>
          <w:b/>
          <w:i w:val="0"/>
          <w:sz w:val="26"/>
        </w:rPr>
        <w:t>Đăng ký nghiên cứu:</w:t>
      </w:r>
      <w:r>
        <w:rPr>
          <w:rFonts w:ascii="Times New Roman" w:hAnsi="Times New Roman" w:eastAsia="Times New Roman" w:cs="Times New Roman"/>
          <w:b w:val="0"/>
          <w:i w:val="0"/>
          <w:sz w:val="26"/>
        </w:rPr>
        <w:t xml:space="preserve"> Sẽ hoàn tất trước khi tuyển người tham gia đầu tiên. </w:t>
      </w:r>
      <w:r>
        <w:rPr>
          <w:rFonts w:ascii="Times New Roman" w:hAnsi="Times New Roman" w:eastAsia="Times New Roman" w:cs="Times New Roman"/>
          <w:b/>
          <w:i/>
          <w:color w:val="CC7700"/>
          <w:sz w:val="26"/>
        </w:rPr>
        <w:t>[CẦN BỔ SUNG mã đăng ký.]</w:t>
      </w:r>
    </w:p>
    <w:p>
      <w:pPr>
        <w:spacing w:before="0" w:after="160" w:lineRule="auto" w:line="360"/>
        <w:jc w:val="both"/>
      </w:pPr>
      <w:r>
        <w:rPr>
          <w:rFonts w:ascii="Times New Roman" w:hAnsi="Times New Roman" w:eastAsia="Times New Roman" w:cs="Times New Roman"/>
          <w:b/>
          <w:i w:val="0"/>
          <w:sz w:val="26"/>
        </w:rPr>
        <w:t>Chia sẻ dữ liệu:</w:t>
      </w:r>
      <w:r>
        <w:rPr>
          <w:rFonts w:ascii="Times New Roman" w:hAnsi="Times New Roman" w:eastAsia="Times New Roman" w:cs="Times New Roman"/>
          <w:b w:val="0"/>
          <w:i w:val="0"/>
          <w:sz w:val="26"/>
        </w:rPr>
        <w:t xml:space="preserve"> Bộ dữ liệu đã khử định danh và mã phân tích sẽ được cung cấp theo yêu cầu hợp lý sau khi công bố kết quả chính, với điều kiện tuân thủ quy định bảo vệ dữ liệu cá nhân hiện hành.</w:t>
      </w:r>
    </w:p>
    <w:p>
      <w:pPr>
        <w:spacing w:before="0" w:after="160" w:lineRule="auto" w:line="360"/>
        <w:jc w:val="both"/>
      </w:pPr>
      <w:r>
        <w:rPr>
          <w:rFonts w:ascii="Times New Roman" w:hAnsi="Times New Roman" w:eastAsia="Times New Roman" w:cs="Times New Roman"/>
          <w:b/>
          <w:i w:val="0"/>
          <w:sz w:val="26"/>
        </w:rPr>
        <w:t>Khai báo sử dụng trí tuệ nhân tạo:</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color w:val="CC7700"/>
          <w:sz w:val="26"/>
        </w:rPr>
        <w:t>[CẦN CHỦ NHIỆM XÁC NHẬN VÀ ĐIỀU CHỈNH THEO THỰC TẾ.]</w:t>
      </w:r>
      <w:r>
        <w:rPr>
          <w:rFonts w:ascii="Times New Roman" w:hAnsi="Times New Roman" w:eastAsia="Times New Roman" w:cs="Times New Roman"/>
          <w:b w:val="0"/>
          <w:i w:val="0"/>
          <w:sz w:val="26"/>
        </w:rPr>
        <w:t xml:space="preserve"> Công cụ hỗ trợ bằng trí tuệ nhân tạo được sử dụng trong quá trình soạn thảo và rà soát hình thức của bản thảo cùng đề cương gốc, gồm việc tra cứu và đối chiếu tài liệu tham khảo với cơ sở dữ liệu PubMed, kiểm tra tính nhất quán nội tại của các con số, và biên tập câu chữ. Công cụ trí tuệ nhân tạo không được dùng để tạo ra số liệu, kết quả hay tài liệu tham khảo. Tác giả chịu trách nhiệm hoàn toàn về nội dung và đã kiểm chứng mọi trích dẫn.</w:t>
      </w:r>
    </w:p>
    <w:p>
      <w:r>
        <w:br w:type="page"/>
      </w:r>
    </w:p>
    <w:p>
      <w:pPr>
        <w:spacing w:before="0" w:after="320" w:lineRule="auto" w:line="312"/>
        <w:jc w:val="center"/>
      </w:pPr>
      <w:r>
        <w:rPr>
          <w:rFonts w:ascii="Times New Roman" w:hAnsi="Times New Roman" w:eastAsia="Times New Roman" w:cs="Times New Roman"/>
          <w:b/>
          <w:i w:val="0"/>
          <w:sz w:val="32"/>
        </w:rPr>
        <w:t>TÀI LIỆU THAM KHẢO</w:t>
      </w:r>
    </w:p>
    <w:p>
      <w:pPr>
        <w:spacing w:before="0" w:after="160" w:lineRule="auto" w:line="360"/>
        <w:jc w:val="both"/>
      </w:pPr>
      <w:r>
        <w:rPr>
          <w:rFonts w:ascii="Times New Roman" w:hAnsi="Times New Roman" w:eastAsia="Times New Roman" w:cs="Times New Roman"/>
          <w:b w:val="0"/>
          <w:i/>
          <w:sz w:val="26"/>
        </w:rPr>
        <w:t>Định dạng Vancouver. Các tài liệu có PMID đã được đối chiếu với PubMed trước khi đưa vào danh mục.</w:t>
      </w:r>
    </w:p>
    <w:p>
      <w:pPr>
        <w:pStyle w:val="ListNumber"/>
        <w:spacing w:before="0" w:after="120" w:lineRule="auto" w:line="360"/>
        <w:jc w:val="both"/>
      </w:pPr>
      <w:r>
        <w:rPr>
          <w:rFonts w:ascii="Times New Roman" w:hAnsi="Times New Roman" w:eastAsia="Times New Roman" w:cs="Times New Roman"/>
          <w:b w:val="0"/>
          <w:i w:val="0"/>
          <w:sz w:val="26"/>
        </w:rPr>
        <w:t>Sepehri A, Minh KN, Vu PH, Pham TM. Temporal Trends in Patient Choice of Outpatient Care Provider Among Vietnam's Insured Rural Residents, 2006-2020. Int J Health Plann Manage. 2025;40(6):1302-1316. doi:10.1002/hpm.70013. PMID: 40726017.</w:t>
      </w:r>
    </w:p>
    <w:p>
      <w:pPr>
        <w:pStyle w:val="ListNumber"/>
        <w:spacing w:before="0" w:after="120" w:lineRule="auto" w:line="360"/>
        <w:jc w:val="both"/>
      </w:pPr>
      <w:r>
        <w:rPr>
          <w:rFonts w:ascii="Times New Roman" w:hAnsi="Times New Roman" w:eastAsia="Times New Roman" w:cs="Times New Roman"/>
          <w:b w:val="0"/>
          <w:i w:val="0"/>
          <w:sz w:val="26"/>
        </w:rPr>
        <w:t>Thach Phuong N, Vu Hoang P, Mac Dang T, et al. Improving Hospital's Quality of Service in Vietnam: The Patient Satisfaction Evaluation in Multiple Health Facilities. Hosp Top. 2021;101(2):73-83. doi:10.1080/00185868.2021.1969871. PMID: 34445940.</w:t>
      </w:r>
    </w:p>
    <w:p>
      <w:pPr>
        <w:pStyle w:val="ListNumber"/>
        <w:spacing w:before="0" w:after="120" w:lineRule="auto" w:line="360"/>
        <w:jc w:val="both"/>
      </w:pPr>
      <w:r>
        <w:rPr>
          <w:rFonts w:ascii="Times New Roman" w:hAnsi="Times New Roman" w:eastAsia="Times New Roman" w:cs="Times New Roman"/>
          <w:b w:val="0"/>
          <w:i w:val="0"/>
          <w:sz w:val="26"/>
        </w:rPr>
        <w:t>Quyen BTT, Ha NT, Van Minh H. Outpatient satisfaction with primary health care services in Vietnam: Multilevel analysis results from The Vietnam Health Facilities Assessment 2015. Health Psychol Open. 2021;8(1):20551029211015117. doi:10.1177/20551029211015117. PMID: 34017606.</w:t>
      </w:r>
    </w:p>
    <w:p>
      <w:pPr>
        <w:pStyle w:val="ListNumber"/>
        <w:spacing w:before="0" w:after="120" w:lineRule="auto" w:line="360"/>
        <w:jc w:val="both"/>
      </w:pPr>
      <w:r>
        <w:rPr>
          <w:rFonts w:ascii="Times New Roman" w:hAnsi="Times New Roman" w:eastAsia="Times New Roman" w:cs="Times New Roman"/>
          <w:b w:val="0"/>
          <w:i w:val="0"/>
          <w:sz w:val="26"/>
        </w:rPr>
        <w:t>Nguyen BQ, Nguyen CTT. An Assessment of Outpatient Satisfaction with Hospital Pharmacy Quality and Influential Factors in the Context of the COVID-19 Pandemic. Healthcare (Basel). 2022;10(10):1945. doi:10.3390/healthcare10101945. PMID: 36292392.</w:t>
      </w:r>
    </w:p>
    <w:p>
      <w:pPr>
        <w:pStyle w:val="ListNumber"/>
        <w:spacing w:before="0" w:after="120" w:lineRule="auto" w:line="360"/>
        <w:jc w:val="both"/>
      </w:pPr>
      <w:r>
        <w:rPr>
          <w:rFonts w:ascii="Times New Roman" w:hAnsi="Times New Roman" w:eastAsia="Times New Roman" w:cs="Times New Roman"/>
          <w:b w:val="0"/>
          <w:i w:val="0"/>
          <w:sz w:val="26"/>
        </w:rPr>
        <w:t>Tran BX, Dang AK, Vu GT, et al. Patient satisfaction with HIV services in Vietnam: Status, service models and association with treatment outcome. PLoS One. 2019;14(11):e0223723. doi:10.1371/journal.pone.0223723. PMID: 31703089.</w:t>
      </w:r>
    </w:p>
    <w:p>
      <w:pPr>
        <w:pStyle w:val="ListNumber"/>
        <w:spacing w:before="0" w:after="120" w:lineRule="auto" w:line="360"/>
        <w:jc w:val="both"/>
      </w:pPr>
      <w:r>
        <w:rPr>
          <w:rFonts w:ascii="Times New Roman" w:hAnsi="Times New Roman" w:eastAsia="Times New Roman" w:cs="Times New Roman"/>
          <w:b w:val="0"/>
          <w:i w:val="0"/>
          <w:sz w:val="26"/>
        </w:rPr>
        <w:t>Sharma A, Minh Duc NT, Luu Lam Thang T, et al. A Consensus-Based Checklist for Reporting of Survey Studies (CROSS). J Gen Intern Med. 2021;36(10):3179-3187. doi:10.1007/s11606-021-06737-1. PMID: 33886027.</w:t>
      </w:r>
    </w:p>
    <w:p>
      <w:pPr>
        <w:pStyle w:val="ListNumber"/>
        <w:spacing w:before="0" w:after="120" w:lineRule="auto" w:line="360"/>
        <w:jc w:val="both"/>
      </w:pPr>
      <w:r>
        <w:rPr>
          <w:rFonts w:ascii="Times New Roman" w:hAnsi="Times New Roman" w:eastAsia="Times New Roman" w:cs="Times New Roman"/>
          <w:b w:val="0"/>
          <w:i w:val="0"/>
          <w:sz w:val="26"/>
        </w:rPr>
        <w:t>Lwanga SK, Lemeshow S. Sample size determination in health studies: a practical manual. Geneva: World Health Organization; 1991.</w:t>
      </w:r>
    </w:p>
    <w:p>
      <w:pPr>
        <w:pStyle w:val="ListNumber"/>
        <w:spacing w:before="0" w:after="120" w:lineRule="auto" w:line="360"/>
        <w:jc w:val="both"/>
      </w:pPr>
      <w:r>
        <w:rPr>
          <w:rFonts w:ascii="Times New Roman" w:hAnsi="Times New Roman" w:eastAsia="Times New Roman" w:cs="Times New Roman"/>
          <w:b w:val="0"/>
          <w:i w:val="0"/>
          <w:sz w:val="26"/>
        </w:rPr>
        <w:t>Peduzzi P, Concato J, Kemper E, et al. A simulation study of the number of events per variable in logistic regression analysis. J Clin Epidemiol. 1996;49(12):1373-9. doi:10.1016/s0895-4356(96)00236-3. PMID: 8970487.</w:t>
      </w:r>
    </w:p>
    <w:p>
      <w:pPr>
        <w:pStyle w:val="ListNumber"/>
        <w:spacing w:before="0" w:after="120" w:lineRule="auto" w:line="360"/>
        <w:jc w:val="both"/>
      </w:pPr>
      <w:r>
        <w:rPr>
          <w:rFonts w:ascii="Times New Roman" w:hAnsi="Times New Roman" w:eastAsia="Times New Roman" w:cs="Times New Roman"/>
          <w:b w:val="0"/>
          <w:i w:val="0"/>
          <w:sz w:val="26"/>
        </w:rPr>
        <w:t>Bender R, Grouven U. Ordinal logistic regression in medical research. J R Coll Physicians Lond. 1997;31(5):546-551. PMID: 9429194.</w:t>
      </w:r>
    </w:p>
    <w:p>
      <w:pPr>
        <w:pStyle w:val="ListNumber"/>
        <w:spacing w:before="0" w:after="120" w:lineRule="auto" w:line="360"/>
        <w:jc w:val="both"/>
      </w:pPr>
      <w:r>
        <w:rPr>
          <w:rFonts w:ascii="Times New Roman" w:hAnsi="Times New Roman" w:eastAsia="Times New Roman" w:cs="Times New Roman"/>
          <w:b w:val="0"/>
          <w:i w:val="0"/>
          <w:sz w:val="26"/>
        </w:rPr>
        <w:t>Polit DF, Beck CT, Owen SV. Is the CVI an acceptable indicator of content validity? Appraisal and recommendations. Res Nurs Health. 2007;30(4):459-67. doi:10.1002/nur.20199. PMID: 17654487.</w:t>
      </w:r>
    </w:p>
    <w:p>
      <w:pPr>
        <w:spacing w:before="0" w:after="160" w:lineRule="auto" w:line="360"/>
        <w:jc w:val="both"/>
      </w:pPr>
      <w:r>
        <w:rPr>
          <w:rFonts w:ascii="Times New Roman" w:hAnsi="Times New Roman" w:eastAsia="Times New Roman" w:cs="Times New Roman"/>
          <w:b w:val="0"/>
          <w:i/>
          <w:sz w:val="26"/>
        </w:rPr>
        <w:t>Cần bác sĩ kiểm chứng. Bản thảo giao thức này chưa nộp và chưa được phê duyệt; mọi mục đánh dấu [CẦN...] phải được điền trước khi nộp.</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