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Rule="auto" w:line="312"/>
        <w:jc w:val="center"/>
      </w:pPr>
      <w:r>
        <w:rPr>
          <w:rFonts w:ascii="Times New Roman" w:hAnsi="Times New Roman" w:eastAsia="Times New Roman" w:cs="Times New Roman"/>
          <w:b/>
          <w:i w:val="0"/>
          <w:sz w:val="32"/>
        </w:rPr>
        <w:t>KẾ HOẠCH TRIỂN KHAI (A13) — hai-long-benh-nhan-C1a-BVQY175</w:t>
      </w:r>
    </w:p>
    <w:p>
      <w:pPr>
        <w:spacing w:before="120" w:after="200" w:lineRule="auto" w:line="312"/>
        <w:jc w:val="both"/>
        <w:ind w:left="567" w:right="567"/>
      </w:pPr>
      <w:r>
        <w:rPr>
          <w:rFonts w:ascii="Times New Roman" w:hAnsi="Times New Roman" w:eastAsia="Times New Roman" w:cs="Times New Roman"/>
          <w:b/>
          <w:i/>
          <w:color w:val="CC7700"/>
          <w:sz w:val="22"/>
        </w:rPr>
        <w:t>[DỰ THẢO]</w:t>
      </w:r>
      <w:r>
        <w:rPr>
          <w:rFonts w:ascii="Times New Roman" w:hAnsi="Times New Roman" w:eastAsia="Times New Roman" w:cs="Times New Roman"/>
          <w:b w:val="0"/>
          <w:i/>
          <w:sz w:val="22"/>
        </w:rPr>
        <w:t xml:space="preserve"> Đơn giá, nhân sự và thời lượng thật do chủ nhiệm/đơn vị xác nhận.</w:t>
      </w:r>
    </w:p>
    <w:p>
      <w:pPr>
        <w:spacing w:before="280" w:after="160" w:lineRule="auto" w:line="312"/>
      </w:pPr>
      <w:r>
        <w:rPr>
          <w:rFonts w:ascii="Times New Roman" w:hAnsi="Times New Roman" w:eastAsia="Times New Roman" w:cs="Times New Roman"/>
          <w:b/>
          <w:i w:val="0"/>
          <w:sz w:val="28"/>
        </w:rPr>
        <w:t>RACI</w:t>
      </w:r>
    </w:p>
    <w:p>
      <w:pPr>
        <w:spacing w:before="0" w:after="160" w:lineRule="auto" w:line="360"/>
        <w:jc w:val="both"/>
      </w:pPr>
      <w:r>
        <w:rPr>
          <w:rFonts w:ascii="Times New Roman" w:hAnsi="Times New Roman" w:eastAsia="Times New Roman" w:cs="Times New Roman"/>
          <w:b w:val="0"/>
          <w:i w:val="0"/>
          <w:sz w:val="26"/>
        </w:rPr>
        <w:t>Vai trò đã khai (`gate_params.G1.team_roles`): Theo đề cương §6.1 (bảng RACI): chủ nhiệm đề tài (A toàn đề tài — định hướng khoa học, duyệt đề cương/SAP/kinh phí, ký hồ sơ đạo đức); thư ký/điều phối (quản lý tài liệu, lịch, sổ tiến độ, Risk Register; quản lý dữ liệu lưu trữ/sao lưu theo §6.5); nhà thống kê/phân tích (R phân tích, A về tính đúng thống kê — cỡ mẫu Whitehead MT2, viết và khoá SAP; khuyến nghị độc lập với người thu thập); điều tra viên phát/thu phiếu (ngoài Khoa C1a); người nhập liệu (nhập đôi 100%, nên khác điều tra viên); giám sát chất lượng QC; tổ mở hòm phiếu 2 người và tổ mã hoá ý kiến mở 2 người + 1 phân xử (đều ngoài khoa; chủ nhiệm không tham gia); hội đồng chuyên gia I-CVI/S-CVI 6–10 người (≥ 2 đại diện người bệnh, ≤ 2 người thuộc C1a); bên thứ ba Phòng CNTT/QLCL trích HIS. Số người cụ thể mỗi vai do chủ nhiệm ấn định theo cỡ mẫu và lưu lượng khám.</w:t>
      </w:r>
    </w:p>
    <w:p>
      <w:pPr>
        <w:spacing w:before="280" w:after="160" w:lineRule="auto" w:line="312"/>
      </w:pPr>
      <w:r>
        <w:rPr>
          <w:rFonts w:ascii="Times New Roman" w:hAnsi="Times New Roman" w:eastAsia="Times New Roman" w:cs="Times New Roman"/>
          <w:b/>
          <w:i w:val="0"/>
          <w:sz w:val="28"/>
        </w:rPr>
        <w:t>GANTT theo cổng</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Chặng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Phụ thuộc</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Thời lượng</w:t>
            </w:r>
          </w:p>
        </w:tc>
        <w:tc>
          <w:tcPr>
            <w:tcW w:type="dxa" w:w="2268"/>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Mốc nghiệm thu</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G0–G1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Không</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lịch đã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Thiết kế + protocol map</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lịch đã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IRB/registration — * mốc cứng, chữ ký: G2 (IRB)</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G3–G4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G1</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lịch đã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Cỡ mẫu + SAP lock — * mốc cứng, chữ ký: G4 (STATISTICIAN/PI)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G5</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G2/G4</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lịch đã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Pilot/SOP/data tools — * mốc cứng, chữ ký: G5 (DATA_MANAGER/PI)</w:t>
            </w:r>
          </w:p>
        </w:tc>
      </w:tr>
      <w:tr>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G6–G10</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Data lock</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lịch đã khai</w:t>
            </w:r>
          </w:p>
        </w:tc>
        <w:tc>
          <w:tcPr>
            <w:tcW w:type="dxa" w:w="2268"/>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Analysis/report/review/closeout — * mốc cứng, chữ ký: G8 (INDEPENDENT_PEER_REVIEWER), G9 (PI), G10 (PI)</w:t>
            </w:r>
          </w:p>
        </w:tc>
      </w:tr>
    </w:tbl>
    <w:p/>
    <w:p>
      <w:pPr>
        <w:spacing w:before="0" w:after="160" w:lineRule="auto" w:line="360"/>
        <w:jc w:val="both"/>
      </w:pPr>
      <w:r>
        <w:rPr>
          <w:rFonts w:ascii="Times New Roman" w:hAnsi="Times New Roman" w:eastAsia="Times New Roman" w:cs="Times New Roman"/>
          <w:b w:val="0"/>
          <w:i w:val="0"/>
          <w:sz w:val="26"/>
        </w:rPr>
        <w:t>Lịch đã khai (`gate_params.G1.study_schema_timeline`): Theo đề cương §4.9 và §6.2 (mốc T0 = ngày Hội đồng Đạo đức/lãnh đạo BVQY 175 phê duyệt): đăng ký công khai OSF Registries trước T0 đến phê duyệt đạo đức (T0, phạm vi gồm cả pha công cụ) đến pha phát triển và kiểm định công cụ (bảng truy xuất mục, hội đồng chuyên gia I-CVI/S-CVI, phỏng vấn nhận thức 10–15 người bệnh, pilot n ≈ 50–100 tách khỏi mẫu chính, khoá vFinal) + dry-run chấm F1–F5 đến khoá SAP đến thu thập mẫu chính n = 1000 (chọn mẫu hệ thống phân tầng ngày × khung giờ; mỗi người đo MỘT lần ngay sau khi hoàn tất lượt khám: sàng lọc đến ICF riêng đến phiếu tự điền đến hòm kín) đến ghép thời gian chờ HIS (bên thứ ba) đến nhập đôi 100%, làm sạch đến khoá dữ liệu đến phân tích (chỉ sau khi SAP và dữ liệu đã khoá) đến bản thảo STROBE đến nghiệm thu. Thời lượng từng pha do chủ nhiệm ấn định theo lịch khoa.</w:t>
      </w:r>
    </w:p>
    <w:p>
      <w:pPr>
        <w:spacing w:before="280" w:after="160" w:lineRule="auto" w:line="312"/>
      </w:pPr>
      <w:r>
        <w:rPr>
          <w:rFonts w:ascii="Times New Roman" w:hAnsi="Times New Roman" w:eastAsia="Times New Roman" w:cs="Times New Roman"/>
          <w:b/>
          <w:i w:val="0"/>
          <w:sz w:val="28"/>
        </w:rPr>
        <w:t>KINH PHÍ</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Nhóm chi phí</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Số lượng</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Đơn giá có nguồn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Thành tiền</w:t>
            </w:r>
          </w:p>
        </w:tc>
        <w:tc>
          <w:tcPr>
            <w:tcW w:type="dxa" w:w="1814"/>
            <w:vAlign w:val="top"/>
            <w:tcMar>
              <w:top w:w="108" w:type="dxa"/>
              <w:left w:w="108" w:type="dxa"/>
              <w:bottom w:w="108" w:type="dxa"/>
              <w:right w:w="108" w:type="dxa"/>
            </w:tcMar>
            <w:shd w:fill="D9EAF7"/>
          </w:tcPr>
          <w:p>
            <w:pPr>
              <w:spacing w:before="40" w:after="40" w:lineRule="auto" w:line="276"/>
              <w:jc w:val="center"/>
            </w:pPr>
            <w:r/>
            <w:r>
              <w:rPr>
                <w:rFonts w:ascii="Times New Roman" w:hAnsi="Times New Roman" w:eastAsia="Times New Roman" w:cs="Times New Roman"/>
                <w:b/>
                <w:i w:val="0"/>
                <w:sz w:val="22"/>
              </w:rPr>
              <w:t>Trạng thái</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phiếu khảo sát phiên bản cuối (kể cả dự phòng)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1.300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In bản thông tin và phiếu đồng ý tham gia</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1.300 bản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Pha phát triển bộ câu hỏi: hội đồng chuyên gia, phỏng vấn nhận thức (10–15 người), khảo sát thử (50–100 người)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đợt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điều tra viên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r>
              <w:rPr>
                <w:rFonts w:ascii="Times New Roman" w:hAnsi="Times New Roman" w:eastAsia="Times New Roman" w:cs="Times New Roman"/>
                <w:b w:val="0"/>
                <w:i w:val="0"/>
                <w:sz w:val="22"/>
              </w:rPr>
              <w:t xml:space="preserve"> công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giám sát chất lượng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r>
              <w:rPr>
                <w:rFonts w:ascii="Times New Roman" w:hAnsi="Times New Roman" w:eastAsia="Times New Roman" w:cs="Times New Roman"/>
                <w:b w:val="0"/>
                <w:i w:val="0"/>
                <w:sz w:val="22"/>
              </w:rPr>
              <w:t xml:space="preserve"> công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Nhập liệu kép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 2.000 lượt nhập</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Thù lao nhà thống kê</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r>
              <w:rPr>
                <w:rFonts w:ascii="Times New Roman" w:hAnsi="Times New Roman" w:eastAsia="Times New Roman" w:cs="Times New Roman"/>
                <w:b w:val="0"/>
                <w:i w:val="0"/>
                <w:sz w:val="22"/>
              </w:rPr>
              <w:t xml:space="preserve"> công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Phần mềm thống kê (R – miễn phí)</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0</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Văn phòng phẩm, hòm phiếu, vật tư</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Theo nhu cầu</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Phí công bố bài báo (nếu có)</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1 bài</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 CHỦ NHIỆM ẤN ĐỊNH]</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r>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phòng</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i/>
                <w:color w:val="CC7700"/>
                <w:sz w:val="22"/>
              </w:rPr>
              <w:t>[CẦN]</w:t>
            </w:r>
          </w:p>
        </w:tc>
        <w:tc>
          <w:tcPr>
            <w:tcW w:type="dxa" w:w="1814"/>
            <w:vAlign w:val="top"/>
            <w:tcMar>
              <w:top w:w="108" w:type="dxa"/>
              <w:left w:w="108" w:type="dxa"/>
              <w:bottom w:w="108" w:type="dxa"/>
              <w:right w:w="108" w:type="dxa"/>
            </w:tcMar>
          </w:tcPr>
          <w:p>
            <w:pPr>
              <w:spacing w:before="40" w:after="40" w:lineRule="auto" w:line="276"/>
              <w:jc w:val="both"/>
            </w:pPr>
            <w:r/>
            <w:r>
              <w:rPr>
                <w:rFonts w:ascii="Times New Roman" w:hAnsi="Times New Roman" w:eastAsia="Times New Roman" w:cs="Times New Roman"/>
                <w:b w:val="0"/>
                <w:i w:val="0"/>
                <w:sz w:val="22"/>
              </w:rPr>
              <w:t>Dự thảo — nguồn tự túc (đề cương §6.3, Bảng 6.3)</w:t>
            </w:r>
          </w:p>
        </w:tc>
      </w:tr>
    </w:tbl>
    <w:p/>
    <w:p>
      <w:pPr>
        <w:spacing w:before="280" w:after="160" w:lineRule="auto" w:line="312"/>
      </w:pPr>
      <w:r>
        <w:rPr>
          <w:rFonts w:ascii="Times New Roman" w:hAnsi="Times New Roman" w:eastAsia="Times New Roman" w:cs="Times New Roman"/>
          <w:b/>
          <w:i w:val="0"/>
          <w:sz w:val="28"/>
        </w:rPr>
        <w:t>QUALITY-BY-DESIGN</w:t>
      </w:r>
    </w:p>
    <w:p>
      <w:pPr>
        <w:pStyle w:val="ListBullet"/>
        <w:spacing w:before="0" w:after="80" w:lineRule="auto" w:line="360"/>
        <w:jc w:val="both"/>
      </w:pPr>
      <w:r>
        <w:rPr>
          <w:rFonts w:ascii="Times New Roman" w:hAnsi="Times New Roman" w:eastAsia="Times New Roman" w:cs="Times New Roman"/>
          <w:b w:val="0"/>
          <w:i w:val="0"/>
          <w:sz w:val="26"/>
        </w:rPr>
        <w:t>Critical-to-quality factors và quality tolerance limits đã khai (`gate_params.G1.critical_to_quality`): Theo đề cương §4.4.2, §4.7, §4.8 và §6.5: (1) chọn mẫu hệ thống phân tầng đúng bước k_h — giới hạn chấp nhận F1 ≥ 80%; (2) tỷ lệ đồng ý ≥ 60% (F2), có sổ nhật ký từ chối để báo cáo tỷ lệ đáp ứng; (3) ghép thời gian chờ HIS ≥ 90% phiếu (F3); (4) công cụ rõ nghĩa (F4 trung vị ≤ 20 phút; F5 &lt; 3 mục hiểu sai ≥ 20%); (5) kiểm soát thiên kiến chiều lòng — tự điền ẩn danh, hòm kín, điều tra viên ngoài khoa, đo ngoài buồng khám, cấm trả lời thay; (6) có `ma_ban_kham` giả danh từ phiếu đầu tiên (xử lý gom cụm); (7) nhập đôi 100% với luật range/logic; (8) không PII trong hệ thống dữ liệu của nhóm nghiên cứu; (9) không phân tích trước khi khoá SAP và dữ liệu.</w:t>
      </w:r>
    </w:p>
    <w:p>
      <w:pPr>
        <w:pStyle w:val="ListBullet"/>
        <w:spacing w:before="0" w:after="80" w:lineRule="auto" w:line="360"/>
        <w:jc w:val="both"/>
      </w:pPr>
      <w:r>
        <w:rPr>
          <w:rFonts w:ascii="Times New Roman" w:hAnsi="Times New Roman" w:eastAsia="Times New Roman" w:cs="Times New Roman"/>
          <w:b w:val="0"/>
          <w:i w:val="0"/>
          <w:sz w:val="26"/>
        </w:rPr>
        <w:t>Monitoring và escalation đã khai (`gate_params.G1.monitoring_plan`): Theo đề cương §4.9 bước 11, §6.1, §6.4, §6.5: giám sát chất lượng (QC, nên độc lập với điều tra viên) kiểm tra ngẫu nhiên phiếu/nhập liệu, tuân thủ chọn mẫu và đối chiếu tỷ lệ đáp ứng; thư ký/điều phối theo dõi mốc và tổng hợp Risk Register (R1–R9), rà lại sau mỗi mốc; hòm phiếu do tổ hai người mở có biên bản; audit trail và nhật ký truy vấn dữ liệu sau khoá; nhật ký huỷ bảng ghép HIS; chủ nhiệm chịu trách nhiệm cuối (A). Không có DSMB vì không can thiệp.</w:t>
      </w:r>
    </w:p>
    <w:p>
      <w:pPr>
        <w:spacing w:before="120" w:after="200" w:lineRule="auto" w:line="312"/>
        <w:jc w:val="both"/>
        <w:ind w:left="567" w:right="567"/>
      </w:pPr>
      <w:r>
        <w:rPr>
          <w:rFonts w:ascii="Times New Roman" w:hAnsi="Times New Roman" w:eastAsia="Times New Roman" w:cs="Times New Roman"/>
          <w:b w:val="0"/>
          <w:i/>
          <w:sz w:val="22"/>
        </w:rPr>
        <w:t>Cần bác sĩ kiểm chứng.</w:t>
      </w:r>
    </w:p>
    <w:sectPr w:rsidR="00FC693F" w:rsidRPr="0006063C" w:rsidSect="00034616">
      <w:footerReference w:type="default" r:id="rId9"/>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Rule="auto" w:line="240"/>
      <w:jc w:val="center"/>
    </w:pPr>
    <w:r>
      <w:rPr>
        <w:rFonts w:ascii="Times New Roman" w:hAnsi="Times New Roman" w:eastAsia="Times New Roman" w:cs="Times New Roman"/>
        <w:b w:val="0"/>
        <w:i w:val="0"/>
        <w:sz w:val="20"/>
      </w:rPr>
      <w:t xml:space="preserve">Trang </w:t>
    </w:r>
    <w:r>
      <w:rPr>
        <w:rFonts w:ascii="Times New Roman" w:hAnsi="Times New Roman" w:eastAsia="Times New Roman" w:cs="Times New Roman"/>
        <w:b w:val="0"/>
        <w:i w:val="0"/>
        <w:sz w:val="20"/>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