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 w:lineRule="auto" w:line="312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RISK REGISTER SỐNG (A13b) — hai-long-benh-nhan-C1a-BVQY175</w:t>
      </w:r>
    </w:p>
    <w:p>
      <w:pPr>
        <w:spacing w:before="120" w:after="200" w:lineRule="auto" w:line="312"/>
        <w:jc w:val="both"/>
        <w:ind w:left="567" w:right="567"/>
      </w:pPr>
      <w:r>
        <w:rPr>
          <w:rFonts w:ascii="Times New Roman" w:hAnsi="Times New Roman" w:eastAsia="Times New Roman" w:cs="Times New Roman"/>
          <w:b/>
          <w:i/>
          <w:color w:val="CC7700"/>
          <w:sz w:val="22"/>
        </w:rPr>
        <w:t>[DỰ THẢO]</w:t>
      </w:r>
      <w:r>
        <w:rPr>
          <w:rFonts w:ascii="Times New Roman" w:hAnsi="Times New Roman" w:eastAsia="Times New Roman" w:cs="Times New Roman"/>
          <w:b w:val="0"/>
          <w:i/>
          <w:sz w:val="22"/>
        </w:rPr>
        <w:t xml:space="preserve"> Mức xác suất/tác động phải được nhóm nghiên cứu hiệu chỉnh (thang Thấp · Trung bình · Cao).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tblHeader w:val="true"/>
        </w:trPr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  <w:shd w:fill="D9EAF7"/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ID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  <w:shd w:fill="D9EAF7"/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Loại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  <w:shd w:fill="D9EAF7"/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Rủi ro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  <w:shd w:fill="D9EAF7"/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Xác suất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  <w:shd w:fill="D9EAF7"/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Tác động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  <w:shd w:fill="D9EAF7"/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Giảm thiểu trước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  <w:shd w:fill="D9EAF7"/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CAPA nếu xảy ra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  <w:shd w:fill="D9EAF7"/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Chủ nhân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  <w:shd w:fill="D9EAF7"/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  <w:shd w:fill="D9EAF7"/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Ngày rà</w:t>
            </w:r>
          </w:p>
        </w:tc>
      </w:tr>
      <w:tr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R1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Tuyển mẫu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Tỷ lệ từ chối cao (nếu tỷ lệ đồng ý chỉ khoảng 60% – ngưỡng tối thiểu của buổi chạy thử – cần khoảng 1.700 lượt mời)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[CẦN]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Cao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Phiếu khuyết danh; giải thích rõ không ảnh hưởng quyền lợi; kịch bản mời thống nhất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Kéo dài thời gian thu thập; bổ sung điều tra viên; in bổ sung phiếu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Điều tra viên (mời, giải thích, lấy đồng ý); thư ký đề tài theo dõi sổ rủi ro — Bảng 6.1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Mở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 NGƯỜI RÀ]</w:t>
            </w:r>
          </w:p>
        </w:tc>
      </w:tr>
      <w:tr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R2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Nhân lực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Thiếu điều tra viên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[CẦN]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Trung bình – cao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Tuyển và tập huấn dự phòng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Điều động điều tra viên dự phòng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Chủ nhiệm đề tài (phân công); thư ký đề tài (tiến độ) — Bảng 6.1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Mở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 NGƯỜI RÀ]</w:t>
            </w:r>
          </w:p>
        </w:tc>
      </w:tr>
      <w:tr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R3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Tuyển mẫu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Lưu lượng người bệnh biến động theo mùa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[CẦN]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Trung bình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Ước tính lưu lượng theo mùa khi lập kế hoạch phân bổ theo tầng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Kéo dài thời gian thu thập; nếu chọn mẫu không khả thi thì tạm dừng và trình Hội đồng sửa đổi đề cương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Nhà thống kê (phân bổ theo tầng); chủ nhiệm đề tài (trình Hội đồng sửa đổi nếu cần) — Bảng 6.1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Mở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 NGƯỜI RÀ]</w:t>
            </w:r>
          </w:p>
        </w:tc>
      </w:tr>
      <w:tr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R4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Đo lường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Sai lệch do mong muốn xã hội, hiệu ứng trần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[CẦN]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Cao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Tự điền khuyết danh, hòm kín, điều tra viên ngoài khoa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Phân tích độ nhạy; báo cáo tỷ lệ điểm trần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Điều tra viên và giám sát chất lượng (thu phiếu trung lập); nhà thống kê (phân tích độ nhạy) — Bảng 6.1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Mở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 NGƯỜI RÀ]</w:t>
            </w:r>
          </w:p>
        </w:tc>
      </w:tr>
      <w:tr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R5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Đạo đức / tiến độ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Thời gian chờ phê duyệt kéo dài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[CẦN]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Cao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bị hồ sơ đầy đủ sớm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Điều chỉnh tiến độ theo ngày phê duyệt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Chủ nhiệm đề tài (hồ sơ đạo đức, điều chỉnh tiến độ) — Bảng 6.1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Mở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 NGƯỜI RÀ]</w:t>
            </w:r>
          </w:p>
        </w:tc>
      </w:tr>
      <w:tr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R6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Dữ liệu cá nhân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Lộ thông tin cá nhân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[CẦN]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Thấp (hậu quả lớn)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Phiếu khuyết danh; phiếu đồng ý lưu riêng; giả danh hóa có kiểm soát khi ghép HIS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Kiểm tra cơ sở dữ liệu không chứa thông tin định danh trước khi phân tích; xử lý sự cố theo quy định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Thư ký đề tài (lưu trữ, sao lưu); Phòng CNTT/QLCL (bảng đối chiếu giả danh); nhà thống kê (kiểm CSDL trước phân tích) — Bảng 6.1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Mở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 NGƯỜI RÀ]</w:t>
            </w:r>
          </w:p>
        </w:tc>
      </w:tr>
      <w:tr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R7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Dữ liệu (HIS)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trích xuất được thời gian chờ từ HIS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[CẦN]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Trung bình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Thống nhất quy trình với Phòng CNTT/QLCL; kiểm tra ở buổi chạy thử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Bổ sung câu hỏi về thời gian chờ theo cảm nhận (trình Hội đồng sửa đổi đề cương); phân tích tách biệt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Phòng CNTT/QLCL (trích xuất); chủ nhiệm đề tài (trình sửa đổi nếu không trích được) — Bảng 6.1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Mở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 NGƯỜI RÀ]</w:t>
            </w:r>
          </w:p>
        </w:tc>
      </w:tr>
      <w:tr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R8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Dữ liệu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Dữ liệu thiếu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[CẦN]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Trung bình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Phiếu rõ ràng; nhắc người bệnh rà lại phiếu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Xử lý theo kế hoạch phân tích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Người nhập liệu và giám sát chất lượng; nhà thống kê (xử lý theo kế hoạch phân tích) — Bảng 6.1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Mở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 NGƯỜI RÀ]</w:t>
            </w:r>
          </w:p>
        </w:tc>
      </w:tr>
      <w:tr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R9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Dữ liệu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Người bệnh tham gia trùng lặp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[CẦN]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Thấp – trung bình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Hỏi chống trùng trước khi mời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Loại bản ghi trùng khi làm sạch số liệu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Điều tra viên (hỏi chống trùng); người nhập liệu (loại bản ghi trùng) — Bảng 6.1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Mở</w:t>
            </w:r>
          </w:p>
        </w:tc>
        <w:tc>
          <w:tcPr>
            <w:tcW w:type="dxa" w:w="907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 NGƯỜI RÀ]</w:t>
            </w:r>
          </w:p>
        </w:tc>
      </w:tr>
    </w:tbl>
    <w:p/>
    <w:p>
      <w:pPr>
        <w:spacing w:before="280" w:after="160" w:lineRule="auto" w:line="312"/>
      </w:pPr>
      <w:r>
        <w:rPr>
          <w:rFonts w:ascii="Times New Roman" w:hAnsi="Times New Roman" w:eastAsia="Times New Roman" w:cs="Times New Roman"/>
          <w:b/>
          <w:i w:val="0"/>
          <w:sz w:val="28"/>
        </w:rPr>
        <w:t>Quy tắc cập nhật</w:t>
      </w:r>
    </w:p>
    <w:p>
      <w:pPr>
        <w:pStyle w:val="ListBullet"/>
        <w:spacing w:before="0" w:after="80" w:lineRule="auto" w:line="3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Rà sau mỗi cổng và khi có protocol amendment.</w:t>
      </w:r>
    </w:p>
    <w:p>
      <w:pPr>
        <w:pStyle w:val="ListBullet"/>
        <w:spacing w:before="0" w:after="80" w:lineRule="auto" w:line="3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Ghi mọi thay đổi vào `study_meta.json đến gate_params.G1.risk_register` (giữ dòng cũ, cập nhật trạng thái, ngày rà,</w:t>
      </w:r>
    </w:p>
    <w:p>
      <w:pPr>
        <w:spacing w:before="0" w:after="160" w:lineRule="auto" w:line="3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nguyên nhân và CAPA) rồi chạy lại G1 — tệp .md này được SINH LẠI, sửa tay sẽ bị ghi đè (bản sửa tay được sao lưu).</w:t>
      </w:r>
    </w:p>
    <w:p>
      <w:pPr>
        <w:spacing w:before="120" w:after="200" w:lineRule="auto" w:line="312"/>
        <w:jc w:val="both"/>
        <w:ind w:left="567" w:right="567"/>
      </w:pPr>
      <w:r>
        <w:rPr>
          <w:rFonts w:ascii="Times New Roman" w:hAnsi="Times New Roman" w:eastAsia="Times New Roman" w:cs="Times New Roman"/>
          <w:b w:val="0"/>
          <w:i/>
          <w:sz w:val="22"/>
        </w:rPr>
        <w:t>Cần bác sĩ kiểm chứng.</w:t>
      </w:r>
    </w:p>
    <w:sectPr w:rsidR="00FC693F" w:rsidRPr="0006063C" w:rsidSect="00034616">
      <w:footerReference w:type="default" r:id="rId9"/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auto" w:line="240"/>
      <w:jc w:val="center"/>
    </w:pPr>
    <w:r>
      <w:rPr>
        <w:rFonts w:ascii="Times New Roman" w:hAnsi="Times New Roman" w:eastAsia="Times New Roman" w:cs="Times New Roman"/>
        <w:b w:val="0"/>
        <w:i w:val="0"/>
        <w:sz w:val="20"/>
      </w:rPr>
      <w:t xml:space="preserve">Trang </w:t>
    </w:r>
    <w:r>
      <w:rPr>
        <w:rFonts w:ascii="Times New Roman" w:hAnsi="Times New Roman" w:eastAsia="Times New Roman" w:cs="Times New Roman"/>
        <w:b w:val="0"/>
        <w:i w:val="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