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20" w:lineRule="auto" w:line="312"/>
        <w:jc w:val="center"/>
      </w:pPr>
      <w:r>
        <w:rPr>
          <w:rFonts w:ascii="Times New Roman" w:hAnsi="Times New Roman" w:eastAsia="Times New Roman" w:cs="Times New Roman"/>
          <w:b/>
          <w:i w:val="0"/>
          <w:sz w:val="32"/>
        </w:rPr>
        <w:t>KẾ HOẠCH TRIỂN KHAI (A13) — hai-long-benh-nhan-C1a-BVQY175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/>
          <w:i/>
          <w:color w:val="CC7700"/>
          <w:sz w:val="22"/>
        </w:rPr>
        <w:t>[DỰ THẢO]</w:t>
      </w:r>
      <w:r>
        <w:rPr>
          <w:rFonts w:ascii="Times New Roman" w:hAnsi="Times New Roman" w:eastAsia="Times New Roman" w:cs="Times New Roman"/>
          <w:b w:val="0"/>
          <w:i/>
          <w:sz w:val="22"/>
        </w:rPr>
        <w:t xml:space="preserve"> Đơn giá, nhân sự và thời lượng thật do chủ nhiệm/đơn vị xác nhận.</w:t>
      </w:r>
    </w:p>
    <w:p>
      <w:pPr>
        <w:spacing w:before="280" w:after="160" w:lineRule="auto" w:line="312"/>
      </w:pPr>
      <w:r>
        <w:rPr>
          <w:rFonts w:ascii="Times New Roman" w:hAnsi="Times New Roman" w:eastAsia="Times New Roman" w:cs="Times New Roman"/>
          <w:b/>
          <w:i w:val="0"/>
          <w:sz w:val="28"/>
        </w:rPr>
        <w:t>RACI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tblHeader w:val="true"/>
        </w:trPr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  <w:shd w:fill="D9EAF7"/>
          </w:tcPr>
          <w:p>
            <w:pPr>
              <w:spacing w:before="40" w:after="40" w:lineRule="auto" w:line="276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Công việc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  <w:shd w:fill="D9EAF7"/>
          </w:tcPr>
          <w:p>
            <w:pPr>
              <w:spacing w:before="40" w:after="40" w:lineRule="auto" w:line="276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PI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  <w:shd w:fill="D9EAF7"/>
          </w:tcPr>
          <w:p>
            <w:pPr>
              <w:spacing w:before="40" w:after="40" w:lineRule="auto" w:line="276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Methodologist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  <w:shd w:fill="D9EAF7"/>
          </w:tcPr>
          <w:p>
            <w:pPr>
              <w:spacing w:before="40" w:after="40" w:lineRule="auto" w:line="276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Biostatistician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  <w:shd w:fill="D9EAF7"/>
          </w:tcPr>
          <w:p>
            <w:pPr>
              <w:spacing w:before="40" w:after="40" w:lineRule="auto" w:line="276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Data Manager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  <w:shd w:fill="D9EAF7"/>
          </w:tcPr>
          <w:p>
            <w:pPr>
              <w:spacing w:before="40" w:after="40" w:lineRule="auto" w:line="276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Site team</w:t>
            </w:r>
          </w:p>
        </w:tc>
      </w:tr>
      <w:tr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Chốt thiết kế/protocol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A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R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C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I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C</w:t>
            </w:r>
          </w:p>
        </w:tc>
      </w:tr>
      <w:tr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Cỡ mẫu/SAP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A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C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R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C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I</w:t>
            </w:r>
          </w:p>
        </w:tc>
      </w:tr>
      <w:tr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IRB/consent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A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C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I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C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R</w:t>
            </w:r>
          </w:p>
        </w:tc>
      </w:tr>
      <w:tr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Thu thập/QC dữ liệu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A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I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C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R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R</w:t>
            </w:r>
          </w:p>
        </w:tc>
      </w:tr>
      <w:tr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Phân tích/báo cáo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A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C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R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C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I</w:t>
            </w:r>
          </w:p>
        </w:tc>
      </w:tr>
    </w:tbl>
    <w:p/>
    <w:p>
      <w:pPr>
        <w:spacing w:before="280" w:after="160" w:lineRule="auto" w:line="312"/>
      </w:pPr>
      <w:r>
        <w:rPr>
          <w:rFonts w:ascii="Times New Roman" w:hAnsi="Times New Roman" w:eastAsia="Times New Roman" w:cs="Times New Roman"/>
          <w:b/>
          <w:i w:val="0"/>
          <w:sz w:val="28"/>
        </w:rPr>
        <w:t>GANTT theo cổng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  <w:shd w:fill="D9EAF7"/>
          </w:tcPr>
          <w:p>
            <w:pPr>
              <w:spacing w:before="40" w:after="40" w:lineRule="auto" w:line="276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Chặng</w:t>
            </w:r>
          </w:p>
        </w:tc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  <w:shd w:fill="D9EAF7"/>
          </w:tcPr>
          <w:p>
            <w:pPr>
              <w:spacing w:before="40" w:after="40" w:lineRule="auto" w:line="276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Phụ thuộc</w:t>
            </w:r>
          </w:p>
        </w:tc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  <w:shd w:fill="D9EAF7"/>
          </w:tcPr>
          <w:p>
            <w:pPr>
              <w:spacing w:before="40" w:after="40" w:lineRule="auto" w:line="276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Thời lượng</w:t>
            </w:r>
          </w:p>
        </w:tc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  <w:shd w:fill="D9EAF7"/>
          </w:tcPr>
          <w:p>
            <w:pPr>
              <w:spacing w:before="40" w:after="40" w:lineRule="auto" w:line="276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Mốc nghiệm thu</w:t>
            </w:r>
          </w:p>
        </w:tc>
      </w:tr>
      <w:tr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G0–G1</w:t>
            </w:r>
          </w:p>
        </w:tc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Không</w:t>
            </w:r>
          </w:p>
        </w:tc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[CẦN]</w:t>
            </w:r>
          </w:p>
        </w:tc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Thiết kế + protocol map</w:t>
            </w:r>
          </w:p>
        </w:tc>
      </w:tr>
      <w:tr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G2</w:t>
            </w:r>
          </w:p>
        </w:tc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G1</w:t>
            </w:r>
          </w:p>
        </w:tc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[CẦN]</w:t>
            </w:r>
          </w:p>
        </w:tc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IRB/registration</w:t>
            </w:r>
          </w:p>
        </w:tc>
      </w:tr>
      <w:tr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G3–G4</w:t>
            </w:r>
          </w:p>
        </w:tc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G1</w:t>
            </w:r>
          </w:p>
        </w:tc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[CẦN]</w:t>
            </w:r>
          </w:p>
        </w:tc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Cỡ mẫu + SAP lock</w:t>
            </w:r>
          </w:p>
        </w:tc>
      </w:tr>
      <w:tr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G5</w:t>
            </w:r>
          </w:p>
        </w:tc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G2/G4</w:t>
            </w:r>
          </w:p>
        </w:tc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[CẦN]</w:t>
            </w:r>
          </w:p>
        </w:tc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Pilot/SOP/data tools</w:t>
            </w:r>
          </w:p>
        </w:tc>
      </w:tr>
      <w:tr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G6–G10</w:t>
            </w:r>
          </w:p>
        </w:tc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Data lock</w:t>
            </w:r>
          </w:p>
        </w:tc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[CẦN]</w:t>
            </w:r>
          </w:p>
        </w:tc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Analysis/report/review/closeout</w:t>
            </w:r>
          </w:p>
        </w:tc>
      </w:tr>
    </w:tbl>
    <w:p/>
    <w:p>
      <w:pPr>
        <w:spacing w:before="280" w:after="160" w:lineRule="auto" w:line="312"/>
      </w:pPr>
      <w:r>
        <w:rPr>
          <w:rFonts w:ascii="Times New Roman" w:hAnsi="Times New Roman" w:eastAsia="Times New Roman" w:cs="Times New Roman"/>
          <w:b/>
          <w:i w:val="0"/>
          <w:sz w:val="28"/>
        </w:rPr>
        <w:t>KINH PHÍ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1814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  <w:shd w:fill="D9EAF7"/>
          </w:tcPr>
          <w:p>
            <w:pPr>
              <w:spacing w:before="40" w:after="40" w:lineRule="auto" w:line="276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Nhóm chi phí</w:t>
            </w:r>
          </w:p>
        </w:tc>
        <w:tc>
          <w:tcPr>
            <w:tcW w:type="dxa" w:w="1814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  <w:shd w:fill="D9EAF7"/>
          </w:tcPr>
          <w:p>
            <w:pPr>
              <w:spacing w:before="40" w:after="40" w:lineRule="auto" w:line="276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Số lượng</w:t>
            </w:r>
          </w:p>
        </w:tc>
        <w:tc>
          <w:tcPr>
            <w:tcW w:type="dxa" w:w="1814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  <w:shd w:fill="D9EAF7"/>
          </w:tcPr>
          <w:p>
            <w:pPr>
              <w:spacing w:before="40" w:after="40" w:lineRule="auto" w:line="276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Đơn giá có nguồn</w:t>
            </w:r>
          </w:p>
        </w:tc>
        <w:tc>
          <w:tcPr>
            <w:tcW w:type="dxa" w:w="1814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  <w:shd w:fill="D9EAF7"/>
          </w:tcPr>
          <w:p>
            <w:pPr>
              <w:spacing w:before="40" w:after="40" w:lineRule="auto" w:line="276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Thành tiền</w:t>
            </w:r>
          </w:p>
        </w:tc>
        <w:tc>
          <w:tcPr>
            <w:tcW w:type="dxa" w:w="1814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  <w:shd w:fill="D9EAF7"/>
          </w:tcPr>
          <w:p>
            <w:pPr>
              <w:spacing w:before="40" w:after="40" w:lineRule="auto" w:line="276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Trạng thái</w:t>
            </w:r>
          </w:p>
        </w:tc>
      </w:tr>
      <w:tr>
        <w:tc>
          <w:tcPr>
            <w:tcW w:type="dxa" w:w="1814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Nhân công</w:t>
            </w:r>
          </w:p>
        </w:tc>
        <w:tc>
          <w:tcPr>
            <w:tcW w:type="dxa" w:w="1814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[CẦN]</w:t>
            </w:r>
          </w:p>
        </w:tc>
        <w:tc>
          <w:tcPr>
            <w:tcW w:type="dxa" w:w="1814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CHỦ NHIỆM ẤN ĐỊNH]</w:t>
            </w:r>
          </w:p>
        </w:tc>
        <w:tc>
          <w:tcPr>
            <w:tcW w:type="dxa" w:w="1814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[CẦN]</w:t>
            </w:r>
          </w:p>
        </w:tc>
        <w:tc>
          <w:tcPr>
            <w:tcW w:type="dxa" w:w="1814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Dự thảo</w:t>
            </w:r>
          </w:p>
        </w:tc>
      </w:tr>
      <w:tr>
        <w:tc>
          <w:tcPr>
            <w:tcW w:type="dxa" w:w="1814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Thu thập/xét nghiệm</w:t>
            </w:r>
          </w:p>
        </w:tc>
        <w:tc>
          <w:tcPr>
            <w:tcW w:type="dxa" w:w="1814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[CẦN]</w:t>
            </w:r>
          </w:p>
        </w:tc>
        <w:tc>
          <w:tcPr>
            <w:tcW w:type="dxa" w:w="1814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[CẦN]</w:t>
            </w:r>
          </w:p>
        </w:tc>
        <w:tc>
          <w:tcPr>
            <w:tcW w:type="dxa" w:w="1814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[CẦN]</w:t>
            </w:r>
          </w:p>
        </w:tc>
        <w:tc>
          <w:tcPr>
            <w:tcW w:type="dxa" w:w="1814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Dự thảo</w:t>
            </w:r>
          </w:p>
        </w:tc>
      </w:tr>
      <w:tr>
        <w:tc>
          <w:tcPr>
            <w:tcW w:type="dxa" w:w="1814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Dữ liệu/phần mềm</w:t>
            </w:r>
          </w:p>
        </w:tc>
        <w:tc>
          <w:tcPr>
            <w:tcW w:type="dxa" w:w="1814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[CẦN]</w:t>
            </w:r>
          </w:p>
        </w:tc>
        <w:tc>
          <w:tcPr>
            <w:tcW w:type="dxa" w:w="1814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[CẦN]</w:t>
            </w:r>
          </w:p>
        </w:tc>
        <w:tc>
          <w:tcPr>
            <w:tcW w:type="dxa" w:w="1814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[CẦN]</w:t>
            </w:r>
          </w:p>
        </w:tc>
        <w:tc>
          <w:tcPr>
            <w:tcW w:type="dxa" w:w="1814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Dự thảo</w:t>
            </w:r>
          </w:p>
        </w:tc>
      </w:tr>
      <w:tr>
        <w:tc>
          <w:tcPr>
            <w:tcW w:type="dxa" w:w="1814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Công bố/lưu trữ</w:t>
            </w:r>
          </w:p>
        </w:tc>
        <w:tc>
          <w:tcPr>
            <w:tcW w:type="dxa" w:w="1814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[CẦN]</w:t>
            </w:r>
          </w:p>
        </w:tc>
        <w:tc>
          <w:tcPr>
            <w:tcW w:type="dxa" w:w="1814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[CẦN]</w:t>
            </w:r>
          </w:p>
        </w:tc>
        <w:tc>
          <w:tcPr>
            <w:tcW w:type="dxa" w:w="1814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[CẦN]</w:t>
            </w:r>
          </w:p>
        </w:tc>
        <w:tc>
          <w:tcPr>
            <w:tcW w:type="dxa" w:w="1814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Dự thảo</w:t>
            </w:r>
          </w:p>
        </w:tc>
      </w:tr>
    </w:tbl>
    <w:p/>
    <w:p>
      <w:pPr>
        <w:spacing w:before="280" w:after="160" w:lineRule="auto" w:line="312"/>
      </w:pPr>
      <w:r>
        <w:rPr>
          <w:rFonts w:ascii="Times New Roman" w:hAnsi="Times New Roman" w:eastAsia="Times New Roman" w:cs="Times New Roman"/>
          <w:b/>
          <w:i w:val="0"/>
          <w:sz w:val="28"/>
        </w:rPr>
        <w:t>QUALITY-BY-DESIGN</w:t>
      </w:r>
    </w:p>
    <w:p>
      <w:pPr>
        <w:pStyle w:val="ListBullet"/>
        <w:spacing w:before="0" w:after="8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Critical-to-quality factors: quyền/an toàn người tham gia; tính tin cậy kết cục chính;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tuyển mẫu; missing data; tuân thủ protocol; truy nguyên dữ liệu.</w:t>
      </w:r>
    </w:p>
    <w:p>
      <w:pPr>
        <w:pStyle w:val="ListBullet"/>
        <w:spacing w:before="0" w:after="8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Quality tolerance limits: </w:t>
      </w:r>
      <w:r>
        <w:rPr>
          <w:rFonts w:ascii="Times New Roman" w:hAnsi="Times New Roman" w:eastAsia="Times New Roman" w:cs="Times New Roman"/>
          <w:b/>
          <w:i/>
          <w:color w:val="CC7700"/>
          <w:sz w:val="26"/>
        </w:rPr>
        <w:t>[CẦN PI/methodologist ấn định trước triển khai]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>.</w:t>
      </w:r>
    </w:p>
    <w:p>
      <w:pPr>
        <w:pStyle w:val="ListBullet"/>
        <w:spacing w:before="0" w:after="8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Monitoring và escalation: </w:t>
      </w:r>
      <w:r>
        <w:rPr>
          <w:rFonts w:ascii="Times New Roman" w:hAnsi="Times New Roman" w:eastAsia="Times New Roman" w:cs="Times New Roman"/>
          <w:b/>
          <w:i/>
          <w:color w:val="CC7700"/>
          <w:sz w:val="26"/>
        </w:rPr>
        <w:t>[CẦN xác nhận tại đơn vị]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>.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 w:val="0"/>
          <w:i/>
          <w:sz w:val="22"/>
        </w:rPr>
        <w:t>Cần bác sĩ kiểm chứng.</w:t>
      </w:r>
    </w:p>
    <w:sectPr w:rsidR="00FC693F" w:rsidRPr="0006063C" w:rsidSect="00034616">
      <w:footerReference w:type="default" r:id="rId9"/>
      <w:pgSz w:w="11906" w:h="16838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Rule="auto" w:line="240"/>
      <w:jc w:val="center"/>
    </w:pPr>
    <w:r>
      <w:rPr>
        <w:rFonts w:ascii="Times New Roman" w:hAnsi="Times New Roman" w:eastAsia="Times New Roman" w:cs="Times New Roman"/>
        <w:b w:val="0"/>
        <w:i w:val="0"/>
        <w:sz w:val="20"/>
      </w:rPr>
      <w:t xml:space="preserve">Trang </w:t>
    </w:r>
    <w:r>
      <w:rPr>
        <w:rFonts w:ascii="Times New Roman" w:hAnsi="Times New Roman" w:eastAsia="Times New Roman" w:cs="Times New Roman"/>
        <w:b w:val="0"/>
        <w:i w:val="0"/>
        <w:sz w:val="20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 w:cs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