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RISK REGISTER SỐNG (A13b) — hai-long-benh-nhan-C1a-BVQY175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color w:val="CC7700"/>
          <w:sz w:val="22"/>
        </w:rPr>
        <w:t>[DỰ THẢO]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Mức xác suất/tác động phải được nhóm nghiên cứu hiệu chỉnh.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tblHeader w:val="true"/>
        </w:trP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Loại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Rủi ro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Xác suất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Tác động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Giảm thiểu trước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CAPA nếu xảy ra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Chủ nhân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Trạng thái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Ngày rà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G1-R01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Thiết kế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Thiết kế không khớp câu hỏi/estimand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Methodologist rà trước G2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Sửa protocol có version; vô hiệu downstream cũ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PI/Methodologist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NGƯỜI RÀ]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G1-R02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Đạo đức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Hồ sơ không khớp phiên bản protocol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Hash/version mọi artifact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Dừng tuyển; amendment IRB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PI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NGƯỜI RÀ]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G1-R03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Tuyển mẫu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Không đạt tốc độ tuyển dự kiến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Feasibility log + nhiều điểm tuyển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CAPA tuyển mẫu; điều chỉnh timeline đã duyệt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Site lead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NGƯỜI RÀ]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G1-R04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Dữ liệu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Thiếu/sai dữ liệu kết cục chính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CRF validation + pilot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Query/CAPA; không tự điền dữ liệu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Data Manager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NGƯỜI RÀ]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G1-R05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Thống kê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Outcome/SAP thay đổi sau xem dữ liệu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Khóa SAP G4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Ghi deviation; phân tích gắn nhãn thăm dò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Biostatistician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NGƯỜI RÀ]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G1-R06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Liêm chính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Trích dẫn ma/sai nội dung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Evidence Ledger + A12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Loại/sửa nguồn; chạy lại A12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Evidence reviewer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NGƯỜI RÀ]</w:t>
            </w:r>
          </w:p>
        </w:tc>
      </w:tr>
    </w:tbl>
    <w:p/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Quy tắc cập nhật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Rà sau mỗi cổng và khi có protocol amendment.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Ghi mọi thay đổi vào `study_meta.json đến gate_params.G1.risk_register` (giữ dòng cũ, cập nhật trạng thái, ngày rà,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nguyên nhân và CAPA) rồi chạy lại G1 — tệp .md này được SINH LẠI, sửa tay sẽ bị ghi đè (bản sửa tay được sao lưu).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Cần bác sĩ kiểm chứng.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