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Rule="auto" w:line="312"/>
        <w:jc w:val="center"/>
      </w:pPr>
      <w:r>
        <w:rPr>
          <w:rFonts w:ascii="Times New Roman" w:hAnsi="Times New Roman" w:eastAsia="Times New Roman" w:cs="Times New Roman"/>
          <w:b/>
          <w:i w:val="0"/>
          <w:sz w:val="32"/>
        </w:rPr>
        <w:t>PROJECT CHARTER (A1b) — hai-long-benh-nhan-C1a-BVQY175</w:t>
      </w:r>
    </w:p>
    <w:p>
      <w:pPr>
        <w:spacing w:before="120" w:after="200" w:lineRule="auto" w:line="312"/>
        <w:jc w:val="both"/>
        <w:ind w:left="567" w:right="567"/>
      </w:pPr>
      <w:r>
        <w:rPr>
          <w:rFonts w:ascii="Times New Roman" w:hAnsi="Times New Roman" w:eastAsia="Times New Roman" w:cs="Times New Roman"/>
          <w:b/>
          <w:i/>
          <w:color w:val="CC7700"/>
          <w:sz w:val="22"/>
        </w:rPr>
        <w:t>[DỰ THẢO]</w:t>
      </w:r>
      <w:r>
        <w:rPr>
          <w:rFonts w:ascii="Times New Roman" w:hAnsi="Times New Roman" w:eastAsia="Times New Roman" w:cs="Times New Roman"/>
          <w:b w:val="0"/>
          <w:i/>
          <w:sz w:val="22"/>
        </w:rPr>
        <w:t xml:space="preserve"> Sinh tự động 2026-10-14 19:21; không thay xác nhận của PI/methodologist.</w:t>
      </w:r>
    </w:p>
    <w:p>
      <w:pPr>
        <w:spacing w:before="280" w:after="160" w:lineRule="auto" w:line="312"/>
      </w:pPr>
      <w:r>
        <w:rPr>
          <w:rFonts w:ascii="Times New Roman" w:hAnsi="Times New Roman" w:eastAsia="Times New Roman" w:cs="Times New Roman"/>
          <w:b/>
          <w:i w:val="0"/>
          <w:sz w:val="28"/>
        </w:rPr>
        <w:t>Phạm vi</w:t>
      </w:r>
    </w:p>
    <w:p>
      <w:pPr>
        <w:pStyle w:val="ListBullet"/>
        <w:spacing w:before="0" w:after="80" w:lineRule="auto" w:line="360"/>
        <w:jc w:val="both"/>
      </w:pPr>
      <w:r>
        <w:rPr>
          <w:rFonts w:ascii="Times New Roman" w:hAnsi="Times New Roman" w:eastAsia="Times New Roman" w:cs="Times New Roman"/>
          <w:b w:val="0"/>
          <w:i w:val="0"/>
          <w:sz w:val="26"/>
        </w:rPr>
        <w:t>Tên/chủ đề: Sự hài lòng của bệnh nhân trong hoạt động khám chữa bệnh tại Khoa Khám bệnh theo yêu cầu, bệnh viện quân y tuyến cuối</w:t>
      </w:r>
    </w:p>
    <w:p>
      <w:pPr>
        <w:pStyle w:val="ListBullet"/>
        <w:spacing w:before="0" w:after="80" w:lineRule="auto" w:line="360"/>
        <w:jc w:val="both"/>
      </w:pPr>
      <w:r>
        <w:rPr>
          <w:rFonts w:ascii="Times New Roman" w:hAnsi="Times New Roman" w:eastAsia="Times New Roman" w:cs="Times New Roman"/>
          <w:b w:val="0"/>
          <w:i w:val="0"/>
          <w:sz w:val="26"/>
        </w:rPr>
        <w:t>Thiết kế dự kiến: Nghiên cứu Cắt ngang Mô tả (Cross-sectional / Prevalence)</w:t>
      </w:r>
    </w:p>
    <w:p>
      <w:pPr>
        <w:pStyle w:val="ListBullet"/>
        <w:spacing w:before="0" w:after="80" w:lineRule="auto" w:line="360"/>
        <w:jc w:val="both"/>
      </w:pPr>
      <w:r>
        <w:rPr>
          <w:rFonts w:ascii="Times New Roman" w:hAnsi="Times New Roman" w:eastAsia="Times New Roman" w:cs="Times New Roman"/>
          <w:b w:val="0"/>
          <w:i w:val="0"/>
          <w:sz w:val="26"/>
        </w:rPr>
        <w:t>Quần thể: Người bệnh ngoại trú từ đủ 18 tuổi trở lên (kể cả phụ nữ mang thai), đủ sức khỏe và năng lực nhận thức/ngôn ngữ để trả lời, đã cơ bản hoàn thành quy trình khám tại Khoa Khám bệnh C1a, Trung tâm Khám bệnh và Điều trị theo yêu cầu C1, Bệnh viện Quân y 175, và đồng ý tham gia tự nguyện (mục 4.3.1 đề cương)</w:t>
      </w:r>
    </w:p>
    <w:p>
      <w:pPr>
        <w:pStyle w:val="ListBullet"/>
        <w:spacing w:before="0" w:after="80" w:lineRule="auto" w:line="360"/>
        <w:jc w:val="both"/>
      </w:pPr>
      <w:r>
        <w:rPr>
          <w:rFonts w:ascii="Times New Roman" w:hAnsi="Times New Roman" w:eastAsia="Times New Roman" w:cs="Times New Roman"/>
          <w:b w:val="0"/>
          <w:i w:val="0"/>
          <w:sz w:val="26"/>
        </w:rPr>
        <w:t>Bối cảnh: Khoa Khám bệnh C1a, Trung tâm Khám bệnh và Điều trị theo yêu cầu C1, Bệnh viện Quân y 175, Thành phố Hồ Chí Minh — khối khám ngoại trú theo yêu cầu (dịch vụ) tại bệnh viện quân y tuyến cuối</w:t>
      </w:r>
    </w:p>
    <w:p>
      <w:pPr>
        <w:pStyle w:val="ListBullet"/>
        <w:spacing w:before="0" w:after="80" w:lineRule="auto" w:line="360"/>
        <w:jc w:val="both"/>
      </w:pPr>
      <w:r>
        <w:rPr>
          <w:rFonts w:ascii="Times New Roman" w:hAnsi="Times New Roman" w:eastAsia="Times New Roman" w:cs="Times New Roman"/>
          <w:b w:val="0"/>
          <w:i w:val="0"/>
          <w:sz w:val="26"/>
        </w:rPr>
        <w:t>Thời gian nghiên cứu: Dự kiến từ tháng 12/2026 đến tháng 12/2028. Thu thập mẫu chính chỉ bắt đầu sau T0 = ngày Hội đồng Đạo đức/lãnh đạo BVQY 175 phê duyệt, sau khi đã đăng ký OSF Registries, hoàn tất pha phát triển công cụ và dry-run F1–F5 (đề cương §4.9, §6.2).</w:t>
      </w:r>
    </w:p>
    <w:p>
      <w:pPr>
        <w:pStyle w:val="ListBullet"/>
        <w:spacing w:before="0" w:after="80" w:lineRule="auto" w:line="360"/>
        <w:jc w:val="both"/>
      </w:pPr>
      <w:r>
        <w:rPr>
          <w:rFonts w:ascii="Times New Roman" w:hAnsi="Times New Roman" w:eastAsia="Times New Roman" w:cs="Times New Roman"/>
          <w:b w:val="0"/>
          <w:i w:val="0"/>
          <w:sz w:val="26"/>
        </w:rPr>
        <w:t xml:space="preserve">Ngoài phạm vi: </w:t>
      </w:r>
      <w:r>
        <w:rPr>
          <w:rFonts w:ascii="Times New Roman" w:hAnsi="Times New Roman" w:eastAsia="Times New Roman" w:cs="Times New Roman"/>
          <w:b/>
          <w:i/>
          <w:color w:val="CC7700"/>
          <w:sz w:val="26"/>
        </w:rPr>
        <w:t>[CẦN BỔ SUNG]</w:t>
      </w:r>
    </w:p>
    <w:p>
      <w:pPr>
        <w:spacing w:before="280" w:after="160" w:lineRule="auto" w:line="312"/>
      </w:pPr>
      <w:r>
        <w:rPr>
          <w:rFonts w:ascii="Times New Roman" w:hAnsi="Times New Roman" w:eastAsia="Times New Roman" w:cs="Times New Roman"/>
          <w:b/>
          <w:i w:val="0"/>
          <w:sz w:val="28"/>
        </w:rPr>
        <w:t>Mục tiêu SMART</w:t>
      </w:r>
    </w:p>
    <w:p>
      <w:pPr>
        <w:pStyle w:val="ListBullet"/>
        <w:spacing w:before="0" w:after="80" w:lineRule="auto" w:line="360"/>
        <w:jc w:val="both"/>
      </w:pPr>
      <w:r>
        <w:rPr>
          <w:rFonts w:ascii="Times New Roman" w:hAnsi="Times New Roman" w:eastAsia="Times New Roman" w:cs="Times New Roman"/>
          <w:b w:val="0"/>
          <w:i w:val="0"/>
          <w:sz w:val="26"/>
        </w:rPr>
        <w:t>Mục tiêu: MT1 (mô tả): Xác định mức độ hài lòng của bệnh nhân trong hoạt động khám chữa bệnh tại Khoa Khám bệnh C1a, Trung tâm Khám bệnh và Điều trị theo yêu cầu C1, Bệnh viện Quân y 175; MT2 (phân tích): Đánh giá một số yếu tố liên quan đến mức độ hài lòng của bệnh nhân trong hoạt động khám chữa bệnh tại Khoa Khám bệnh C1a, Trung tâm Khám bệnh và Điều trị theo yêu cầu C1, Bệnh viện Quân y 175</w:t>
      </w:r>
    </w:p>
    <w:p>
      <w:pPr>
        <w:pStyle w:val="ListBullet"/>
        <w:spacing w:before="0" w:after="80" w:lineRule="auto" w:line="360"/>
        <w:jc w:val="both"/>
      </w:pPr>
      <w:r>
        <w:rPr>
          <w:rFonts w:ascii="Times New Roman" w:hAnsi="Times New Roman" w:eastAsia="Times New Roman" w:cs="Times New Roman"/>
          <w:b w:val="0"/>
          <w:i w:val="0"/>
          <w:sz w:val="26"/>
        </w:rPr>
        <w:t>Kết cục chính neo mục tiêu: G1 — mức hài lòng chung, hỏi trực tiếp (biến SHLNBChung_TrucTiep, Phần 3 phiếu)</w:t>
      </w:r>
    </w:p>
    <w:p>
      <w:pPr>
        <w:spacing w:before="280" w:after="160" w:lineRule="auto" w:line="312"/>
      </w:pPr>
      <w:r>
        <w:rPr>
          <w:rFonts w:ascii="Times New Roman" w:hAnsi="Times New Roman" w:eastAsia="Times New Roman" w:cs="Times New Roman"/>
          <w:b/>
          <w:i w:val="0"/>
          <w:sz w:val="28"/>
        </w:rPr>
        <w:t>Governance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Quyết định</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Vai trò chịu trách nhiệm</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Bằng chứng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Chốt thiết kế G1</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PI/Methodologist</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`study_meta.json: gate_params.G1`</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Phê duyệt đạo đức G2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IRB/IEC</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Approval ledger có chữ ký</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Khóa SAP G4</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Biostatistician/PI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SAP lock có chữ ký</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Khóa dữ liệu</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Data Manager/PI</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Data Lock Memo</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Bình duyệt G8</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Independent reviewer</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Approval ledger đúng vai trò</w:t>
            </w:r>
          </w:p>
        </w:tc>
      </w:tr>
    </w:tbl>
    <w:p/>
    <w:p>
      <w:pPr>
        <w:spacing w:before="280" w:after="160" w:lineRule="auto" w:line="312"/>
      </w:pPr>
      <w:r>
        <w:rPr>
          <w:rFonts w:ascii="Times New Roman" w:hAnsi="Times New Roman" w:eastAsia="Times New Roman" w:cs="Times New Roman"/>
          <w:b/>
          <w:i w:val="0"/>
          <w:sz w:val="28"/>
        </w:rPr>
        <w:t>Milestone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Mốc</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Sản phẩm</w:t>
            </w:r>
          </w:p>
        </w:tc>
        <w:tc>
          <w:tcPr>
            <w:tcW w:type="dxa" w:w="3024"/>
            <w:vAlign w:val="top"/>
            <w:tcMar>
              <w:top w:w="108" w:type="dxa"/>
              <w:left w:w="108" w:type="dxa"/>
              <w:bottom w:w="108" w:type="dxa"/>
              <w:right w:w="108" w:type="dxa"/>
            </w:tcMar>
            <w:shd w:fill="D9EAF7"/>
          </w:tcPr>
          <w:p>
            <w:pPr>
              <w:spacing w:before="40" w:after="40" w:lineRule="auto" w:line="276"/>
              <w:jc w:val="center"/>
            </w:pPr>
            <w:r/>
            <w:r>
              <w:rPr>
                <w:rFonts w:ascii="Times New Roman" w:hAnsi="Times New Roman" w:eastAsia="Times New Roman" w:cs="Times New Roman"/>
                <w:b/>
                <w:i w:val="0"/>
                <w:sz w:val="22"/>
              </w:rPr>
              <w:t>Điều kiện đóng</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G0</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PICO/FINER + evidence seed</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Câu hỏi và khoảng trống được xác nhận</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G1</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A1b/A2/A2b/A13/A13b</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Thiết kế + reporting map được PI/methodologist xác nhận</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G2</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Ethics/registration package</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IRB/IEC thật</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G3–G4</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Cỡ mẫu + SAP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Tham số có nguồn + SAP lock</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G5–G6</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Dữ liệu + phân tích</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Data lock + phân tích theo SAP</w:t>
            </w:r>
          </w:p>
        </w:tc>
      </w:tr>
      <w:tr>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G7–G10</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Báo cáo + kiểm duyệt + lắp ráp</w:t>
            </w:r>
          </w:p>
        </w:tc>
        <w:tc>
          <w:tcPr>
            <w:tcW w:type="dxa" w:w="3024"/>
            <w:vAlign w:val="top"/>
            <w:tcMar>
              <w:top w:w="108" w:type="dxa"/>
              <w:left w:w="108" w:type="dxa"/>
              <w:bottom w:w="108" w:type="dxa"/>
              <w:right w:w="108" w:type="dxa"/>
            </w:tcMar>
          </w:tcPr>
          <w:p>
            <w:pPr>
              <w:spacing w:before="40" w:after="40" w:lineRule="auto" w:line="276"/>
              <w:jc w:val="both"/>
            </w:pPr>
            <w:r/>
            <w:r>
              <w:rPr>
                <w:rFonts w:ascii="Times New Roman" w:hAnsi="Times New Roman" w:eastAsia="Times New Roman" w:cs="Times New Roman"/>
                <w:b w:val="0"/>
                <w:i w:val="0"/>
                <w:sz w:val="22"/>
              </w:rPr>
              <w:t>A12/G8/G9 sạch và đúng vai trò</w:t>
            </w:r>
          </w:p>
        </w:tc>
      </w:tr>
    </w:tbl>
    <w:p/>
    <w:p>
      <w:pPr>
        <w:spacing w:before="120" w:after="200" w:lineRule="auto" w:line="312"/>
        <w:jc w:val="both"/>
        <w:ind w:left="567" w:right="567"/>
      </w:pPr>
      <w:r>
        <w:rPr>
          <w:rFonts w:ascii="Times New Roman" w:hAnsi="Times New Roman" w:eastAsia="Times New Roman" w:cs="Times New Roman"/>
          <w:b w:val="0"/>
          <w:i/>
          <w:sz w:val="22"/>
        </w:rPr>
        <w:t>Cần bác sĩ kiểm chứng.</w:t>
      </w:r>
    </w:p>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jc w:val="center"/>
    </w:pPr>
    <w:r>
      <w:rPr>
        <w:rFonts w:ascii="Times New Roman" w:hAnsi="Times New Roman" w:eastAsia="Times New Roman" w:cs="Times New Roman"/>
        <w:b w:val="0"/>
        <w:i w:val="0"/>
        <w:sz w:val="20"/>
      </w:rPr>
      <w:t xml:space="preserve">Trang </w:t>
    </w:r>
    <w:r>
      <w:rPr>
        <w:rFonts w:ascii="Times New Roman" w:hAnsi="Times New Roman" w:eastAsia="Times New Roman" w:cs="Times New Roman"/>
        <w:b w:val="0"/>
        <w:i w:val="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