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bagfd5ha9bfj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1.11.1: Colored Dartboard\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qn8m6vlzamkx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Write a program that draws a colored dartboard!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428bc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Alter the “Dartboard” program you wrote previously so that each circle is filled in with a color that a user has given. You can find your previous program!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Circles stack on top of one another, so you will need to start with the largest circle rather than the smallest in order to see each circle drawn!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Use a variable called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color_choice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to save the user input.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A variable called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radius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should be used to control each circle’s size.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