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vtk9g7sdvrtg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1.4.2: 4 Columns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60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wjlst1gbh9v6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Use for loops to enhance the ‘4 Columns’ program you wrote in our last lesson.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Remember: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Your entire code does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have to be a part of your loop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428bc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Pay careful attention to your indentation!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Hint: Send Tracy from her home in the center to her starting position to draw your lines and then write your loop to draw all three!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