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xkh2ykrgm96x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11: Dartboard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rv5jra6pbp2m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dartboard.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dartboard: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Consists of 4 concentric circles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the center circle placed in the middle of the canvas with a radius of 25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three circles surrounding the middle, that each increase in radius by 25 pixels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control the radius of the circles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Determine how to draw one circle that is centered on the canvas and then add the other circles using the same function.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The circle radii are getting 25 pixels larger each time, so find a way to move Tracy to the correct position before drawing each circle so they are centered!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