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abvm1uhm898i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Exercise17: Happy/ Sad 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l9hgyfaekfyg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Write a program that draws a happy or sad face based on the user’s mood.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Alter your ‘Happy Face’ program to draw a frown if the user does not answer that they are happy. Don’t forget to use a variable called </w:t>
      </w:r>
      <w:r w:rsidDel="00000000" w:rsidR="00000000" w:rsidRPr="00000000">
        <w:rPr>
          <w:rFonts w:ascii="Consolas" w:cs="Consolas" w:eastAsia="Consolas" w:hAnsi="Consolas"/>
          <w:color w:val="c7254e"/>
          <w:sz w:val="18"/>
          <w:szCs w:val="18"/>
          <w:shd w:fill="f9f2f4" w:val="clear"/>
          <w:rtl w:val="0"/>
        </w:rPr>
        <w:t xml:space="preserve">happy</w:t>
      </w: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 to save user input.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i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333333"/>
          <w:sz w:val="24"/>
          <w:szCs w:val="24"/>
          <w:rtl w:val="0"/>
        </w:rPr>
        <w:t xml:space="preserve">Hint: All you need to change from happy to sad is the smile!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