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2w1ehmndpk49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Exploring Data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Respond to the following questions based on the data tour in the previous activity.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Record at least three facts that you found surprising or interesting.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do you suppose the Population Reference Bureau came to these conclusions? How might they have collected or analyzed the data?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Do you think the conclusions can be trusted as fact? Why or why not?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Why is it important to know more information about the data used?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