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Lesson: 1.5 Series and Central Tendency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this lesson, students will learn how to create a use a Pandas Series. They will also learn and explore measures of central tendency including the mean, median, and mode.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Students will be able to: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Create a Series using the Pandas library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Compute the mean, median, and mode of a Series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Decide whether the mean, median, or mode is the best measure of central tendency for a specific dataset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These are all the activities included in the lesson.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Activity</w:t>
        <w:tab/>
        <w:tab/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1.5.1 Series and Central Tendency</w:t>
        <w:tab/>
        <w:tab/>
        <w:t xml:space="preserve">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1.5.2 Series and Central Tendency</w:t>
        <w:tab/>
        <w:tab/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1.5.3 Changing Indices</w:t>
        <w:tab/>
        <w:tab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1.5.4 Series and Indices</w:t>
        <w:tab/>
        <w:tab/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1.5.5 Hot Dog Series</w:t>
        <w:tab/>
        <w:tab/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1.5.6 People Named Anna</w:t>
        <w:tab/>
        <w:tab/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1.5.7 Hot Dog Statistics</w:t>
        <w:tab/>
        <w:tab/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1.5.8 Critiquing Conclusions</w:t>
        <w:tab/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Solution References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Refer to the solution reference for a more detailed look at exercise solutions.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Solution Reference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1.5.2 Series and Central Tendency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1.5.5 Hot Dog Series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1.5.7 Hot Dog Statistics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1.5.8 Critiquing Conclusions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Problem Guides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Refer to the problem guides for a more in-depth look at this lesson's problems.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Problem Guide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1.5.5 Hot Dog Series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1.5.7 Hot Dog Statistics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1.5.8 Critiquing Conclusions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Vocabulary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These are the key terms for this lesson.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Term</w:t>
        <w:tab/>
        <w:t xml:space="preserve">Definition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series</w:t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A one-dimensional, labeled array (or list) that is formatted like a single column of a data table.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Handouts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Use handouts to supplement your class. Please note that there are handouts for teachers and for students.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Debugging Strategies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Planning Notes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The syntax used in this lesson can be difficult. Encourage students to use the DOCS tabs and be sure to always match an opening bracket/quote/parenthesis with a closing one. There is an optional debugging activity listed in the handouts for this lesson.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Teaching and Learning Strategies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Lesson Opener: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Have students brainstorm and write down answers to the discussion questions listed below. Students can work individually or in groups/pairs. Have them share their responses. [5 mins]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Activities: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Watch the lesson video and complete the corresponding quiz to check for understanding. [10 mins]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Explore the Changing Indices example. [10 mins]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Run the code and match the output to the code that printed it.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Add code to change the Pumpkin element to your favorite kind of pie.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Discuss the difference between pies[2] and new_pies["C"]. Students should recognize that the first is an integer and the second is a string.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Explore the Series and Indices example. [10 mins]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Run the code and match the output to the code that printed it.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Notice how the value for the Colorado Rockies changes when it is printed.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Have students infer what NaN might stand for.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Complete the Hot Dog Series exercise. [10 mins]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Explore the People Named Anna example. [10 mins]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Complete the Hot Dog Statistics exercise. [15 min]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Students can be paired up or put into small groups to discuss the questions in this activity.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Complete the Critiquing Conclusions free-response activity. [15 mins]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Lesson Closer: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Have students reflect and discuss their responses to the end-of-class discussion questions. [5 mins]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Prior Knowledge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using Python variables, lists, and functions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importing Python libraries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finding the mean, median, and mode of a set of numbers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Video Slides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Discussion Questions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Beginning of Class: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Find the median and mode of the following data set: 1, 3, 6, 8, 9, 12, 15, 15, 67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The median is 9 and the mode is 15.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Find the mean (average) of the dataset above.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The mean is 15.11.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Which is most likely an outlier in the dataset above? Why?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The number 67 is most likely the outlier because it is further away from the other values.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End of Class: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When might it be a good decision to use the median as the best measure of central tendency?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The median is a good measure to use when there are outliers that negatively affect the mean as the best measure of central tendency.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Why does the mode print differently than the mean and median when using mode()?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There can be more than one mode, so it prints as a series or a list of all of the modes.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Write code that would result in the following series being displayed.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sample = pd.Series(["Turtle", "Hare"], index=["1st", "2nd"])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print(sample)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Modification: Advanced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Have students explore the dtype and name parameters when creating a Series.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pd.Series(data=None, index=None, dtype=None, name=None)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Have students explore the different attributes that can be used with a Series.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Series Documentation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Modification: Special Education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Provide students with a template or skeleton for the syntax used in creating a series.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Have students keep a log or chart of all commands learned, including when and how to use them.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Modification: English Language Learners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Provide students with a template or skeleton for the syntax used in creating a series.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Have students keep a log or chart of all commands learned, including when and how to use them.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