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160" w:before="160" w:line="312" w:lineRule="auto"/>
        <w:rPr>
          <w:color w:val="ffffff"/>
          <w:sz w:val="21"/>
          <w:szCs w:val="21"/>
          <w:shd w:fill="27a9e1" w:val="clear"/>
        </w:rPr>
      </w:pPr>
      <w:bookmarkStart w:colFirst="0" w:colLast="0" w:name="_e0zqoiba7ady" w:id="0"/>
      <w:bookmarkEnd w:id="0"/>
      <w:r w:rsidDel="00000000" w:rsidR="00000000" w:rsidRPr="00000000">
        <w:rPr>
          <w:color w:val="333333"/>
          <w:sz w:val="36"/>
          <w:szCs w:val="36"/>
          <w:rtl w:val="0"/>
        </w:rPr>
        <w:t xml:space="preserve">State Education Pie</w:t>
      </w:r>
      <w:r w:rsidDel="00000000" w:rsidR="00000000" w:rsidRPr="00000000">
        <w:rPr>
          <w:rtl w:val="0"/>
        </w:rPr>
      </w:r>
    </w:p>
    <w:p w:rsidR="00000000" w:rsidDel="00000000" w:rsidP="00000000" w:rsidRDefault="00000000" w:rsidRPr="00000000" w14:paraId="00000002">
      <w:pPr>
        <w:pStyle w:val="Heading1"/>
        <w:keepNext w:val="0"/>
        <w:keepLines w:val="0"/>
        <w:spacing w:after="160" w:before="160" w:line="264" w:lineRule="auto"/>
        <w:rPr>
          <w:color w:val="333333"/>
          <w:sz w:val="45"/>
          <w:szCs w:val="45"/>
        </w:rPr>
      </w:pPr>
      <w:bookmarkStart w:colFirst="0" w:colLast="0" w:name="_k4lftokcpfiu" w:id="1"/>
      <w:bookmarkEnd w:id="1"/>
      <w:r w:rsidDel="00000000" w:rsidR="00000000" w:rsidRPr="00000000">
        <w:rPr>
          <w:color w:val="333333"/>
          <w:sz w:val="45"/>
          <w:szCs w:val="45"/>
          <w:rtl w:val="0"/>
        </w:rPr>
        <w:t xml:space="preserve">State Education</w:t>
      </w:r>
    </w:p>
    <w:p w:rsidR="00000000" w:rsidDel="00000000" w:rsidP="00000000" w:rsidRDefault="00000000" w:rsidRPr="00000000" w14:paraId="00000003">
      <w:pPr>
        <w:spacing w:after="160" w:lineRule="auto"/>
        <w:rPr>
          <w:color w:val="333333"/>
          <w:sz w:val="24"/>
          <w:szCs w:val="24"/>
        </w:rPr>
      </w:pPr>
      <w:r w:rsidDel="00000000" w:rsidR="00000000" w:rsidRPr="00000000">
        <w:rPr>
          <w:color w:val="333333"/>
          <w:sz w:val="24"/>
          <w:szCs w:val="24"/>
          <w:rtl w:val="0"/>
        </w:rPr>
        <w:t xml:space="preserve">This data set lists the population in each state and their level of education. Primary education is through grade eight, secondary education is through grade twelve, and tertiary education is college or trade school.</w:t>
      </w:r>
    </w:p>
    <w:p w:rsidR="00000000" w:rsidDel="00000000" w:rsidP="00000000" w:rsidRDefault="00000000" w:rsidRPr="00000000" w14:paraId="00000004">
      <w:pPr>
        <w:spacing w:after="160" w:lineRule="auto"/>
        <w:rPr>
          <w:color w:val="333333"/>
          <w:sz w:val="24"/>
          <w:szCs w:val="24"/>
        </w:rPr>
      </w:pPr>
      <w:r w:rsidDel="00000000" w:rsidR="00000000" w:rsidRPr="00000000">
        <w:rPr>
          <w:color w:val="333333"/>
          <w:sz w:val="24"/>
          <w:szCs w:val="24"/>
          <w:rtl w:val="0"/>
        </w:rPr>
        <w:t xml:space="preserve">Explore the example by making sure to read the comments in the code. Try the following actions to see how the pie chart is affected.</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4"/>
          <w:szCs w:val="24"/>
          <w:rtl w:val="0"/>
        </w:rPr>
        <w:t xml:space="preserve">Change the states in the filtered table. Can you input your own state? </w:t>
      </w:r>
      <w:r w:rsidDel="00000000" w:rsidR="00000000" w:rsidRPr="00000000">
        <w:rPr>
          <w:i w:val="1"/>
          <w:color w:val="333333"/>
          <w:sz w:val="24"/>
          <w:szCs w:val="24"/>
          <w:rtl w:val="0"/>
        </w:rPr>
        <w:t xml:space="preserve">Note: If you change the number of states, you’ll also have to change the</w:t>
      </w:r>
      <w:r w:rsidDel="00000000" w:rsidR="00000000" w:rsidRPr="00000000">
        <w:rPr>
          <w:color w:val="333333"/>
          <w:sz w:val="24"/>
          <w:szCs w:val="24"/>
          <w:rtl w:val="0"/>
        </w:rPr>
        <w:t xml:space="preserve"> </w:t>
      </w:r>
      <w:r w:rsidDel="00000000" w:rsidR="00000000" w:rsidRPr="00000000">
        <w:rPr>
          <w:rFonts w:ascii="Courier New" w:cs="Courier New" w:eastAsia="Courier New" w:hAnsi="Courier New"/>
          <w:color w:val="c7254e"/>
          <w:sz w:val="18"/>
          <w:szCs w:val="18"/>
          <w:shd w:fill="f9f2f4" w:val="clear"/>
          <w:rtl w:val="0"/>
        </w:rPr>
        <w:t xml:space="preserve">colors</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and</w:t>
      </w:r>
      <w:r w:rsidDel="00000000" w:rsidR="00000000" w:rsidRPr="00000000">
        <w:rPr>
          <w:color w:val="333333"/>
          <w:sz w:val="24"/>
          <w:szCs w:val="24"/>
          <w:rtl w:val="0"/>
        </w:rPr>
        <w:t xml:space="preserve"> </w:t>
      </w:r>
      <w:r w:rsidDel="00000000" w:rsidR="00000000" w:rsidRPr="00000000">
        <w:rPr>
          <w:rFonts w:ascii="Courier New" w:cs="Courier New" w:eastAsia="Courier New" w:hAnsi="Courier New"/>
          <w:color w:val="c7254e"/>
          <w:sz w:val="18"/>
          <w:szCs w:val="18"/>
          <w:shd w:fill="f9f2f4" w:val="clear"/>
          <w:rtl w:val="0"/>
        </w:rPr>
        <w:t xml:space="preserve">explode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lists further down.</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333333"/>
          <w:sz w:val="24"/>
          <w:szCs w:val="24"/>
          <w:rtl w:val="0"/>
        </w:rPr>
        <w:t xml:space="preserve">Change the colors in the </w:t>
      </w:r>
      <w:r w:rsidDel="00000000" w:rsidR="00000000" w:rsidRPr="00000000">
        <w:rPr>
          <w:rFonts w:ascii="Courier New" w:cs="Courier New" w:eastAsia="Courier New" w:hAnsi="Courier New"/>
          <w:color w:val="c7254e"/>
          <w:sz w:val="18"/>
          <w:szCs w:val="18"/>
          <w:shd w:fill="f9f2f4" w:val="clear"/>
          <w:rtl w:val="0"/>
        </w:rPr>
        <w:t xml:space="preserve">colors</w:t>
      </w:r>
      <w:r w:rsidDel="00000000" w:rsidR="00000000" w:rsidRPr="00000000">
        <w:rPr>
          <w:color w:val="333333"/>
          <w:sz w:val="24"/>
          <w:szCs w:val="24"/>
          <w:rtl w:val="0"/>
        </w:rPr>
        <w:t xml:space="preserve"> list. Change the numbers in the </w:t>
      </w:r>
      <w:r w:rsidDel="00000000" w:rsidR="00000000" w:rsidRPr="00000000">
        <w:rPr>
          <w:rFonts w:ascii="Courier New" w:cs="Courier New" w:eastAsia="Courier New" w:hAnsi="Courier New"/>
          <w:color w:val="c7254e"/>
          <w:sz w:val="18"/>
          <w:szCs w:val="18"/>
          <w:shd w:fill="f9f2f4" w:val="clear"/>
          <w:rtl w:val="0"/>
        </w:rPr>
        <w:t xml:space="preserve">explode</w:t>
      </w:r>
      <w:r w:rsidDel="00000000" w:rsidR="00000000" w:rsidRPr="00000000">
        <w:rPr>
          <w:color w:val="333333"/>
          <w:sz w:val="24"/>
          <w:szCs w:val="24"/>
          <w:rtl w:val="0"/>
        </w:rPr>
        <w:t xml:space="preserve"> list. How does it affect the chart?</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333333"/>
          <w:sz w:val="24"/>
          <w:szCs w:val="24"/>
          <w:rtl w:val="0"/>
        </w:rPr>
        <w:t xml:space="preserve">Change the number for the </w:t>
      </w:r>
      <w:r w:rsidDel="00000000" w:rsidR="00000000" w:rsidRPr="00000000">
        <w:rPr>
          <w:rFonts w:ascii="Courier New" w:cs="Courier New" w:eastAsia="Courier New" w:hAnsi="Courier New"/>
          <w:color w:val="c7254e"/>
          <w:sz w:val="18"/>
          <w:szCs w:val="18"/>
          <w:shd w:fill="f9f2f4" w:val="clear"/>
          <w:rtl w:val="0"/>
        </w:rPr>
        <w:t xml:space="preserve">startangle</w:t>
      </w:r>
      <w:r w:rsidDel="00000000" w:rsidR="00000000" w:rsidRPr="00000000">
        <w:rPr>
          <w:color w:val="333333"/>
          <w:sz w:val="24"/>
          <w:szCs w:val="24"/>
          <w:rtl w:val="0"/>
        </w:rPr>
        <w:t xml:space="preserve"> to explore what this parameter does. </w:t>
      </w:r>
      <w:r w:rsidDel="00000000" w:rsidR="00000000" w:rsidRPr="00000000">
        <w:rPr>
          <w:i w:val="1"/>
          <w:color w:val="333333"/>
          <w:sz w:val="24"/>
          <w:szCs w:val="24"/>
          <w:rtl w:val="0"/>
        </w:rPr>
        <w:t xml:space="preserve">Hint: You can choose a number between 0 and 360.</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333333"/>
          <w:sz w:val="24"/>
          <w:szCs w:val="24"/>
          <w:rtl w:val="0"/>
        </w:rPr>
        <w:t xml:space="preserve">What do you think the </w:t>
      </w:r>
      <w:r w:rsidDel="00000000" w:rsidR="00000000" w:rsidRPr="00000000">
        <w:rPr>
          <w:rFonts w:ascii="Courier New" w:cs="Courier New" w:eastAsia="Courier New" w:hAnsi="Courier New"/>
          <w:color w:val="c7254e"/>
          <w:sz w:val="18"/>
          <w:szCs w:val="18"/>
          <w:shd w:fill="f9f2f4" w:val="clear"/>
          <w:rtl w:val="0"/>
        </w:rPr>
        <w:t xml:space="preserve">autopct</w:t>
      </w:r>
      <w:r w:rsidDel="00000000" w:rsidR="00000000" w:rsidRPr="00000000">
        <w:rPr>
          <w:color w:val="333333"/>
          <w:sz w:val="24"/>
          <w:szCs w:val="24"/>
          <w:rtl w:val="0"/>
        </w:rPr>
        <w:t xml:space="preserve"> parameter does?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333333"/>
          <w:sz w:val="24"/>
          <w:szCs w:val="24"/>
          <w:rtl w:val="0"/>
        </w:rPr>
        <w:t xml:space="preserve">Change the location of the legend. Your choices are:</w:t>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color w:val="333333"/>
          <w:sz w:val="24"/>
          <w:szCs w:val="24"/>
          <w:rtl w:val="0"/>
        </w:rPr>
        <w:t xml:space="preserve">best</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color w:val="333333"/>
          <w:sz w:val="24"/>
          <w:szCs w:val="24"/>
          <w:rtl w:val="0"/>
        </w:rPr>
        <w:t xml:space="preserve">upper right</w:t>
      </w:r>
    </w:p>
    <w:p w:rsidR="00000000" w:rsidDel="00000000" w:rsidP="00000000" w:rsidRDefault="00000000" w:rsidRPr="00000000" w14:paraId="0000000C">
      <w:pPr>
        <w:numPr>
          <w:ilvl w:val="1"/>
          <w:numId w:val="1"/>
        </w:numPr>
        <w:spacing w:after="0" w:afterAutospacing="0" w:lineRule="auto"/>
        <w:ind w:left="1440" w:hanging="360"/>
      </w:pPr>
      <w:r w:rsidDel="00000000" w:rsidR="00000000" w:rsidRPr="00000000">
        <w:rPr>
          <w:color w:val="333333"/>
          <w:sz w:val="24"/>
          <w:szCs w:val="24"/>
          <w:rtl w:val="0"/>
        </w:rPr>
        <w:t xml:space="preserve">upper left</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color w:val="333333"/>
          <w:sz w:val="24"/>
          <w:szCs w:val="24"/>
          <w:rtl w:val="0"/>
        </w:rPr>
        <w:t xml:space="preserve">lower left</w:t>
      </w:r>
    </w:p>
    <w:p w:rsidR="00000000" w:rsidDel="00000000" w:rsidP="00000000" w:rsidRDefault="00000000" w:rsidRPr="00000000" w14:paraId="0000000E">
      <w:pPr>
        <w:numPr>
          <w:ilvl w:val="1"/>
          <w:numId w:val="1"/>
        </w:numPr>
        <w:spacing w:after="0" w:afterAutospacing="0" w:lineRule="auto"/>
        <w:ind w:left="1440" w:hanging="360"/>
      </w:pPr>
      <w:r w:rsidDel="00000000" w:rsidR="00000000" w:rsidRPr="00000000">
        <w:rPr>
          <w:color w:val="333333"/>
          <w:sz w:val="24"/>
          <w:szCs w:val="24"/>
          <w:rtl w:val="0"/>
        </w:rPr>
        <w:t xml:space="preserve">lower right</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color w:val="333333"/>
          <w:sz w:val="24"/>
          <w:szCs w:val="24"/>
          <w:rtl w:val="0"/>
        </w:rPr>
        <w:t xml:space="preserve">right</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color w:val="333333"/>
          <w:sz w:val="24"/>
          <w:szCs w:val="24"/>
          <w:rtl w:val="0"/>
        </w:rPr>
        <w:t xml:space="preserve">center left</w:t>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color w:val="333333"/>
          <w:sz w:val="24"/>
          <w:szCs w:val="24"/>
          <w:rtl w:val="0"/>
        </w:rPr>
        <w:t xml:space="preserve">center right</w:t>
      </w:r>
    </w:p>
    <w:p w:rsidR="00000000" w:rsidDel="00000000" w:rsidP="00000000" w:rsidRDefault="00000000" w:rsidRPr="00000000" w14:paraId="00000012">
      <w:pPr>
        <w:numPr>
          <w:ilvl w:val="1"/>
          <w:numId w:val="1"/>
        </w:numPr>
        <w:spacing w:after="0" w:afterAutospacing="0" w:lineRule="auto"/>
        <w:ind w:left="1440" w:hanging="360"/>
      </w:pPr>
      <w:r w:rsidDel="00000000" w:rsidR="00000000" w:rsidRPr="00000000">
        <w:rPr>
          <w:color w:val="333333"/>
          <w:sz w:val="24"/>
          <w:szCs w:val="24"/>
          <w:rtl w:val="0"/>
        </w:rPr>
        <w:t xml:space="preserve">lower center</w:t>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color w:val="333333"/>
          <w:sz w:val="24"/>
          <w:szCs w:val="24"/>
          <w:rtl w:val="0"/>
        </w:rPr>
        <w:t xml:space="preserve">upper center</w:t>
      </w:r>
    </w:p>
    <w:p w:rsidR="00000000" w:rsidDel="00000000" w:rsidP="00000000" w:rsidRDefault="00000000" w:rsidRPr="00000000" w14:paraId="00000014">
      <w:pPr>
        <w:numPr>
          <w:ilvl w:val="1"/>
          <w:numId w:val="1"/>
        </w:numPr>
        <w:spacing w:after="160" w:lineRule="auto"/>
        <w:ind w:left="1440" w:hanging="360"/>
      </w:pPr>
      <w:r w:rsidDel="00000000" w:rsidR="00000000" w:rsidRPr="00000000">
        <w:rPr>
          <w:color w:val="333333"/>
          <w:sz w:val="24"/>
          <w:szCs w:val="24"/>
          <w:rtl w:val="0"/>
        </w:rPr>
        <w:t xml:space="preserve">center</w:t>
      </w:r>
    </w:p>
    <w:p w:rsidR="00000000" w:rsidDel="00000000" w:rsidP="00000000" w:rsidRDefault="00000000" w:rsidRPr="00000000" w14:paraId="00000015">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160" w:lineRule="auto"/>
        <w:rPr>
          <w:color w:val="333333"/>
          <w:sz w:val="24"/>
          <w:szCs w:val="24"/>
        </w:rPr>
      </w:pPr>
      <w:r w:rsidDel="00000000" w:rsidR="00000000" w:rsidRPr="00000000">
        <w:rPr>
          <w:color w:val="333333"/>
          <w:sz w:val="24"/>
          <w:szCs w:val="24"/>
          <w:rtl w:val="0"/>
        </w:rPr>
        <w:t xml:space="preserve">Data Source:</w:t>
      </w:r>
    </w:p>
    <w:p w:rsidR="00000000" w:rsidDel="00000000" w:rsidP="00000000" w:rsidRDefault="00000000" w:rsidRPr="00000000" w14:paraId="00000017">
      <w:pPr>
        <w:spacing w:after="160" w:lineRule="auto"/>
        <w:rPr>
          <w:color w:val="428bca"/>
          <w:sz w:val="24"/>
          <w:szCs w:val="24"/>
        </w:rPr>
      </w:pPr>
      <w:hyperlink r:id="rId6">
        <w:r w:rsidDel="00000000" w:rsidR="00000000" w:rsidRPr="00000000">
          <w:rPr>
            <w:color w:val="428bca"/>
            <w:sz w:val="24"/>
            <w:szCs w:val="24"/>
            <w:rtl w:val="0"/>
          </w:rPr>
          <w:t xml:space="preserve">https://codap.concord.org/releases/latest/static/dg/en/cert/index.html?url=https://concord-consortium.github.io/codap-data/SampleDocs/Social_Science/United_States/statesnpeople/States_and_Education.codap</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ap.concord.org/releases/latest/static/dg/en/cert/index.html?url=https://concord-consortium.github.io/codap-data/SampleDocs/Social_Science/United_States/statesnpeople/States_and_Education.cod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