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Booleans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Referenced from lesson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Simple Data Types</w:t>
        </w:r>
      </w:hyperlink>
      <w:r w:rsidDel="00000000" w:rsidR="00000000" w:rsidRPr="00000000">
        <w:rPr>
          <w:color w:val="000000"/>
          <w:rtl w:val="0"/>
        </w:rPr>
        <w:t xml:space="preserve"> (Spring, 2021)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Boolean-producing expressions are yes-or-no questions and will always evaluate to either true (“yes”) or false (“no”).</w:t>
      </w:r>
      <w:r w:rsidDel="00000000" w:rsidR="00000000" w:rsidRPr="00000000">
        <w:rPr>
          <w:color w:val="000000"/>
          <w:rtl w:val="0"/>
        </w:rPr>
        <w:t xml:space="preserve"> What will each of the expressions below evaluate to? </w:t>
      </w:r>
      <w:r w:rsidDel="00000000" w:rsidR="00000000" w:rsidRPr="00000000">
        <w:rPr>
          <w:i w:val="1"/>
          <w:color w:val="000000"/>
          <w:rtl w:val="0"/>
        </w:rPr>
        <w:t xml:space="preserve">Write down your prediction in the blanks provided and then type the code into the interactions area to see what it returns.</w:t>
      </w:r>
    </w:p>
    <w:tbl>
      <w:tblPr>
        <w:tblStyle w:val="Table1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Prediction: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Computer Returns: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Prediction: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Computer Returns: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&lt;=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&lt;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==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&lt;&gt;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9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&gt;=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11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&lt;&gt;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"a"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&lt;&gt;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"b"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13 In your own words, describe what &lt; does.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14 In your own words, describe what &gt;= does.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15 In your own words, describe what &lt;&gt; does.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4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5"/>
        <w:gridCol w:w="2490"/>
        <w:gridCol w:w="2895"/>
        <w:tblGridChange w:id="0">
          <w:tblGrid>
            <w:gridCol w:w="1755"/>
            <w:gridCol w:w="2490"/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Prediction: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Computer Returns: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string-contains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"catnap"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"cat"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 </w:t>
            </w:r>
            <w:r w:rsidDel="00000000" w:rsidR="00000000" w:rsidRPr="00000000">
              <w:rPr>
                <w:color w:val="4682b4"/>
                <w:sz w:val="20"/>
                <w:szCs w:val="20"/>
                <w:rtl w:val="0"/>
              </w:rPr>
              <w:t xml:space="preserve">string-contains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​(​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"cat"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008000"/>
                <w:sz w:val="20"/>
                <w:szCs w:val="20"/>
                <w:rtl w:val="0"/>
              </w:rPr>
              <w:t xml:space="preserve">"catnap"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​)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05"/>
        <w:gridCol w:w="5055"/>
        <w:tblGridChange w:id="0">
          <w:tblGrid>
            <w:gridCol w:w="430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18 How many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Numbers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are there in the entire universe?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19 How many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Strings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are there in the entire universe?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20 How many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Images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are there in the entire universe?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 How many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Booleans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are there in the entire universe?</w:t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These materials were developed partly through support of the National Science Foundation, (awards 1042210, 1535276, 1648684, and 1738598). </w:t>
      </w:r>
      <w:r w:rsidDel="00000000" w:rsidR="00000000" w:rsidRPr="00000000">
        <w:rPr>
          <w:i w:val="1"/>
          <w:color w:val="000000"/>
          <w:sz w:val="16"/>
          <w:szCs w:val="16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Bootstrap:Data Science by the </w:t>
      </w:r>
      <w:hyperlink r:id="rId8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Bootstrap Community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is licensed under a </w:t>
      </w:r>
      <w:hyperlink r:id="rId9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Creative Commons 4.0 Unported License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 This license does not grant permission to run training or professional development. Offering training or professional development with materials substantially derived from Bootstrap must be approved in writing by a Bootstrap Director. Permissions beyond the scope of this license, such as to run training, may be available by contacting </w:t>
      </w:r>
      <w:hyperlink r:id="rId10">
        <w:r w:rsidDel="00000000" w:rsidR="00000000" w:rsidRPr="00000000">
          <w:rPr>
            <w:i w:val="1"/>
            <w:color w:val="0000ee"/>
            <w:sz w:val="16"/>
            <w:szCs w:val="16"/>
            <w:u w:val="single"/>
            <w:rtl w:val="0"/>
          </w:rPr>
          <w:t xml:space="preserve">contact@BootstrapWorld.org</w:t>
        </w:r>
      </w:hyperlink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" w:cs="Courier" w:eastAsia="Courier" w:hAnsi="Courier"/>
          <w:color w:val="000000"/>
        </w:rPr>
      </w:pPr>
      <w:r w:rsidDel="00000000" w:rsidR="00000000" w:rsidRPr="00000000">
        <w:rPr>
          <w:i w:val="1"/>
          <w:color w:val="000000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000000"/>
          <w:rtl w:val="0"/>
        </w:rPr>
        <w:t xml:space="preserve"> Last updated 2021-10-12 13:35:39 -0400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rFonts w:ascii="Arial" w:cs="Arial" w:eastAsia="Arial" w:hAnsi="Arial"/>
      <w:b w:val="1"/>
      <w:i w:val="0"/>
      <w:color w:val="75328a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bootstrapworld.org/materials/spring2021/en-us/courses/data-science/lessons/simple-datatypes/pages/mailto:contact@BootstrapWorld.org" TargetMode="External"/><Relationship Id="rId9" Type="http://schemas.openxmlformats.org/officeDocument/2006/relationships/hyperlink" Target="https://creativecommons.org/licenses/by-nc-nd/4.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ootstrapworld.org/materials/spring2021/en-us/courses/data-science/lessons/simple-datatypes/index.s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bootstrapworld.org/community/index.s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