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0"/>
      </w:pPr>
      <w:r>
        <w:rPr>
          <w:rFonts w:ascii="Arial" w:cs="Arial" w:eastAsia="Arial" w:hAnsi="Arial"/>
          <w:b/>
          <w:bCs/>
          <w:color w:val="14534A"/>
          <w:sz w:val="34"/>
          <w:szCs w:val="34"/>
        </w:rPr>
        <w:t xml:space="preserve">The RMTI–HCC Calculator, Explained</w:t>
      </w:r>
    </w:p>
    <w:p>
      <w:pPr>
        <w:spacing w:after="200" w:before="0" w:line="276"/>
      </w:pPr>
      <w:r>
        <w:rPr>
          <w:rFonts w:ascii="Arial" w:cs="Arial" w:eastAsia="Arial" w:hAnsi="Arial"/>
          <w:color w:val="6E7F78"/>
          <w:sz w:val="21"/>
          <w:szCs w:val="21"/>
        </w:rPr>
        <w:t xml:space="preserve">Version 2.1.0 — what the RMTI Calculator sheet does, column by column, and a worked patient example showing why the model carries an Expected Annual Loss (EAL) layer alongside the risk score R.</w:t>
      </w:r>
    </w:p>
    <w:p>
      <w:pPr>
        <w:pStyle w:val="Heading2"/>
        <w:keepNext/>
        <w:spacing w:after="100" w:before="280"/>
      </w:pPr>
      <w:r>
        <w:rPr>
          <w:rFonts w:ascii="Arial" w:cs="Arial" w:eastAsia="Arial" w:hAnsi="Arial"/>
          <w:b/>
          <w:bCs/>
          <w:color w:val="14534A"/>
          <w:sz w:val="26"/>
          <w:szCs w:val="26"/>
        </w:rPr>
        <w:t xml:space="preserve">What this section is</w:t>
      </w:r>
    </w:p>
    <w:p>
      <w:pPr>
        <w:spacing w:after="120" w:before="0" w:line="276"/>
      </w:pPr>
      <w:r>
        <w:rPr>
          <w:rFonts w:ascii="Arial" w:cs="Arial" w:eastAsia="Arial" w:hAnsi="Arial"/>
          <w:color w:val="20302B"/>
          <w:sz w:val="21"/>
          <w:szCs w:val="21"/>
        </w:rPr>
        <w:t xml:space="preserve">The RMTI Calculator sheet is the working engine of the workbook. Every row is one patient population (a “cohort”), built in three blocks: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0302B"/>
          <w:sz w:val="21"/>
          <w:szCs w:val="21"/>
        </w:rPr>
        <w:t xml:space="preserve">Rows 5–10 </w:t>
      </w:r>
      <w:r>
        <w:rPr>
          <w:rFonts w:ascii="Arial" w:cs="Arial" w:eastAsia="Arial" w:hAnsi="Arial"/>
          <w:color w:val="20302B"/>
          <w:sz w:val="21"/>
          <w:szCs w:val="21"/>
        </w:rPr>
        <w:t xml:space="preserve">reproduce Table 2 from the paper — six published cohorts, scored with their reported incidence.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0302B"/>
          <w:sz w:val="21"/>
          <w:szCs w:val="21"/>
        </w:rPr>
        <w:t xml:space="preserve">Rows 11–16 </w:t>
      </w:r>
      <w:r>
        <w:rPr>
          <w:rFonts w:ascii="Arial" w:cs="Arial" w:eastAsia="Arial" w:hAnsi="Arial"/>
          <w:color w:val="20302B"/>
          <w:sz w:val="21"/>
          <w:szCs w:val="21"/>
        </w:rPr>
        <w:t xml:space="preserve">reproduce Table 3 — the six Pearl-protocol aetiologies, all sharing the same compensated-cirrhosis Exposure and Vulnerability (E = 0.60, V = 0.50), so only aetiology and surveillance quality vary between them.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0302B"/>
          <w:sz w:val="21"/>
          <w:szCs w:val="21"/>
        </w:rPr>
        <w:t xml:space="preserve">Rows 17–18 </w:t>
      </w:r>
      <w:r>
        <w:rPr>
          <w:rFonts w:ascii="Arial" w:cs="Arial" w:eastAsia="Arial" w:hAnsi="Arial"/>
          <w:color w:val="20302B"/>
          <w:sz w:val="21"/>
          <w:szCs w:val="21"/>
        </w:rPr>
        <w:t xml:space="preserve">are the two-patient within-tier EAL walk-through (Patients A and B) explained below. Rows 19–56 are blank, with formulas pre-filled, for your own patients or cohorts.</w:t>
      </w:r>
    </w:p>
    <w:p>
      <w:pPr>
        <w:spacing w:after="120" w:before="80" w:line="276"/>
      </w:pPr>
      <w:r>
        <w:rPr>
          <w:rFonts w:ascii="Arial" w:cs="Arial" w:eastAsia="Arial" w:hAnsi="Arial"/>
          <w:color w:val="20302B"/>
          <w:sz w:val="21"/>
          <w:szCs w:val="21"/>
        </w:rPr>
        <w:t xml:space="preserve">The columns split into three functional groups: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0302B"/>
          <w:sz w:val="21"/>
          <w:szCs w:val="21"/>
        </w:rPr>
        <w:t xml:space="preserve">Identity (white/warm cells): </w:t>
      </w:r>
      <w:r>
        <w:rPr>
          <w:rFonts w:ascii="Arial" w:cs="Arial" w:eastAsia="Arial" w:hAnsi="Arial"/>
          <w:color w:val="20302B"/>
          <w:sz w:val="21"/>
          <w:szCs w:val="21"/>
        </w:rPr>
        <w:t xml:space="preserve">Cohort name, Source (which table it came from), Aetiology / incidence, and N (at-risk patient count). N feeds only the per-capita and E-log helper columns, never R itself.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0302B"/>
          <w:sz w:val="21"/>
          <w:szCs w:val="21"/>
        </w:rPr>
        <w:t xml:space="preserve">Inputs (warm cells, blue text — the only cells meant to be typed into): </w:t>
      </w:r>
      <w:r>
        <w:rPr>
          <w:rFonts w:ascii="Arial" w:cs="Arial" w:eastAsia="Arial" w:hAnsi="Arial"/>
          <w:color w:val="20302B"/>
          <w:sz w:val="21"/>
          <w:szCs w:val="21"/>
        </w:rPr>
        <w:t xml:space="preserve">L, E, V, ρ now, ρ after, and C (1–5). These are the six numbers RMTI actually runs 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20302B"/>
          <w:sz w:val="21"/>
          <w:szCs w:val="21"/>
        </w:rPr>
        <w:t xml:space="preserve">Auto-calculated (grey cells): </w:t>
      </w:r>
      <w:r>
        <w:rPr>
          <w:rFonts w:ascii="Arial" w:cs="Arial" w:eastAsia="Arial" w:hAnsi="Arial"/>
          <w:color w:val="20302B"/>
          <w:sz w:val="21"/>
          <w:szCs w:val="21"/>
        </w:rPr>
        <w:t xml:space="preserve">formulas, not to be edited.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3000"/>
        <w:gridCol w:w="4310"/>
      </w:tblGrid>
      <w:tr>
        <w:trPr>
          <w:cantSplit/>
          <w:tblHeader/>
        </w:trPr>
        <w:tc>
          <w:tcPr>
            <w:tcW w:type="dxa" w:w="205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1453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30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1453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431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1453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means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EDEF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20302B"/>
                <w:sz w:val="19"/>
                <w:szCs w:val="19"/>
              </w:rPr>
              <w:t xml:space="preserve">C (0–1)</w:t>
            </w:r>
          </w:p>
        </w:tc>
        <w:tc>
          <w:tcPr>
            <w:tcW w:type="dxa" w:w="30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lookup from C (1–5)</w:t>
            </w:r>
          </w:p>
        </w:tc>
        <w:tc>
          <w:tcPr>
            <w:tcW w:type="dxa" w:w="431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1→10%, 2→30%, 3→50%, 4→75%, 5→100% severity (BCLC-anchored)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EDEF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20302B"/>
                <w:sz w:val="19"/>
                <w:szCs w:val="19"/>
              </w:rPr>
              <w:t xml:space="preserve">Inherent</w:t>
            </w:r>
          </w:p>
        </w:tc>
        <w:tc>
          <w:tcPr>
            <w:tcW w:type="dxa" w:w="30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L × E × V</w:t>
            </w:r>
          </w:p>
        </w:tc>
        <w:tc>
          <w:tcPr>
            <w:tcW w:type="dxa" w:w="431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Risk before resilience is applied (Eq. 1)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EDEF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20302B"/>
                <w:sz w:val="19"/>
                <w:szCs w:val="19"/>
              </w:rPr>
              <w:t xml:space="preserve">R now / R after</w:t>
            </w:r>
          </w:p>
        </w:tc>
        <w:tc>
          <w:tcPr>
            <w:tcW w:type="dxa" w:w="30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Inherent × (1 − ρ)</w:t>
            </w:r>
          </w:p>
        </w:tc>
        <w:tc>
          <w:tcPr>
            <w:tcW w:type="dxa" w:w="431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The residual decision score (Eq. 2), before and after a surveillance-improvement package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EDEF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20302B"/>
                <w:sz w:val="19"/>
                <w:szCs w:val="19"/>
              </w:rPr>
              <w:t xml:space="preserve">Tier now / after</w:t>
            </w:r>
          </w:p>
        </w:tc>
        <w:tc>
          <w:tcPr>
            <w:tcW w:type="dxa" w:w="30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banded from R</w:t>
            </w:r>
          </w:p>
        </w:tc>
        <w:tc>
          <w:tcPr>
            <w:tcW w:type="dxa" w:w="431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The fixed 1–5 tier every patient is measured against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EDEF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20302B"/>
                <w:sz w:val="19"/>
                <w:szCs w:val="19"/>
              </w:rPr>
              <w:t xml:space="preserve">Δ risk</w:t>
            </w:r>
          </w:p>
        </w:tc>
        <w:tc>
          <w:tcPr>
            <w:tcW w:type="dxa" w:w="30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(R now − R after) ÷ R now</w:t>
            </w:r>
          </w:p>
        </w:tc>
        <w:tc>
          <w:tcPr>
            <w:tcW w:type="dxa" w:w="431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Percent risk cut from the improvement package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EDEF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20302B"/>
                <w:sz w:val="19"/>
                <w:szCs w:val="19"/>
              </w:rPr>
              <w:t xml:space="preserve">EAL now / after</w:t>
            </w:r>
          </w:p>
        </w:tc>
        <w:tc>
          <w:tcPr>
            <w:tcW w:type="dxa" w:w="30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L × C × (1 − ρ)</w:t>
            </w:r>
          </w:p>
        </w:tc>
        <w:tc>
          <w:tcPr>
            <w:tcW w:type="dxa" w:w="431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Expected-loss index (Eq. 6) — see the worked example below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EDEF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20302B"/>
                <w:sz w:val="19"/>
                <w:szCs w:val="19"/>
              </w:rPr>
              <w:t xml:space="preserve">Per-capita now</w:t>
            </w:r>
          </w:p>
        </w:tc>
        <w:tc>
          <w:tcPr>
            <w:tcW w:type="dxa" w:w="30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EAL ÷ N × 1,000,000</w:t>
            </w:r>
          </w:p>
        </w:tc>
        <w:tc>
          <w:tcPr>
            <w:tcW w:type="dxa" w:w="431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Equity lens, expressed per 1,000,000 at-risk patients (Eq. 7)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EDEF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20302B"/>
                <w:sz w:val="19"/>
                <w:szCs w:val="19"/>
              </w:rPr>
              <w:t xml:space="preserve">Priority (in tier)</w:t>
            </w:r>
          </w:p>
        </w:tc>
        <w:tc>
          <w:tcPr>
            <w:tcW w:type="dxa" w:w="30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rank by EAL, within the same tier only</w:t>
            </w:r>
          </w:p>
        </w:tc>
        <w:tc>
          <w:tcPr>
            <w:tcW w:type="dxa" w:w="431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Who gets seen first among patients who already carry the same urgency label; ties on EAL are broken by row order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EDEF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20302B"/>
                <w:sz w:val="19"/>
                <w:szCs w:val="19"/>
              </w:rPr>
              <w:t xml:space="preserve">Improvement efficiency (IEI)</w:t>
            </w:r>
          </w:p>
        </w:tc>
        <w:tc>
          <w:tcPr>
            <w:tcW w:type="dxa" w:w="30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Δ risk ÷ (1 − ρ after)</w:t>
            </w:r>
          </w:p>
        </w:tc>
        <w:tc>
          <w:tcPr>
            <w:tcW w:type="dxa" w:w="431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Above 1 means the improvement removes more risk than the exposure it leaves behind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EDEF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20302B"/>
                <w:sz w:val="19"/>
                <w:szCs w:val="19"/>
              </w:rPr>
              <w:t xml:space="preserve">E-log (advisory)</w:t>
            </w:r>
          </w:p>
        </w:tc>
        <w:tc>
          <w:tcPr>
            <w:tcW w:type="dxa" w:w="30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log-scaled N, bounds 100 to 5,000,000</w:t>
            </w:r>
          </w:p>
        </w:tc>
        <w:tc>
          <w:tcPr>
            <w:tcW w:type="dxa" w:w="431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Suggested starting value for E from cohort size; never enters R, tier or EAL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EDEF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20302B"/>
                <w:sz w:val="19"/>
                <w:szCs w:val="19"/>
              </w:rPr>
              <w:t xml:space="preserve">Surveillance posture</w:t>
            </w:r>
          </w:p>
        </w:tc>
        <w:tc>
          <w:tcPr>
            <w:tcW w:type="dxa" w:w="30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lookup from tier</w:t>
            </w:r>
          </w:p>
        </w:tc>
        <w:tc>
          <w:tcPr>
            <w:tcW w:type="dxa" w:w="431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How intensively the surveillance programme is engaged at that tier (table below)</w:t>
            </w:r>
          </w:p>
        </w:tc>
      </w:tr>
    </w:tbl>
    <w:p>
      <w:pPr>
        <w:spacing w:after="120" w:before="160" w:line="276"/>
      </w:pPr>
      <w:r>
        <w:rPr>
          <w:rFonts w:ascii="Arial" w:cs="Arial" w:eastAsia="Arial" w:hAnsi="Arial"/>
          <w:color w:val="20302B"/>
          <w:sz w:val="21"/>
          <w:szCs w:val="21"/>
        </w:rPr>
        <w:t xml:space="preserve">The Priority column is the one worth pausing on, because it does something R alone cannot. In the full calculator, the Cured-HCV cirrhosis cohort sits in tier “2 · Moderate” but ranks 5th within that tier, behind cohorts that carry a higher expected loss. That is not a mistake — it is the EAL layer working as designed.</w:t>
      </w:r>
    </w:p>
    <w:p>
      <w:pPr>
        <w:pStyle w:val="Heading2"/>
        <w:keepNext/>
        <w:spacing w:after="100" w:before="280"/>
      </w:pPr>
      <w:r>
        <w:rPr>
          <w:rFonts w:ascii="Arial" w:cs="Arial" w:eastAsia="Arial" w:hAnsi="Arial"/>
          <w:b/>
          <w:bCs/>
          <w:color w:val="14534A"/>
          <w:sz w:val="26"/>
          <w:szCs w:val="26"/>
        </w:rPr>
        <w:t xml:space="preserve">Fixed tiers and surveillance posture</w:t>
      </w:r>
    </w:p>
    <w:p>
      <w:pPr>
        <w:spacing w:after="120" w:before="0" w:line="276"/>
      </w:pPr>
      <w:r>
        <w:rPr>
          <w:rFonts w:ascii="Arial" w:cs="Arial" w:eastAsia="Arial" w:hAnsi="Arial"/>
          <w:color w:val="20302B"/>
          <w:sz w:val="21"/>
          <w:szCs w:val="21"/>
        </w:rPr>
        <w:t xml:space="preserve">The tier thresholds are identical for every patient and every run. As of v2.1.0 the posture text is written in surveillance-programme vocabulary; earlier versions reused wording from the infrastructure application (for example “fund soon”), which does not fit a clinical cohort. The posture describes how intensively the programme is engaged. It is a decision-support reading, not a treatment recommendation.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6160"/>
      </w:tblGrid>
      <w:tr>
        <w:trPr>
          <w:cantSplit/>
          <w:tblHeader/>
        </w:trPr>
        <w:tc>
          <w:tcPr>
            <w:tcW w:type="dxa" w:w="17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1453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15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1453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 band</w:t>
            </w:r>
          </w:p>
        </w:tc>
        <w:tc>
          <w:tcPr>
            <w:tcW w:type="dxa" w:w="616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1453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Posture — HCC surveillance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EDEF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20302B"/>
                <w:sz w:val="19"/>
                <w:szCs w:val="19"/>
              </w:rPr>
              <w:t xml:space="preserve">1 · Low</w:t>
            </w:r>
          </w:p>
        </w:tc>
        <w:tc>
          <w:tcPr>
            <w:tcW w:type="dxa" w:w="15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R &lt; 0.05</w:t>
            </w:r>
          </w:p>
        </w:tc>
        <w:tc>
          <w:tcPr>
            <w:tcW w:type="dxa" w:w="616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Monitor; usual-care biannual surveillance appropriate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EDEF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20302B"/>
                <w:sz w:val="19"/>
                <w:szCs w:val="19"/>
              </w:rPr>
              <w:t xml:space="preserve">2 · Moderate</w:t>
            </w:r>
          </w:p>
        </w:tc>
        <w:tc>
          <w:tcPr>
            <w:tcW w:type="dxa" w:w="15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0.05 – 0.15</w:t>
            </w:r>
          </w:p>
        </w:tc>
        <w:tc>
          <w:tcPr>
            <w:tcW w:type="dxa" w:w="616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Usual-care biannual surveillance appropriate; confirm adherence and recall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EDEF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20302B"/>
                <w:sz w:val="19"/>
                <w:szCs w:val="19"/>
              </w:rPr>
              <w:t xml:space="preserve">3 · High</w:t>
            </w:r>
          </w:p>
        </w:tc>
        <w:tc>
          <w:tcPr>
            <w:tcW w:type="dxa" w:w="15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0.15 – 0.35</w:t>
            </w:r>
          </w:p>
        </w:tc>
        <w:tc>
          <w:tcPr>
            <w:tcW w:type="dxa" w:w="616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Prioritise for surveillance; fixed-interval adherence essential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EDEF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20302B"/>
                <w:sz w:val="19"/>
                <w:szCs w:val="19"/>
              </w:rPr>
              <w:t xml:space="preserve">4 · Severe</w:t>
            </w:r>
          </w:p>
        </w:tc>
        <w:tc>
          <w:tcPr>
            <w:tcW w:type="dxa" w:w="15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0.35 – 0.60</w:t>
            </w:r>
          </w:p>
        </w:tc>
        <w:tc>
          <w:tcPr>
            <w:tcW w:type="dxa" w:w="616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Structured navigation; close specialist hepatology follow-up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EDEF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20302B"/>
                <w:sz w:val="19"/>
                <w:szCs w:val="19"/>
              </w:rPr>
              <w:t xml:space="preserve">5 · Critical</w:t>
            </w:r>
          </w:p>
        </w:tc>
        <w:tc>
          <w:tcPr>
            <w:tcW w:type="dxa" w:w="15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R ≥ 0.60</w:t>
            </w:r>
          </w:p>
        </w:tc>
        <w:tc>
          <w:tcPr>
            <w:tcW w:type="dxa" w:w="616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Immediate, resourced pathway; case management</w:t>
            </w:r>
          </w:p>
        </w:tc>
      </w:tr>
    </w:tbl>
    <w:p>
      <w:pPr>
        <w:pStyle w:val="Heading2"/>
        <w:keepNext/>
        <w:spacing w:after="100" w:before="280"/>
      </w:pPr>
      <w:r>
        <w:rPr>
          <w:rFonts w:ascii="Arial" w:cs="Arial" w:eastAsia="Arial" w:hAnsi="Arial"/>
          <w:b/>
          <w:bCs/>
          <w:color w:val="14534A"/>
          <w:sz w:val="26"/>
          <w:szCs w:val="26"/>
        </w:rPr>
        <w:t xml:space="preserve">The EAL formula, with patients</w:t>
      </w:r>
    </w:p>
    <w:p>
      <w:pPr>
        <w:spacing w:after="120" w:before="0" w:line="276"/>
      </w:pPr>
      <w:r>
        <w:rPr>
          <w:rFonts w:ascii="Arial" w:cs="Arial" w:eastAsia="Arial" w:hAnsi="Arial"/>
          <w:color w:val="20302B"/>
          <w:sz w:val="21"/>
          <w:szCs w:val="21"/>
        </w:rPr>
        <w:t xml:space="preserve">This is the paper’s own worked example, and the cleanest illustration of why RMTI carries a severity layer at all. Two patients, same tier:</w:t>
      </w:r>
    </w:p>
    <w:p>
      <w:pPr>
        <w:keepNext/>
        <w:spacing w:after="40" w:before="0" w:line="276"/>
      </w:pPr>
      <w:r>
        <w:rPr>
          <w:rFonts w:ascii="Arial" w:cs="Arial" w:eastAsia="Arial" w:hAnsi="Arial"/>
          <w:b/>
          <w:bCs/>
          <w:color w:val="20302B"/>
          <w:sz w:val="21"/>
          <w:szCs w:val="21"/>
        </w:rPr>
        <w:t xml:space="preserve">Patient A — post-SVR HCV, preserved liver reserve</w:t>
      </w:r>
    </w:p>
    <w:p>
      <w:pPr>
        <w:spacing w:after="40" w:before="0" w:line="276"/>
        <w:ind w:left="360"/>
      </w:pPr>
      <w:r>
        <w:rPr>
          <w:rFonts w:ascii="Arial" w:cs="Arial" w:eastAsia="Arial" w:hAnsi="Arial"/>
          <w:color w:val="20302B"/>
          <w:sz w:val="21"/>
          <w:szCs w:val="21"/>
        </w:rPr>
        <w:t xml:space="preserve">L = 30%, E = 60%, V = 50%, ρ = 20%, C = 2 (Minor → 30%)</w:t>
      </w:r>
    </w:p>
    <w:p>
      <w:pPr>
        <w:spacing w:after="40" w:before="0" w:line="276"/>
        <w:ind w:left="360"/>
      </w:pPr>
      <w:r>
        <w:rPr>
          <w:rFonts w:ascii="Arial" w:cs="Arial" w:eastAsia="Arial" w:hAnsi="Arial"/>
          <w:color w:val="20302B"/>
          <w:sz w:val="21"/>
          <w:szCs w:val="21"/>
        </w:rPr>
        <w:t xml:space="preserve">R = 0.30 × 0.60 × 0.50 × (1 − 0.20) = 7.2% → Moderate</w:t>
      </w:r>
    </w:p>
    <w:p>
      <w:pPr>
        <w:spacing w:after="120" w:before="0" w:line="276"/>
        <w:ind w:left="360"/>
      </w:pPr>
      <w:r>
        <w:rPr>
          <w:rFonts w:ascii="Arial" w:cs="Arial" w:eastAsia="Arial" w:hAnsi="Arial"/>
          <w:color w:val="20302B"/>
          <w:sz w:val="21"/>
          <w:szCs w:val="21"/>
        </w:rPr>
        <w:t xml:space="preserve">EAL = L × C × (1 − ρ) = 0.30 × 0.30 × 0.80 = 0.072</w:t>
      </w:r>
    </w:p>
    <w:p>
      <w:pPr>
        <w:keepNext/>
        <w:spacing w:after="40" w:before="0" w:line="276"/>
      </w:pPr>
      <w:r>
        <w:rPr>
          <w:rFonts w:ascii="Arial" w:cs="Arial" w:eastAsia="Arial" w:hAnsi="Arial"/>
          <w:b/>
          <w:bCs/>
          <w:color w:val="20302B"/>
          <w:sz w:val="21"/>
          <w:szCs w:val="21"/>
        </w:rPr>
        <w:t xml:space="preserve">Patient B — alcohol-related, marginal liver reserve</w:t>
      </w:r>
    </w:p>
    <w:p>
      <w:pPr>
        <w:spacing w:after="40" w:before="0" w:line="276"/>
        <w:ind w:left="360"/>
      </w:pPr>
      <w:r>
        <w:rPr>
          <w:rFonts w:ascii="Arial" w:cs="Arial" w:eastAsia="Arial" w:hAnsi="Arial"/>
          <w:color w:val="20302B"/>
          <w:sz w:val="21"/>
          <w:szCs w:val="21"/>
        </w:rPr>
        <w:t xml:space="preserve">L = 25%, E = 60%, V = 55%, ρ = 20%, C = 5 (Severe → 100%)</w:t>
      </w:r>
    </w:p>
    <w:p>
      <w:pPr>
        <w:spacing w:after="40" w:before="0" w:line="276"/>
        <w:ind w:left="360"/>
      </w:pPr>
      <w:r>
        <w:rPr>
          <w:rFonts w:ascii="Arial" w:cs="Arial" w:eastAsia="Arial" w:hAnsi="Arial"/>
          <w:color w:val="20302B"/>
          <w:sz w:val="21"/>
          <w:szCs w:val="21"/>
        </w:rPr>
        <w:t xml:space="preserve">R = 0.25 × 0.60 × 0.55 × (1 − 0.20) = 6.6% → Moderate</w:t>
      </w:r>
    </w:p>
    <w:p>
      <w:pPr>
        <w:spacing w:after="120" w:before="0" w:line="276"/>
        <w:ind w:left="360"/>
      </w:pPr>
      <w:r>
        <w:rPr>
          <w:rFonts w:ascii="Arial" w:cs="Arial" w:eastAsia="Arial" w:hAnsi="Arial"/>
          <w:color w:val="20302B"/>
          <w:sz w:val="21"/>
          <w:szCs w:val="21"/>
        </w:rPr>
        <w:t xml:space="preserve">EAL = L × C × (1 − ρ) = 0.25 × 1.00 × 0.80 = 0.200</w:t>
      </w:r>
    </w:p>
    <w:p>
      <w:pPr>
        <w:spacing w:after="120" w:before="0" w:line="276"/>
      </w:pPr>
      <w:r>
        <w:rPr>
          <w:rFonts w:ascii="Arial" w:cs="Arial" w:eastAsia="Arial" w:hAnsi="Arial"/>
          <w:color w:val="20302B"/>
          <w:sz w:val="21"/>
          <w:szCs w:val="21"/>
        </w:rPr>
        <w:t xml:space="preserve">On R alone, Patient A (7.2%) outranks Patient B (6.6%) — barely. But look at what each is actually risking. If A’s tumour is missed, it presents early and remains curable (C = 2, a “Minor” consequence). If B’s is missed, it presents advanced, non-curative and often fatal (C = 5, “Severe”). EAL captures that asymmetry — B’s expected loss (0.200) is nearly three times A’s (0.072) — and flips the priority order: B should be seen first, even though B’s raw R is lower.</w:t>
      </w:r>
    </w:p>
    <w:p>
      <w:pPr>
        <w:spacing w:after="120" w:before="0" w:line="276"/>
      </w:pPr>
      <w:r>
        <w:rPr>
          <w:rFonts w:ascii="Arial" w:cs="Arial" w:eastAsia="Arial" w:hAnsi="Arial"/>
          <w:color w:val="20302B"/>
          <w:sz w:val="21"/>
          <w:szCs w:val="21"/>
        </w:rPr>
        <w:t xml:space="preserve">That is exactly what the Priority (in tier) column automates across every row: it asks “within this tier, who has the most to lose if we are slow,” not just “who has the marginally higher R.”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1200"/>
        <w:gridCol w:w="1500"/>
        <w:gridCol w:w="1500"/>
        <w:gridCol w:w="2060"/>
      </w:tblGrid>
      <w:tr>
        <w:trPr>
          <w:cantSplit/>
          <w:tblHeader/>
        </w:trPr>
        <w:tc>
          <w:tcPr>
            <w:tcW w:type="dxa" w:w="16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1453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1453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 (tier)</w:t>
            </w:r>
          </w:p>
        </w:tc>
        <w:tc>
          <w:tcPr>
            <w:tcW w:type="dxa" w:w="12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1453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EAL</w:t>
            </w:r>
          </w:p>
        </w:tc>
        <w:tc>
          <w:tcPr>
            <w:tcW w:type="dxa" w:w="15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1453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 in tier</w:t>
            </w:r>
          </w:p>
        </w:tc>
        <w:tc>
          <w:tcPr>
            <w:tcW w:type="dxa" w:w="15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1453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Per-capita (per 1,000,000)</w:t>
            </w:r>
          </w:p>
        </w:tc>
        <w:tc>
          <w:tcPr>
            <w:tcW w:type="dxa" w:w="206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1453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Posture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EDEF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20302B"/>
                <w:sz w:val="19"/>
                <w:szCs w:val="19"/>
              </w:rPr>
              <w:t xml:space="preserve">Patient A</w:t>
            </w:r>
          </w:p>
        </w:tc>
        <w:tc>
          <w:tcPr>
            <w:tcW w:type="dxa" w:w="15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7.2% · Moderate</w:t>
            </w:r>
          </w:p>
        </w:tc>
        <w:tc>
          <w:tcPr>
            <w:tcW w:type="dxa" w:w="12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0.072</w:t>
            </w:r>
          </w:p>
        </w:tc>
        <w:tc>
          <w:tcPr>
            <w:tcW w:type="dxa" w:w="15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8 of 8</w:t>
            </w:r>
          </w:p>
        </w:tc>
        <w:tc>
          <w:tcPr>
            <w:tcW w:type="dxa" w:w="15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0.72</w:t>
            </w:r>
          </w:p>
        </w:tc>
        <w:tc>
          <w:tcPr>
            <w:tcW w:type="dxa" w:w="206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Usual-care biannual surveillance appropriate; confirm adherence and recall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EDEF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20302B"/>
                <w:sz w:val="19"/>
                <w:szCs w:val="19"/>
              </w:rPr>
              <w:t xml:space="preserve">Patient B</w:t>
            </w:r>
          </w:p>
        </w:tc>
        <w:tc>
          <w:tcPr>
            <w:tcW w:type="dxa" w:w="15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6.6% · Moderate</w:t>
            </w:r>
          </w:p>
        </w:tc>
        <w:tc>
          <w:tcPr>
            <w:tcW w:type="dxa" w:w="12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0.200</w:t>
            </w:r>
          </w:p>
        </w:tc>
        <w:tc>
          <w:tcPr>
            <w:tcW w:type="dxa" w:w="15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7 of 8 (seen before A)</w:t>
            </w:r>
          </w:p>
        </w:tc>
        <w:tc>
          <w:tcPr>
            <w:tcW w:type="dxa" w:w="15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2.00</w:t>
            </w:r>
          </w:p>
        </w:tc>
        <w:tc>
          <w:tcPr>
            <w:tcW w:type="dxa" w:w="206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Usual-care biannual surveillance appropriate; confirm adherence and recall</w:t>
            </w:r>
          </w:p>
        </w:tc>
      </w:tr>
    </w:tbl>
    <w:p>
      <w:pPr>
        <w:spacing w:after="120" w:before="120" w:line="276"/>
      </w:pPr>
      <w:r>
        <w:rPr>
          <w:rFonts w:ascii="Arial" w:cs="Arial" w:eastAsia="Arial" w:hAnsi="Arial"/>
          <w:color w:val="6E7F78"/>
          <w:sz w:val="19"/>
          <w:szCs w:val="19"/>
        </w:rPr>
        <w:t xml:space="preserve">Priorities are computed across all 14 pre-filled rows, so the two patients rank among the eight rows that fall in the Moderate tier. Patient B ties on EAL with two other rows (0.200); ties are broken by row order, so B ranks 7th and A ranks 8th. The comparison that matters is between the two patients: B ranks ahead of A. In the workbook these patients are entered as rows 17–18, right after the twelve paper-sourced cohorts, so the EAL mechanic is visible live in the spreadsheet.</w:t>
      </w:r>
    </w:p>
    <w:p>
      <w:pPr>
        <w:pStyle w:val="Heading2"/>
        <w:keepNext/>
        <w:spacing w:after="100" w:before="280"/>
      </w:pPr>
      <w:r>
        <w:rPr>
          <w:rFonts w:ascii="Arial" w:cs="Arial" w:eastAsia="Arial" w:hAnsi="Arial"/>
          <w:b/>
          <w:bCs/>
          <w:color w:val="14534A"/>
          <w:sz w:val="26"/>
          <w:szCs w:val="26"/>
        </w:rPr>
        <w:t xml:space="preserve">What changed in v2.1.0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1453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06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14534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EDEF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20302B"/>
                <w:sz w:val="19"/>
                <w:szCs w:val="19"/>
              </w:rPr>
              <w:t xml:space="preserve">Posture wording</w:t>
            </w:r>
          </w:p>
        </w:tc>
        <w:tc>
          <w:tcPr>
            <w:tcW w:type="dxa" w:w="706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Oncology (surveillance-programme) vocabulary in the workbook, the Python package and the sandbox; Tier 1 and Tier 2 worded differently.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EDEF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20302B"/>
                <w:sz w:val="19"/>
                <w:szCs w:val="19"/>
              </w:rPr>
              <w:t xml:space="preserve">Population bounds</w:t>
            </w:r>
          </w:p>
        </w:tc>
        <w:tc>
          <w:tcPr>
            <w:tcW w:type="dxa" w:w="706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N-min and N-max for the advisory E-log helper: 10 / 650,000 → 100 / 5,000,000, the Python HCC bounds. R, tier and EAL are unaffected.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EDEF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20302B"/>
                <w:sz w:val="19"/>
                <w:szCs w:val="19"/>
              </w:rPr>
              <w:t xml:space="preserve">Per-capita unit</w:t>
            </w:r>
          </w:p>
        </w:tc>
        <w:tc>
          <w:tcPr>
            <w:tcW w:type="dxa" w:w="706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EAL ÷ N × 100,000 → EAL ÷ N × 1,000,000, the Python unit. Numerically ten times the old values.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EDEF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20302B"/>
                <w:sz w:val="19"/>
                <w:szCs w:val="19"/>
              </w:rPr>
              <w:t xml:space="preserve">Priority ranking</w:t>
            </w:r>
          </w:p>
        </w:tc>
        <w:tc>
          <w:tcPr>
            <w:tcW w:type="dxa" w:w="706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EAL rounded to 3 decimals and ranked with row-order tie-breaks, as in RMTI-Py. In the earlier explainer, Patient B ranked 5th; the ranking now matches the Python package exactly (B ranks 7th of the 8 Moderate-tier rows).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shd w:fill="EDEFE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20302B"/>
                <w:sz w:val="19"/>
                <w:szCs w:val="19"/>
              </w:rPr>
              <w:t xml:space="preserve">ALBI cohort counts</w:t>
            </w:r>
          </w:p>
        </w:tc>
        <w:tc>
          <w:tcPr>
            <w:tcW w:type="dxa" w:w="7060"/>
            <w:tcBorders>
              <w:top w:val="single" w:color="B5BEB9" w:sz="4"/>
              <w:left w:val="single" w:color="B5BEB9" w:sz="4"/>
              <w:bottom w:val="single" w:color="B5BEB9" w:sz="4"/>
              <w:right w:val="single" w:color="B5BEB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0"/>
            </w:pPr>
            <w:r>
              <w:rPr>
                <w:rFonts w:ascii="Arial" w:cs="Arial" w:eastAsia="Arial" w:hAnsi="Arial"/>
                <w:b w:val="false"/>
                <w:bCs w:val="false"/>
                <w:color w:val="20302B"/>
                <w:sz w:val="19"/>
                <w:szCs w:val="19"/>
              </w:rPr>
              <w:t xml:space="preserve">HCC grade counts corrected from 9/19/1 to 10/18/1 (V = 0.522), matching Table 1a and the Python test suite.</w:t>
            </w:r>
          </w:p>
        </w:tc>
      </w:tr>
    </w:tbl>
    <w:p>
      <w:pPr>
        <w:spacing w:after="120" w:before="280" w:line="276"/>
      </w:pPr>
      <w:r>
        <w:rPr>
          <w:rFonts w:ascii="Arial" w:cs="Arial" w:eastAsia="Arial" w:hAnsi="Arial"/>
          <w:i/>
          <w:iCs/>
          <w:color w:val="6E7F78"/>
          <w:sz w:val="18"/>
          <w:szCs w:val="18"/>
        </w:rPr>
        <w:t xml:space="preserve">Reproduced from Marolla, “The Risk Mechanism Theory Index (RMTI) as a Triage and Evidence-Grading Layer for Hepatocellular-Carcinoma Surveillance” (manuscript), and the accompanying RMTI–HCC Calculator workbook v2.1.0 and RMTI-Py 2.1.0. Decision-support illustration; not validated for clinical use.</w:t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E7F78"/>
        <w:sz w:val="16"/>
        <w:szCs w:val="16"/>
      </w:rPr>
      <w:t xml:space="preserve">RMTI–HCC Calculator, Explained · v2.1.0 · Page </w:t>
    </w:r>
    <w:r>
      <w:rPr>
        <w:rFonts w:ascii="Arial" w:cs="Arial" w:eastAsia="Arial" w:hAnsi="Arial"/>
        <w:color w:val="6E7F7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RMTI–HCC Calculator, Explained (v2.1.0)</dc:title>
  <dc:creator>Marolla</dc:creator>
  <cp:lastModifiedBy>Un-named</cp:lastModifiedBy>
  <cp:revision>1</cp:revision>
  <dcterms:created xsi:type="dcterms:W3CDTF">2026-09-29T00:02:34.580Z</dcterms:created>
  <dcterms:modified xsi:type="dcterms:W3CDTF">2026-09-29T00:02:34.581Z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