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sz w:val="32"/>
          <w:szCs w:val="32"/>
        </w:rPr>
        <w:t xml:space="preserve">Ajuste de potencia de la lente intraocular entre saco capsular y surco ciliar</w:t>
      </w:r>
    </w:p>
    <w:p>
      <w:pPr>
        <w:spacing w:after="300"/>
        <w:jc w:val="center"/>
      </w:pPr>
      <w:r>
        <w:rPr>
          <w:rFonts w:ascii="Calibri" w:cs="Calibri" w:eastAsia="Calibri" w:hAnsi="Calibri"/>
          <w:i/>
          <w:iCs/>
          <w:sz w:val="24"/>
          <w:szCs w:val="24"/>
        </w:rPr>
        <w:t xml:space="preserve">Fundamento científico y algoritmo combinado con conversión de constante A para toma de decisión intraoperatoria</w:t>
      </w:r>
    </w:p>
    <w:p>
      <w:pPr>
        <w:spacing w:after="40"/>
        <w:jc w:val="center"/>
      </w:pPr>
      <w:r>
        <w:rPr>
          <w:rFonts w:ascii="Calibri" w:cs="Calibri" w:eastAsia="Calibri" w:hAnsi="Calibri"/>
          <w:sz w:val="22"/>
          <w:szCs w:val="22"/>
        </w:rPr>
        <w:t xml:space="preserve">Dr. Gerardo Mateos (MP 33952) — Instituto Oulton, Córdoba, Argentina</w:t>
      </w:r>
    </w:p>
    <w:p>
      <w:pPr>
        <w:spacing w:after="400"/>
        <w:jc w:val="center"/>
      </w:pPr>
      <w:r>
        <w:rPr>
          <w:rFonts w:ascii="Calibri" w:cs="Calibri" w:eastAsia="Calibri" w:hAnsi="Calibri"/>
          <w:i/>
          <w:iCs/>
          <w:color w:val="666666"/>
          <w:sz w:val="20"/>
          <w:szCs w:val="20"/>
        </w:rPr>
        <w:t xml:space="preserve">Documento de trabajo — versión preliminar, base para presentación en congreso</w:t>
      </w:r>
    </w:p>
    <w:p>
      <w:pPr>
        <w:pStyle w:val="Heading1"/>
        <w:spacing w:after="160" w:before="360"/>
      </w:pPr>
      <w:r>
        <w:t xml:space="preserve">1. Introducción y justificación clínica</w:t>
      </w:r>
    </w:p>
    <w:p>
      <w:pPr>
        <w:spacing w:after="200" w:line="300"/>
        <w:jc w:val="both"/>
      </w:pPr>
      <w:r>
        <w:rPr>
          <w:rFonts w:ascii="Calibri" w:cs="Calibri" w:eastAsia="Calibri" w:hAnsi="Calibri"/>
          <w:b w:val="false"/>
          <w:bCs w:val="false"/>
          <w:i w:val="false"/>
          <w:iCs w:val="false"/>
          <w:sz w:val="22"/>
          <w:szCs w:val="22"/>
        </w:rPr>
        <w:t xml:space="preserve">Durante la facoemulsificación, la lente intraocular (LIO) se planifica habitualmente para su implante en el saco capsular. Ante una ruptura de la cápsula posterior u otra pérdida de soporte capsular intraoperatoria, la LIO puede requerir reposicionamiento en el surco ciliar (sulcus). Dado que el sulcus se ubica en un plano más anterior que el saco capsular, la posición efectiva de la lente (ELP, effective lens position) se acorta, lo que aumenta la potencia efectiva del mismo lente físico para el mismo objetivo refractivo. En consecuencia, una LIO reposicionada en sulcus debe tener, en general, menor potencia nominal que la planificada para bolsa.</w:t>
      </w:r>
    </w:p>
    <w:p>
      <w:pPr>
        <w:spacing w:after="200" w:line="300"/>
        <w:jc w:val="both"/>
      </w:pPr>
      <w:r>
        <w:rPr>
          <w:rFonts w:ascii="Calibri" w:cs="Calibri" w:eastAsia="Calibri" w:hAnsi="Calibri"/>
          <w:b w:val="false"/>
          <w:bCs w:val="false"/>
          <w:i w:val="false"/>
          <w:iCs w:val="false"/>
          <w:sz w:val="22"/>
          <w:szCs w:val="22"/>
        </w:rPr>
        <w:t xml:space="preserve">A esto se suma una segunda variable frecuentemente subestimada: las lentes utilizadas para sulcus (habitualmente de diseño de tres piezas) suelen pertenecer a una plataforma distinta de la lente monopieza planificada para bolsa, con su propia constante A. Por lo tanto, antes de aplicar la corrección bolsa→sulcus, es necesario equiparar la potencia planificada a la nueva plataforma según la diferencia entre constantes.</w:t>
      </w:r>
    </w:p>
    <w:p>
      <w:pPr>
        <w:spacing w:after="200" w:line="300"/>
        <w:jc w:val="both"/>
      </w:pPr>
      <w:r>
        <w:rPr>
          <w:rFonts w:ascii="Calibri" w:cs="Calibri" w:eastAsia="Calibri" w:hAnsi="Calibri"/>
          <w:b w:val="false"/>
          <w:bCs w:val="false"/>
          <w:i w:val="false"/>
          <w:iCs w:val="false"/>
          <w:sz w:val="22"/>
          <w:szCs w:val="22"/>
        </w:rPr>
        <w:t xml:space="preserve">El objetivo de este documento es reunir el respaldo bibliográfico de ambos pasos —corrección posicional bolsa/sulcus y conversión de constante A— y formalizar el algoritmo combinado de dos pasos que permite, en quirófano y en segundos, identificar qué lente del stock disponible debe reemplazar a la originalmente planificada.</w:t>
      </w:r>
    </w:p>
    <w:p>
      <w:pPr>
        <w:pStyle w:val="Heading1"/>
        <w:spacing w:after="160" w:before="360"/>
      </w:pPr>
      <w:r>
        <w:t xml:space="preserve">2. Fundamento óptico: por qué cambia la potencia efectiva</w:t>
      </w:r>
    </w:p>
    <w:p>
      <w:pPr>
        <w:spacing w:after="200" w:line="300"/>
        <w:jc w:val="both"/>
      </w:pPr>
      <w:r>
        <w:rPr>
          <w:rFonts w:ascii="Calibri" w:cs="Calibri" w:eastAsia="Calibri" w:hAnsi="Calibri"/>
          <w:b w:val="false"/>
          <w:bCs w:val="false"/>
          <w:i w:val="false"/>
          <w:iCs w:val="false"/>
          <w:sz w:val="22"/>
          <w:szCs w:val="22"/>
        </w:rPr>
        <w:t xml:space="preserve">Las fórmulas de cálculo de potencia de LIO (vergenciales) relacionan la potencia necesaria con la longitud axial, la queratometría y la posición efectiva de la lente dentro del ojo. Para un mismo objetivo refractivo, cuanto más anterior se ubica el plano óptico de la lente, mayor es su potencia efectiva; por lo tanto, se requiere una lente de menor potencia nominal para lograr el mismo resultado. La magnitud de este efecto no es constante: es proporcional a la potencia base de la lente, por lo que las lentes de alta potencia (hipermetropías altas) requieren una corrección mayor que las de baja potencia, y en miopías altas la diferencia entre bolsa y sulcus puede ser clínicamente insignificante.</w:t>
      </w:r>
    </w:p>
    <w:p>
      <w:pPr>
        <w:spacing w:after="200" w:line="300"/>
        <w:jc w:val="both"/>
      </w:pPr>
      <w:r>
        <w:rPr>
          <w:rFonts w:ascii="Calibri" w:cs="Calibri" w:eastAsia="Calibri" w:hAnsi="Calibri"/>
          <w:b w:val="false"/>
          <w:bCs w:val="false"/>
          <w:i w:val="false"/>
          <w:iCs w:val="false"/>
          <w:sz w:val="22"/>
          <w:szCs w:val="22"/>
        </w:rPr>
        <w:t xml:space="preserve">Como referencia práctica, la posición efectiva de la lente en el saco capsular suele asumirse en 5.20 mm (valor característico de lentes de cámara posterior estándar como la Alcon MA60AC), mientras que la posición efectiva en el surco ciliar se estima en 4.70 mm; es decir, un desplazamiento anterior de aproximadamente 0.5 mm.</w:t>
      </w:r>
    </w:p>
    <w:p>
      <w:pPr>
        <w:pStyle w:val="Heading1"/>
        <w:spacing w:after="160" w:before="360"/>
      </w:pPr>
      <w:r>
        <w:t xml:space="preserve">3. Evolución del criterio clínico: de la regla fija a la “Regla de los Nueve”</w:t>
      </w:r>
    </w:p>
    <w:p>
      <w:pPr>
        <w:spacing w:after="200" w:line="300"/>
        <w:jc w:val="both"/>
      </w:pPr>
      <w:r>
        <w:rPr>
          <w:rFonts w:ascii="Calibri" w:cs="Calibri" w:eastAsia="Calibri" w:hAnsi="Calibri"/>
          <w:b w:val="false"/>
          <w:bCs w:val="false"/>
          <w:i w:val="false"/>
          <w:iCs w:val="false"/>
          <w:sz w:val="22"/>
          <w:szCs w:val="22"/>
        </w:rPr>
        <w:t xml:space="preserve">Históricamente se utilizó una corrección fija de −1.00 D para cualquier lente reposicionada en sulcus, independientemente de su potencia. Suto y colaboradores (2003) demostraron, en 30 ojos evaluados retrospectivamente y confirmados prospectivamente en 16 ojos adicionales, que este criterio fijo era impreciso: el poder virtual en bolsa fue en promedio 1.11 ± 0.67 D mayor que el de la lente efectivamente implantada en sulcus, y el acortamiento de la ELP en sulcus fue de 0.62–0.75 mm respecto de la bolsa. Concluyeron que, para ojos de longitud axial normal, la reducción de potencia adecuada ronda 1.00 D, pero remarcaron que esta corrección depende de la potencia de la lente.</w:t>
      </w:r>
    </w:p>
    <w:p>
      <w:pPr>
        <w:spacing w:after="200" w:line="300"/>
        <w:jc w:val="both"/>
      </w:pPr>
      <w:r>
        <w:rPr>
          <w:rFonts w:ascii="Calibri" w:cs="Calibri" w:eastAsia="Calibri" w:hAnsi="Calibri"/>
          <w:b w:val="false"/>
          <w:bCs w:val="false"/>
          <w:i w:val="false"/>
          <w:iCs w:val="false"/>
          <w:sz w:val="22"/>
          <w:szCs w:val="22"/>
        </w:rPr>
        <w:t xml:space="preserve">Ese mismo grupo (Suto, 2004) refinó el criterio mediante simulación computacional, generando una escala variable (“sliding scale”) de corrección según el rango de potencia. Este enfoque escalonado se popularizó clínicamente como la “Regla de los Nueve” (Rule of Nines, difundida por Uday Devgan), que agrupa las potencias en bandas de 9 D y es funcionalmente equivalente a la tabla de doctor-hill.com que se usó como punto de partida de este proyecto: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D9D9" w:color="auto" w:val="clear"/>
            <w:tcMar>
              <w:top w:type="dxa" w:w="80"/>
              <w:left w:type="dxa" w:w="100"/>
              <w:bottom w:type="dxa" w:w="80"/>
              <w:right w:type="dxa" w:w="100"/>
            </w:tcMar>
          </w:tcPr>
          <w:p>
            <w:pPr>
              <w:jc w:val="center"/>
            </w:pPr>
            <w:r>
              <w:rPr>
                <w:rFonts w:ascii="Calibri" w:cs="Calibri" w:eastAsia="Calibri" w:hAnsi="Calibri"/>
                <w:b/>
                <w:bCs/>
                <w:sz w:val="20"/>
                <w:szCs w:val="20"/>
              </w:rPr>
              <w:t xml:space="preserve">Potencia de la LIO (bolsa)</w:t>
            </w:r>
          </w:p>
        </w:tc>
        <w:tc>
          <w:tcPr>
            <w:tcW w:type="dxa" w:w="3000"/>
            <w:shd w:fill="D9D9D9" w:color="auto" w:val="clear"/>
            <w:tcMar>
              <w:top w:type="dxa" w:w="80"/>
              <w:left w:type="dxa" w:w="100"/>
              <w:bottom w:type="dxa" w:w="80"/>
              <w:right w:type="dxa" w:w="100"/>
            </w:tcMar>
          </w:tcPr>
          <w:p>
            <w:pPr>
              <w:jc w:val="center"/>
            </w:pPr>
            <w:r>
              <w:rPr>
                <w:rFonts w:ascii="Calibri" w:cs="Calibri" w:eastAsia="Calibri" w:hAnsi="Calibri"/>
                <w:b/>
                <w:bCs/>
                <w:sz w:val="20"/>
                <w:szCs w:val="20"/>
              </w:rPr>
              <w:t xml:space="preserve">Corrección a restar para sulcus</w:t>
            </w:r>
          </w:p>
        </w:tc>
        <w:tc>
          <w:tcPr>
            <w:tcW w:type="dxa" w:w="3000"/>
            <w:shd w:fill="D9D9D9" w:color="auto" w:val="clear"/>
            <w:tcMar>
              <w:top w:type="dxa" w:w="80"/>
              <w:left w:type="dxa" w:w="100"/>
              <w:bottom w:type="dxa" w:w="80"/>
              <w:right w:type="dxa" w:w="100"/>
            </w:tcMar>
          </w:tcPr>
          <w:p>
            <w:pPr>
              <w:jc w:val="center"/>
            </w:pPr>
            <w:r>
              <w:rPr>
                <w:rFonts w:ascii="Calibri" w:cs="Calibri" w:eastAsia="Calibri" w:hAnsi="Calibri"/>
                <w:b/>
                <w:bCs/>
                <w:sz w:val="20"/>
                <w:szCs w:val="20"/>
              </w:rPr>
              <w:t xml:space="preserve">Fuente</w:t>
            </w:r>
          </w:p>
        </w:tc>
      </w:tr>
      <w:tr>
        <w:tc>
          <w:tcPr>
            <w:tcW w:type="dxa" w:w="30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0.00 D a +9.00 D</w:t>
            </w:r>
          </w:p>
        </w:tc>
        <w:tc>
          <w:tcPr>
            <w:tcW w:type="dxa" w:w="30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Sin cambios</w:t>
            </w:r>
          </w:p>
        </w:tc>
        <w:tc>
          <w:tcPr>
            <w:tcW w:type="dxa" w:w="30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Suto 2003/2004; Devgan 2018</w:t>
            </w:r>
          </w:p>
        </w:tc>
      </w:tr>
      <w:tr>
        <w:tc>
          <w:tcPr>
            <w:tcW w:type="dxa" w:w="30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+9.50 D a +18.00 D</w:t>
            </w:r>
          </w:p>
        </w:tc>
        <w:tc>
          <w:tcPr>
            <w:tcW w:type="dxa" w:w="30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−0.50 D</w:t>
            </w:r>
          </w:p>
        </w:tc>
        <w:tc>
          <w:tcPr>
            <w:tcW w:type="dxa" w:w="30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Suto 2003/2004; Devgan 2018</w:t>
            </w:r>
          </w:p>
        </w:tc>
      </w:tr>
      <w:tr>
        <w:tc>
          <w:tcPr>
            <w:tcW w:type="dxa" w:w="30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+18.50 D a +27.00 D</w:t>
            </w:r>
          </w:p>
        </w:tc>
        <w:tc>
          <w:tcPr>
            <w:tcW w:type="dxa" w:w="30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−1.00 D</w:t>
            </w:r>
          </w:p>
        </w:tc>
        <w:tc>
          <w:tcPr>
            <w:tcW w:type="dxa" w:w="30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Suto 2003/2004; Devgan 2018</w:t>
            </w:r>
          </w:p>
        </w:tc>
      </w:tr>
      <w:tr>
        <w:tc>
          <w:tcPr>
            <w:tcW w:type="dxa" w:w="30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&gt; +27.00 D</w:t>
            </w:r>
          </w:p>
        </w:tc>
        <w:tc>
          <w:tcPr>
            <w:tcW w:type="dxa" w:w="30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−1.50 D</w:t>
            </w:r>
          </w:p>
        </w:tc>
        <w:tc>
          <w:tcPr>
            <w:tcW w:type="dxa" w:w="30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Suto 2003/2004; Devgan 2018</w:t>
            </w:r>
          </w:p>
        </w:tc>
      </w:tr>
    </w:tbl>
    <w:p>
      <w:pPr>
        <w:spacing w:after="200" w:line="300"/>
        <w:jc w:val="both"/>
      </w:pPr>
      <w:r>
        <w:rPr>
          <w:rFonts w:ascii="Calibri" w:cs="Calibri" w:eastAsia="Calibri" w:hAnsi="Calibri"/>
          <w:b w:val="false"/>
          <w:bCs w:val="false"/>
          <w:i w:val="false"/>
          <w:iCs w:val="false"/>
          <w:sz w:val="22"/>
          <w:szCs w:val="22"/>
        </w:rPr>
        <w:t xml:space="preserve"/>
      </w:r>
    </w:p>
    <w:p>
      <w:pPr>
        <w:spacing w:after="200" w:line="300"/>
        <w:jc w:val="both"/>
      </w:pPr>
      <w:r>
        <w:rPr>
          <w:rFonts w:ascii="Calibri" w:cs="Calibri" w:eastAsia="Calibri" w:hAnsi="Calibri"/>
          <w:b w:val="false"/>
          <w:bCs w:val="false"/>
          <w:i w:val="false"/>
          <w:iCs w:val="false"/>
          <w:sz w:val="22"/>
          <w:szCs w:val="22"/>
        </w:rPr>
        <w:t xml:space="preserve">Publicaciones posteriores (Spokes, Norris y Ball, 2010; Cartwright, Aristodemou, Sparrow y Johnston, 2011) propusieron refinamientos adicionales a la selección de potencia para sulcus, confirmando el principio general pero ajustando los valores según la plataforma de lente utilizada.</w:t>
      </w:r>
    </w:p>
    <w:p>
      <w:pPr>
        <w:pStyle w:val="Heading1"/>
        <w:spacing w:after="160" w:before="360"/>
      </w:pPr>
      <w:r>
        <w:t xml:space="preserve">4. Fundamento matemático: relación entre la constante A y la potencia</w:t>
      </w:r>
    </w:p>
    <w:p>
      <w:pPr>
        <w:spacing w:after="200" w:line="300"/>
        <w:jc w:val="both"/>
      </w:pPr>
      <w:r>
        <w:rPr>
          <w:rFonts w:ascii="Calibri" w:cs="Calibri" w:eastAsia="Calibri" w:hAnsi="Calibri"/>
          <w:b w:val="false"/>
          <w:bCs w:val="false"/>
          <w:i w:val="false"/>
          <w:iCs w:val="false"/>
          <w:sz w:val="22"/>
          <w:szCs w:val="22"/>
        </w:rPr>
        <w:t xml:space="preserve">La fórmula SRK original expresa la potencia de emetropía como P = A − 2.5·L − 0.9·K, donde A es la constante específica de la lente, L la longitud axial y K la queratometría promedio. Despejando la constante: A = P + 2.5·L + 0.9·K. Para un mismo ojo (L y K fijos), la derivada de P respecto de A es 1: un aumento de un punto en la constante A equivale, en primera aproximación, a un aumento de 1.00 D en la potencia calculada. Esta es la base matemática de la equiparación de plataformas que se utiliza en el Paso 1 del algoritmo (sección 5).</w:t>
      </w:r>
    </w:p>
    <w:p>
      <w:pPr>
        <w:spacing w:after="200" w:line="300"/>
        <w:jc w:val="both"/>
      </w:pPr>
      <w:r>
        <w:rPr>
          <w:rFonts w:ascii="Calibri" w:cs="Calibri" w:eastAsia="Calibri" w:hAnsi="Calibri"/>
          <w:b w:val="false"/>
          <w:bCs w:val="false"/>
          <w:i w:val="false"/>
          <w:iCs w:val="false"/>
          <w:sz w:val="22"/>
          <w:szCs w:val="22"/>
        </w:rPr>
        <w:t xml:space="preserve">En las fórmulas de generaciones posteriores (SRK/T, Holladay 1, Hoffer Q), la posición efectiva de la lente se estima a partir de variables biométricas adicionales mediante las ecuaciones de vergencia descriptas por Holladay (1997), por lo que la relación entre constante y potencia no es perfectamente lineal en todo el rango. Sin embargo, la aproximación 1 punto de constante ≈ 1.00 D es la que se utiliza en la práctica clínica habitual (Devgan, 2018) y su error es clínicamente despreciable para el propósito de esta herramienta.</w:t>
      </w:r>
    </w:p>
    <w:p>
      <w:pPr>
        <w:pStyle w:val="Heading1"/>
        <w:spacing w:after="160" w:before="360"/>
      </w:pPr>
      <w:r>
        <w:t xml:space="preserve">5. Algoritmo combinado propuesto (dos pasos)</w:t>
      </w:r>
    </w:p>
    <w:p>
      <w:pPr>
        <w:spacing w:after="200" w:line="300"/>
        <w:jc w:val="both"/>
      </w:pPr>
      <w:r>
        <w:rPr>
          <w:rFonts w:ascii="Calibri" w:cs="Calibri" w:eastAsia="Calibri" w:hAnsi="Calibri"/>
          <w:b w:val="false"/>
          <w:bCs w:val="false"/>
          <w:i w:val="false"/>
          <w:iCs w:val="false"/>
          <w:sz w:val="22"/>
          <w:szCs w:val="22"/>
        </w:rPr>
        <w:t xml:space="preserve">El algoritmo formaliza el procedimiento mental que se aplica actualmente en quirófano, en dos pasos secuenciales:</w:t>
      </w:r>
    </w:p>
    <w:p>
      <w:pPr>
        <w:spacing w:after="200" w:line="300"/>
        <w:jc w:val="both"/>
      </w:pPr>
      <w:r>
        <w:rPr>
          <w:rFonts w:ascii="Calibri" w:cs="Calibri" w:eastAsia="Calibri" w:hAnsi="Calibri"/>
          <w:b/>
          <w:bCs/>
          <w:sz w:val="22"/>
          <w:szCs w:val="22"/>
        </w:rPr>
        <w:t xml:space="preserve">Paso 1 — Equiparación de plataforma: </w:t>
      </w:r>
      <w:r>
        <w:rPr>
          <w:rFonts w:ascii="Calibri" w:cs="Calibri" w:eastAsia="Calibri" w:hAnsi="Calibri"/>
          <w:sz w:val="22"/>
          <w:szCs w:val="22"/>
        </w:rPr>
        <w:t xml:space="preserve">si la lente planificada en bolsa tiene potencia P1 y constante A1, y la lente disponible para sulcus pertenece a una plataforma con constante A2, la potencia equivalente en la nueva plataforma (aún en posición bolsa) es P2 = P1 + (A2 − A1).</w:t>
      </w:r>
    </w:p>
    <w:p>
      <w:pPr>
        <w:spacing w:after="200" w:line="300"/>
        <w:jc w:val="both"/>
      </w:pPr>
      <w:r>
        <w:rPr>
          <w:rFonts w:ascii="Calibri" w:cs="Calibri" w:eastAsia="Calibri" w:hAnsi="Calibri"/>
          <w:b/>
          <w:bCs/>
          <w:sz w:val="22"/>
          <w:szCs w:val="22"/>
        </w:rPr>
        <w:t xml:space="preserve">Paso 2 — Corrección posicional bolsa→sulcus: </w:t>
      </w:r>
      <w:r>
        <w:rPr>
          <w:rFonts w:ascii="Calibri" w:cs="Calibri" w:eastAsia="Calibri" w:hAnsi="Calibri"/>
          <w:sz w:val="22"/>
          <w:szCs w:val="22"/>
        </w:rPr>
        <w:t xml:space="preserve">a P2 se le aplica la Regla de los Nueve (o la tabla de conversión exacta, más precisa, de doctor-hill.com) según su rango de potencia, obteniendo la potencia final a buscar en el stock de quirófano para sulcus.</w:t>
      </w:r>
    </w:p>
    <w:p>
      <w:pPr>
        <w:spacing w:after="200" w:line="300"/>
        <w:jc w:val="both"/>
      </w:pPr>
      <w:r>
        <w:rPr>
          <w:rFonts w:ascii="Calibri" w:cs="Calibri" w:eastAsia="Calibri" w:hAnsi="Calibri"/>
          <w:b w:val="false"/>
          <w:bCs w:val="false"/>
          <w:i w:val="false"/>
          <w:iCs w:val="false"/>
          <w:sz w:val="22"/>
          <w:szCs w:val="22"/>
        </w:rPr>
        <w:t xml:space="preserve">Ejemplo numérico (el caso de referencia utilizado en esta charla de trabajo):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000"/>
      </w:tblGrid>
      <w:tr>
        <w:tc>
          <w:tcPr>
            <w:tcW w:type="dxa" w:w="1500"/>
            <w:shd w:fill="D9D9D9" w:color="auto" w:val="clear"/>
            <w:tcMar>
              <w:top w:type="dxa" w:w="80"/>
              <w:left w:type="dxa" w:w="100"/>
              <w:bottom w:type="dxa" w:w="80"/>
              <w:right w:type="dxa" w:w="100"/>
            </w:tcMar>
          </w:tcPr>
          <w:p>
            <w:pPr>
              <w:jc w:val="center"/>
            </w:pPr>
            <w:r>
              <w:rPr>
                <w:rFonts w:ascii="Calibri" w:cs="Calibri" w:eastAsia="Calibri" w:hAnsi="Calibri"/>
                <w:b/>
                <w:bCs/>
                <w:sz w:val="20"/>
                <w:szCs w:val="20"/>
              </w:rPr>
              <w:t xml:space="preserve">Paso</w:t>
            </w:r>
          </w:p>
        </w:tc>
        <w:tc>
          <w:tcPr>
            <w:tcW w:type="dxa" w:w="4500"/>
            <w:shd w:fill="D9D9D9" w:color="auto" w:val="clear"/>
            <w:tcMar>
              <w:top w:type="dxa" w:w="80"/>
              <w:left w:type="dxa" w:w="100"/>
              <w:bottom w:type="dxa" w:w="80"/>
              <w:right w:type="dxa" w:w="100"/>
            </w:tcMar>
          </w:tcPr>
          <w:p>
            <w:pPr>
              <w:jc w:val="center"/>
            </w:pPr>
            <w:r>
              <w:rPr>
                <w:rFonts w:ascii="Calibri" w:cs="Calibri" w:eastAsia="Calibri" w:hAnsi="Calibri"/>
                <w:b/>
                <w:bCs/>
                <w:sz w:val="20"/>
                <w:szCs w:val="20"/>
              </w:rPr>
              <w:t xml:space="preserve">Operación</w:t>
            </w:r>
          </w:p>
        </w:tc>
        <w:tc>
          <w:tcPr>
            <w:tcW w:type="dxa" w:w="3000"/>
            <w:shd w:fill="D9D9D9" w:color="auto" w:val="clear"/>
            <w:tcMar>
              <w:top w:type="dxa" w:w="80"/>
              <w:left w:type="dxa" w:w="100"/>
              <w:bottom w:type="dxa" w:w="80"/>
              <w:right w:type="dxa" w:w="100"/>
            </w:tcMar>
          </w:tcPr>
          <w:p>
            <w:pPr>
              <w:jc w:val="center"/>
            </w:pPr>
            <w:r>
              <w:rPr>
                <w:rFonts w:ascii="Calibri" w:cs="Calibri" w:eastAsia="Calibri" w:hAnsi="Calibri"/>
                <w:b/>
                <w:bCs/>
                <w:sz w:val="20"/>
                <w:szCs w:val="20"/>
              </w:rPr>
              <w:t xml:space="preserve">Resultado</w:t>
            </w:r>
          </w:p>
        </w:tc>
      </w:tr>
      <w:tr>
        <w:tc>
          <w:tcPr>
            <w:tcW w:type="dxa" w:w="15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0</w:t>
            </w:r>
          </w:p>
        </w:tc>
        <w:tc>
          <w:tcPr>
            <w:tcW w:type="dxa" w:w="45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Lente planificada en bolsa: +20.00 D, constante A = 118.0</w:t>
            </w:r>
          </w:p>
        </w:tc>
        <w:tc>
          <w:tcPr>
            <w:tcW w:type="dxa" w:w="30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P1 = +20.00 D</w:t>
            </w:r>
          </w:p>
        </w:tc>
      </w:tr>
      <w:tr>
        <w:tc>
          <w:tcPr>
            <w:tcW w:type="dxa" w:w="15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1</w:t>
            </w:r>
          </w:p>
        </w:tc>
        <w:tc>
          <w:tcPr>
            <w:tcW w:type="dxa" w:w="45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Lente three-piece disponible en pack para sulcus: constante A = 119.0. Equiparar potencia a la nueva plataforma: P2 = P1 + (A2 − A1)</w:t>
            </w:r>
          </w:p>
        </w:tc>
        <w:tc>
          <w:tcPr>
            <w:tcW w:type="dxa" w:w="30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P2 = 20.00 + (119.0−118.0) = +21.00 D</w:t>
            </w:r>
          </w:p>
        </w:tc>
      </w:tr>
      <w:tr>
        <w:tc>
          <w:tcPr>
            <w:tcW w:type="dxa" w:w="15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2</w:t>
            </w:r>
          </w:p>
        </w:tc>
        <w:tc>
          <w:tcPr>
            <w:tcW w:type="dxa" w:w="45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Aplicar la Regla de los Nueve a P2 (banda +18.50 a +27.00 D → restar 1.00 D)</w:t>
            </w:r>
          </w:p>
        </w:tc>
        <w:tc>
          <w:tcPr>
            <w:tcW w:type="dxa" w:w="30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P final sulcus = 21.00 − 1.00 = +20.00 D</w:t>
            </w:r>
          </w:p>
        </w:tc>
      </w:tr>
    </w:tbl>
    <w:p>
      <w:pPr>
        <w:spacing w:after="200" w:line="300"/>
        <w:jc w:val="both"/>
      </w:pPr>
      <w:r>
        <w:rPr>
          <w:rFonts w:ascii="Calibri" w:cs="Calibri" w:eastAsia="Calibri" w:hAnsi="Calibri"/>
          <w:b w:val="false"/>
          <w:bCs w:val="false"/>
          <w:i w:val="false"/>
          <w:iCs w:val="false"/>
          <w:sz w:val="22"/>
          <w:szCs w:val="22"/>
        </w:rPr>
        <w:t xml:space="preserve"/>
      </w:r>
    </w:p>
    <w:p>
      <w:pPr>
        <w:spacing w:after="200" w:line="300"/>
        <w:jc w:val="both"/>
      </w:pPr>
      <w:r>
        <w:rPr>
          <w:rFonts w:ascii="Calibri" w:cs="Calibri" w:eastAsia="Calibri" w:hAnsi="Calibri"/>
          <w:b w:val="false"/>
          <w:bCs w:val="false"/>
          <w:i w:val="false"/>
          <w:iCs w:val="false"/>
          <w:sz w:val="22"/>
          <w:szCs w:val="22"/>
        </w:rPr>
        <w:t xml:space="preserve">El orden de los pasos importa: la equiparación de constante debe resolverse primero, porque la Regla de los Nueve fue derivada para la relación bolsa/sulcus dentro de una misma familia de lentes, no para diferencias entre plataformas.</w:t>
      </w:r>
    </w:p>
    <w:p>
      <w:pPr>
        <w:pStyle w:val="Heading1"/>
        <w:spacing w:after="160" w:before="360"/>
      </w:pPr>
      <w:r>
        <w:t xml:space="preserve">6. Limitaciones</w:t>
      </w:r>
    </w:p>
    <w:p>
      <w:pPr>
        <w:pStyle w:val="ListParagraph"/>
        <w:numPr>
          <w:ilvl w:val="0"/>
          <w:numId w:val="2"/>
        </w:numPr>
        <w:spacing w:after="120"/>
      </w:pPr>
      <w:r>
        <w:rPr>
          <w:rFonts w:ascii="Calibri" w:cs="Calibri" w:eastAsia="Calibri" w:hAnsi="Calibri"/>
          <w:sz w:val="22"/>
          <w:szCs w:val="22"/>
        </w:rPr>
        <w:t xml:space="preserve">La Regla de los Nueve es una aproximación escalonada, no una función continua; introduce un salto en los límites de cada banda que la tabla exacta (interpolada, como la de doctor-hill.com) evita.</w:t>
      </w:r>
    </w:p>
    <w:p>
      <w:pPr>
        <w:pStyle w:val="ListParagraph"/>
        <w:numPr>
          <w:ilvl w:val="0"/>
          <w:numId w:val="2"/>
        </w:numPr>
        <w:spacing w:after="120"/>
      </w:pPr>
      <w:r>
        <w:rPr>
          <w:rFonts w:ascii="Calibri" w:cs="Calibri" w:eastAsia="Calibri" w:hAnsi="Calibri"/>
          <w:sz w:val="22"/>
          <w:szCs w:val="22"/>
        </w:rPr>
        <w:t xml:space="preserve">Los valores de Suto et al. fueron derivados en ojos de longitud axial normal; en ojos muy largos o muy cortos la corrección puede requerir un cálculo vergencial individualizado.</w:t>
      </w:r>
    </w:p>
    <w:p>
      <w:pPr>
        <w:pStyle w:val="ListParagraph"/>
        <w:numPr>
          <w:ilvl w:val="0"/>
          <w:numId w:val="2"/>
        </w:numPr>
        <w:spacing w:after="120"/>
      </w:pPr>
      <w:r>
        <w:rPr>
          <w:rFonts w:ascii="Calibri" w:cs="Calibri" w:eastAsia="Calibri" w:hAnsi="Calibri"/>
          <w:sz w:val="22"/>
          <w:szCs w:val="22"/>
        </w:rPr>
        <w:t xml:space="preserve">Los valores estándar de ELP (5.20 mm en bolsa / 4.70 mm en sulcus) corresponden a diseños de cámara posterior convencionales; otras plataformas pueden diferir y deberían verificarse contra IOLCon.org u otra base de constantes actualizada.</w:t>
      </w:r>
    </w:p>
    <w:p>
      <w:pPr>
        <w:pStyle w:val="ListParagraph"/>
        <w:numPr>
          <w:ilvl w:val="0"/>
          <w:numId w:val="2"/>
        </w:numPr>
        <w:spacing w:after="120"/>
      </w:pPr>
      <w:r>
        <w:rPr>
          <w:rFonts w:ascii="Calibri" w:cs="Calibri" w:eastAsia="Calibri" w:hAnsi="Calibri"/>
          <w:sz w:val="22"/>
          <w:szCs w:val="22"/>
        </w:rPr>
        <w:t xml:space="preserve">El algoritmo no cubre casos sin soporte capsular alguno (fijación iridiana o escleral), que requieren un abordaje de cálculo distinto.</w:t>
      </w:r>
    </w:p>
    <w:p>
      <w:pPr>
        <w:pStyle w:val="ListParagraph"/>
        <w:numPr>
          <w:ilvl w:val="0"/>
          <w:numId w:val="2"/>
        </w:numPr>
        <w:spacing w:after="200"/>
      </w:pPr>
      <w:r>
        <w:rPr>
          <w:rFonts w:ascii="Calibri" w:cs="Calibri" w:eastAsia="Calibri" w:hAnsi="Calibri"/>
          <w:sz w:val="22"/>
          <w:szCs w:val="22"/>
        </w:rPr>
        <w:t xml:space="preserve">La relación 1 punto de constante A ≈ 1.00 D es exacta para la fórmula SRK original y aproximada para fórmulas de generaciones posteriores.</w:t>
      </w:r>
    </w:p>
    <w:p>
      <w:pPr>
        <w:pStyle w:val="Heading1"/>
        <w:spacing w:after="160" w:before="360"/>
      </w:pPr>
      <w:r>
        <w:t xml:space="preserve">7. Próximos pasos</w:t>
      </w:r>
    </w:p>
    <w:p>
      <w:pPr>
        <w:spacing w:after="200" w:line="300"/>
        <w:jc w:val="both"/>
      </w:pPr>
      <w:r>
        <w:rPr>
          <w:rFonts w:ascii="Calibri" w:cs="Calibri" w:eastAsia="Calibri" w:hAnsi="Calibri"/>
          <w:b w:val="false"/>
          <w:bCs w:val="false"/>
          <w:i w:val="false"/>
          <w:iCs w:val="false"/>
          <w:sz w:val="22"/>
          <w:szCs w:val="22"/>
        </w:rPr>
        <w:t xml:space="preserve">Con este marco científico como base, las siguientes etapas del proyecto son: (a) reunir en una base propia las constantes A de las plataformas efectivamente disponibles en el stock de quirófano de Instituto Oulton, tomando como referencia IOLCon.org; (b) desarrollar una calculadora (aplicación o página web) que automatice los dos pasos del algoritmo y sea utilizable desde el celular en quirófano; y (c) preparar la presentación para congreso, con este documento como respaldo bibliográfico.</w:t>
      </w:r>
    </w:p>
    <w:p>
      <w:pPr>
        <w:pStyle w:val="Heading1"/>
        <w:spacing w:after="160" w:before="360"/>
      </w:pPr>
      <w:r>
        <w:t xml:space="preserve">Bibliografía</w:t>
      </w:r>
    </w:p>
    <w:p>
      <w:pPr>
        <w:spacing w:after="160" w:line="280"/>
        <w:ind w:left="431" w:hanging="431"/>
      </w:pPr>
      <w:r>
        <w:rPr>
          <w:rFonts w:ascii="Calibri" w:cs="Calibri" w:eastAsia="Calibri" w:hAnsi="Calibri"/>
          <w:b/>
          <w:bCs/>
          <w:sz w:val="20"/>
          <w:szCs w:val="20"/>
        </w:rPr>
        <w:t xml:space="preserve">1. </w:t>
      </w:r>
      <w:r>
        <w:rPr>
          <w:rFonts w:ascii="Calibri" w:cs="Calibri" w:eastAsia="Calibri" w:hAnsi="Calibri"/>
          <w:sz w:val="20"/>
          <w:szCs w:val="20"/>
        </w:rPr>
        <w:t xml:space="preserve">Suto C, Hori S, Fukuyama E, Akura J. Adjusting intraocular lens power for sulcus fixation. J Cataract Refract Surg. 2003;29(10):1913-7. doi:10.1016/s0886-3350(03)00250-5. PMID: 14604710.</w:t>
      </w:r>
    </w:p>
    <w:p>
      <w:pPr>
        <w:spacing w:after="160" w:line="280"/>
        <w:ind w:left="431" w:hanging="431"/>
      </w:pPr>
      <w:r>
        <w:rPr>
          <w:rFonts w:ascii="Calibri" w:cs="Calibri" w:eastAsia="Calibri" w:hAnsi="Calibri"/>
          <w:b/>
          <w:bCs/>
          <w:sz w:val="20"/>
          <w:szCs w:val="20"/>
        </w:rPr>
        <w:t xml:space="preserve">2. </w:t>
      </w:r>
      <w:r>
        <w:rPr>
          <w:rFonts w:ascii="Calibri" w:cs="Calibri" w:eastAsia="Calibri" w:hAnsi="Calibri"/>
          <w:sz w:val="20"/>
          <w:szCs w:val="20"/>
        </w:rPr>
        <w:t xml:space="preserve">Suto C. Sliding scale of IOL power for sulcus fixation using computer simulation. J Cataract Refract Surg. 2004;30(11):2452-4.</w:t>
      </w:r>
    </w:p>
    <w:p>
      <w:pPr>
        <w:spacing w:after="160" w:line="280"/>
        <w:ind w:left="431" w:hanging="431"/>
      </w:pPr>
      <w:r>
        <w:rPr>
          <w:rFonts w:ascii="Calibri" w:cs="Calibri" w:eastAsia="Calibri" w:hAnsi="Calibri"/>
          <w:b/>
          <w:bCs/>
          <w:sz w:val="20"/>
          <w:szCs w:val="20"/>
        </w:rPr>
        <w:t xml:space="preserve">3. </w:t>
      </w:r>
      <w:r>
        <w:rPr>
          <w:rFonts w:ascii="Calibri" w:cs="Calibri" w:eastAsia="Calibri" w:hAnsi="Calibri"/>
          <w:sz w:val="20"/>
          <w:szCs w:val="20"/>
        </w:rPr>
        <w:t xml:space="preserve">Cartwright NE, Aristodemou P, Sparrow JM, Johnston RL. Adjustment of intraocular lens power for sulcus implantation. J Cataract Refract Surg. 2011;37(4):798-9.</w:t>
      </w:r>
    </w:p>
    <w:p>
      <w:pPr>
        <w:spacing w:after="160" w:line="280"/>
        <w:ind w:left="431" w:hanging="431"/>
      </w:pPr>
      <w:r>
        <w:rPr>
          <w:rFonts w:ascii="Calibri" w:cs="Calibri" w:eastAsia="Calibri" w:hAnsi="Calibri"/>
          <w:b/>
          <w:bCs/>
          <w:sz w:val="20"/>
          <w:szCs w:val="20"/>
        </w:rPr>
        <w:t xml:space="preserve">4. </w:t>
      </w:r>
      <w:r>
        <w:rPr>
          <w:rFonts w:ascii="Calibri" w:cs="Calibri" w:eastAsia="Calibri" w:hAnsi="Calibri"/>
          <w:sz w:val="20"/>
          <w:szCs w:val="20"/>
        </w:rPr>
        <w:t xml:space="preserve">Spokes DM, Norris JH, Ball JL. Refinement of lens power selection for sulcus placement of intraocular lens. J Cataract Refract Surg. 2010;36(8):1436-7.</w:t>
      </w:r>
    </w:p>
    <w:p>
      <w:pPr>
        <w:spacing w:after="160" w:line="280"/>
        <w:ind w:left="431" w:hanging="431"/>
      </w:pPr>
      <w:r>
        <w:rPr>
          <w:rFonts w:ascii="Calibri" w:cs="Calibri" w:eastAsia="Calibri" w:hAnsi="Calibri"/>
          <w:b/>
          <w:bCs/>
          <w:sz w:val="20"/>
          <w:szCs w:val="20"/>
        </w:rPr>
        <w:t xml:space="preserve">5. </w:t>
      </w:r>
      <w:r>
        <w:rPr>
          <w:rFonts w:ascii="Calibri" w:cs="Calibri" w:eastAsia="Calibri" w:hAnsi="Calibri"/>
          <w:sz w:val="20"/>
          <w:szCs w:val="20"/>
        </w:rPr>
        <w:t xml:space="preserve">Holladay JT. Standardizing constants for ultrasonic biometry, keratometry, and intraocular lens power calculations. J Cataract Refract Surg. 1997;23(9):1356-70. doi:10.1016/S0886-3350(97)80115-0.</w:t>
      </w:r>
    </w:p>
    <w:p>
      <w:pPr>
        <w:spacing w:after="160" w:line="280"/>
        <w:ind w:left="431" w:hanging="431"/>
      </w:pPr>
      <w:r>
        <w:rPr>
          <w:rFonts w:ascii="Calibri" w:cs="Calibri" w:eastAsia="Calibri" w:hAnsi="Calibri"/>
          <w:b/>
          <w:bCs/>
          <w:sz w:val="20"/>
          <w:szCs w:val="20"/>
        </w:rPr>
        <w:t xml:space="preserve">6. </w:t>
      </w:r>
      <w:r>
        <w:rPr>
          <w:rFonts w:ascii="Calibri" w:cs="Calibri" w:eastAsia="Calibri" w:hAnsi="Calibri"/>
          <w:sz w:val="20"/>
          <w:szCs w:val="20"/>
        </w:rPr>
        <w:t xml:space="preserve">Retzlaff JA, Sanders DR, Kraff MC. Development of the SRK/T intraocular lens implant power calculation formula. J Cataract Refract Surg. 1990;16(3):333-40.</w:t>
      </w:r>
    </w:p>
    <w:p>
      <w:pPr>
        <w:spacing w:after="160" w:line="280"/>
        <w:ind w:left="431" w:hanging="431"/>
      </w:pPr>
      <w:r>
        <w:rPr>
          <w:rFonts w:ascii="Calibri" w:cs="Calibri" w:eastAsia="Calibri" w:hAnsi="Calibri"/>
          <w:b/>
          <w:bCs/>
          <w:sz w:val="20"/>
          <w:szCs w:val="20"/>
        </w:rPr>
        <w:t xml:space="preserve">7. </w:t>
      </w:r>
      <w:r>
        <w:rPr>
          <w:rFonts w:ascii="Calibri" w:cs="Calibri" w:eastAsia="Calibri" w:hAnsi="Calibri"/>
          <w:sz w:val="20"/>
          <w:szCs w:val="20"/>
        </w:rPr>
        <w:t xml:space="preserve">Devgan U. The Rule of Nines for Sulcus IOL Power [Internet]. Cataract Coach. 2018 [citado 30 ago 2026]. Disponible en: https://cataractcoach.com/2018/06/25/how-to-determine-sulcus-iol-power-and-ac-iol-power/</w:t>
      </w:r>
    </w:p>
    <w:p>
      <w:pPr>
        <w:spacing w:after="160" w:line="280"/>
        <w:ind w:left="431" w:hanging="431"/>
      </w:pPr>
      <w:r>
        <w:rPr>
          <w:rFonts w:ascii="Calibri" w:cs="Calibri" w:eastAsia="Calibri" w:hAnsi="Calibri"/>
          <w:b/>
          <w:bCs/>
          <w:sz w:val="20"/>
          <w:szCs w:val="20"/>
        </w:rPr>
        <w:t xml:space="preserve">8. </w:t>
      </w:r>
      <w:r>
        <w:rPr>
          <w:rFonts w:ascii="Calibri" w:cs="Calibri" w:eastAsia="Calibri" w:hAnsi="Calibri"/>
          <w:sz w:val="20"/>
          <w:szCs w:val="20"/>
        </w:rPr>
        <w:t xml:space="preserve">East Valley Ophthalmology / Doctor-Hill.com. Calculating Bag vs. Sulcus IOL Power [Internet]. [citado 30 ago 2026]. Disponible en: https://doctor-hill.com/iol-power-calculations/bag-vs-sulcus/</w:t>
      </w:r>
    </w:p>
    <w:p>
      <w:pPr>
        <w:spacing w:after="160" w:line="280"/>
        <w:ind w:left="431" w:hanging="431"/>
      </w:pPr>
      <w:r>
        <w:rPr>
          <w:rFonts w:ascii="Calibri" w:cs="Calibri" w:eastAsia="Calibri" w:hAnsi="Calibri"/>
          <w:b/>
          <w:bCs/>
          <w:sz w:val="20"/>
          <w:szCs w:val="20"/>
        </w:rPr>
        <w:t xml:space="preserve">9. </w:t>
      </w:r>
      <w:r>
        <w:rPr>
          <w:rFonts w:ascii="Calibri" w:cs="Calibri" w:eastAsia="Calibri" w:hAnsi="Calibri"/>
          <w:sz w:val="20"/>
          <w:szCs w:val="20"/>
        </w:rPr>
        <w:t xml:space="preserve">Langenbucher A, et al. IOLCon — the roadmap for reliable IOL calculation. New features of international database for updated and optimized IOL constants [Internet]. Disponible en: https://iolcon.org</w:t>
      </w:r>
    </w:p>
    <w:p>
      <w:pPr>
        <w:spacing w:after="160" w:line="280"/>
        <w:ind w:left="431" w:hanging="431"/>
      </w:pPr>
      <w:r>
        <w:rPr>
          <w:rFonts w:ascii="Calibri" w:cs="Calibri" w:eastAsia="Calibri" w:hAnsi="Calibri"/>
          <w:b/>
          <w:bCs/>
          <w:sz w:val="20"/>
          <w:szCs w:val="20"/>
        </w:rPr>
        <w:t xml:space="preserve">10. </w:t>
      </w:r>
      <w:r>
        <w:rPr>
          <w:rFonts w:ascii="Calibri" w:cs="Calibri" w:eastAsia="Calibri" w:hAnsi="Calibri"/>
          <w:sz w:val="20"/>
          <w:szCs w:val="20"/>
        </w:rPr>
        <w:t xml:space="preserve">Intraocular Lens Power Calculation. En: StatPearls [Internet]. Treasure Island (FL): StatPearls Publishing; 2022 [citado 30 ago 2026]. Disponible en: https://www.ncbi.nlm.nih.gov/books/NBK589643/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2026-08-30T15:24:22.105Z</dcterms:created>
  <dcterms:modified xsi:type="dcterms:W3CDTF">2026-08-30T15:24:22.147Z</dcterms:modified>
</cp:coreProperties>
</file>

<file path=docProps/custom.xml><?xml version="1.0" encoding="utf-8"?>
<Properties xmlns="http://schemas.openxmlformats.org/officeDocument/2006/custom-properties" xmlns:vt="http://schemas.openxmlformats.org/officeDocument/2006/docPropsVTypes"/>
</file>