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perior-court-of-california"/>
    <w:p>
      <w:pPr>
        <w:pStyle w:val="Heading1"/>
      </w:pPr>
      <w:r>
        <w:t xml:space="preserve">SUPERIOR COURT OF CALIFORNIA</w:t>
      </w:r>
    </w:p>
    <w:bookmarkStart w:id="20" w:name="county-of-los-angeles"/>
    <w:p>
      <w:pPr>
        <w:pStyle w:val="Heading2"/>
      </w:pPr>
      <w:r>
        <w:t xml:space="preserve">COUNTY OF LOS ANGELES</w:t>
      </w:r>
    </w:p>
    <w:p>
      <w:r>
        <w:pict>
          <v:rect style="width:0;height:1.5pt" o:hralign="center" o:hrstd="t" o:hr="t"/>
        </w:pict>
      </w:r>
    </w:p>
    <w:p>
      <w:pPr>
        <w:pStyle w:val="FirstParagraph"/>
      </w:pPr>
      <w:r>
        <w:rPr>
          <w:b/>
          <w:bCs/>
        </w:rPr>
        <w:t xml:space="preserve">THE PEOPLE OF THE STATE OF CALIFORNIA,</w:t>
      </w:r>
    </w:p>
    <w:p>
      <w:pPr>
        <w:pStyle w:val="BodyText"/>
      </w:pPr>
      <w:r>
        <w:t xml:space="preserve">Plaintiff,</w:t>
      </w:r>
    </w:p>
    <w:p>
      <w:pPr>
        <w:pStyle w:val="FirstParagraph"/>
      </w:pPr>
      <w:r>
        <w:rPr>
          <w:b/>
          <w:bCs/>
        </w:rPr>
        <w:t xml:space="preserve">ORENTHAL JAMES SIMPSON,</w:t>
      </w:r>
    </w:p>
    <w:p>
      <w:pPr>
        <w:pStyle w:val="BodyText"/>
      </w:pPr>
      <w:r>
        <w:t xml:space="preserve">Defendant.</w:t>
      </w:r>
    </w:p>
    <w:p>
      <w:pPr>
        <w:pStyle w:val="BodyText"/>
      </w:pPr>
      <w:r>
        <w:t xml:space="preserve">Case No. BA097211</w:t>
      </w:r>
    </w:p>
    <w:p>
      <w:r>
        <w:pict>
          <v:rect style="width:0;height:1.5pt" o:hralign="center" o:hrstd="t" o:hr="t"/>
        </w:pict>
      </w:r>
    </w:p>
    <w:bookmarkEnd w:id="20"/>
    <w:bookmarkEnd w:id="21"/>
    <w:bookmarkStart w:id="22" w:name="Xd5797ab14a10add5c5b3a0f4e97337494415aa8"/>
    <w:p>
      <w:pPr>
        <w:pStyle w:val="Heading1"/>
      </w:pPr>
      <w:r>
        <w:t xml:space="preserve">NOTICE OF MOTION AND MOTION TO SUPPRESS OR LIMIT PHYSICAL EVIDENCE</w:t>
      </w:r>
    </w:p>
    <w:p>
      <w:pPr>
        <w:pStyle w:val="FirstParagraph"/>
      </w:pPr>
      <w:r>
        <w:t xml:space="preserve">TO THE HONORABLE COURT, THE DISTRICT ATTORNEY OF LOS ANGELES COUNTY, AND ALL COUNSEL OF RECORD:</w:t>
      </w:r>
    </w:p>
    <w:p>
      <w:pPr>
        <w:pStyle w:val="BodyText"/>
      </w:pPr>
      <w:r>
        <w:t xml:space="preserve">PLEASE TAKE NOTICE that Defendant Orenthal James Simpson, through counsel, hereby moves this Court for an order suppressing, excluding, limiting, or alternatively requiring an evidentiary hearing regarding certain physical evidence and derivative forensic testimony offered by the prosecution.</w:t>
      </w:r>
    </w:p>
    <w:p>
      <w:pPr>
        <w:pStyle w:val="BodyText"/>
      </w:pPr>
      <w:r>
        <w:t xml:space="preserve">This motion is made on the grounds that substantial questions exist concerning:</w:t>
      </w:r>
    </w:p>
    <w:p>
      <w:pPr>
        <w:pStyle w:val="Compact"/>
        <w:numPr>
          <w:ilvl w:val="0"/>
          <w:numId w:val="1002"/>
        </w:numPr>
      </w:pPr>
      <w:r>
        <w:t xml:space="preserve">Evidence collection procedures;</w:t>
      </w:r>
    </w:p>
    <w:p>
      <w:pPr>
        <w:pStyle w:val="Compact"/>
        <w:numPr>
          <w:ilvl w:val="0"/>
          <w:numId w:val="1002"/>
        </w:numPr>
      </w:pPr>
      <w:r>
        <w:t xml:space="preserve">Chain-of-custody integrity;</w:t>
      </w:r>
    </w:p>
    <w:p>
      <w:pPr>
        <w:pStyle w:val="Compact"/>
        <w:numPr>
          <w:ilvl w:val="0"/>
          <w:numId w:val="1002"/>
        </w:numPr>
      </w:pPr>
      <w:r>
        <w:t xml:space="preserve">Documentation reliability;</w:t>
      </w:r>
    </w:p>
    <w:p>
      <w:pPr>
        <w:pStyle w:val="Compact"/>
        <w:numPr>
          <w:ilvl w:val="0"/>
          <w:numId w:val="1002"/>
        </w:numPr>
      </w:pPr>
      <w:r>
        <w:t xml:space="preserve">Scene security and contamination risks;</w:t>
      </w:r>
    </w:p>
    <w:p>
      <w:pPr>
        <w:pStyle w:val="Compact"/>
        <w:numPr>
          <w:ilvl w:val="0"/>
          <w:numId w:val="1002"/>
        </w:numPr>
      </w:pPr>
      <w:r>
        <w:t xml:space="preserve">Evidence handling chronology;</w:t>
      </w:r>
    </w:p>
    <w:p>
      <w:pPr>
        <w:pStyle w:val="Compact"/>
        <w:numPr>
          <w:ilvl w:val="0"/>
          <w:numId w:val="1002"/>
        </w:numPr>
      </w:pPr>
      <w:r>
        <w:t xml:space="preserve">Discovery of physical evidence;</w:t>
      </w:r>
    </w:p>
    <w:p>
      <w:pPr>
        <w:pStyle w:val="Compact"/>
        <w:numPr>
          <w:ilvl w:val="0"/>
          <w:numId w:val="1002"/>
        </w:numPr>
      </w:pPr>
      <w:r>
        <w:t xml:space="preserve">Reliability of foundational testimony necessary for admissibility.</w:t>
      </w:r>
    </w:p>
    <w:p>
      <w:pPr>
        <w:pStyle w:val="FirstParagraph"/>
      </w:pPr>
      <w:r>
        <w:t xml:space="preserve">This motion is based upon the records presently produced in discovery, accompanying memoranda, expert review materials, witness statements, police reports, laboratory records, chain-of-custody documentation, and any further evidence presented at hearing.</w:t>
      </w:r>
    </w:p>
    <w:p>
      <w:r>
        <w:pict>
          <v:rect style="width:0;height:1.5pt" o:hralign="center" o:hrstd="t" o:hr="t"/>
        </w:pict>
      </w:r>
    </w:p>
    <w:bookmarkEnd w:id="22"/>
    <w:bookmarkStart w:id="24" w:name="memorandum-of-points-and-authorities"/>
    <w:p>
      <w:pPr>
        <w:pStyle w:val="Heading1"/>
      </w:pPr>
      <w:r>
        <w:t xml:space="preserve">MEMORANDUM OF POINTS AND AUTHORITIES</w:t>
      </w:r>
    </w:p>
    <w:bookmarkStart w:id="23" w:name="i.-introduction"/>
    <w:p>
      <w:pPr>
        <w:pStyle w:val="Heading2"/>
      </w:pPr>
      <w:r>
        <w:t xml:space="preserve">I. INTRODUCTION</w:t>
      </w:r>
    </w:p>
    <w:p>
      <w:pPr>
        <w:pStyle w:val="FirstParagraph"/>
      </w:pPr>
      <w:r>
        <w:t xml:space="preserve">The prosecution’s case relies heavily upon physical evidence purportedly connecting the defendant to the deaths of Nicole Brown Simpson and Ronald Goldman.</w:t>
      </w:r>
    </w:p>
    <w:p>
      <w:pPr>
        <w:pStyle w:val="BodyText"/>
      </w:pPr>
      <w:r>
        <w:t xml:space="preserve">Before such evidence may be presented to a jury, the prosecution bears the burden of establishing an adequate evidentiary foundation demonstrating that the items offered are what the prosecution claims them to be and that the evidence has not been materially compromised by improper handling, contamination, substitution, or unreliable collection procedures.</w:t>
      </w:r>
    </w:p>
    <w:p>
      <w:pPr>
        <w:pStyle w:val="BodyText"/>
      </w:pPr>
      <w:r>
        <w:t xml:space="preserve">The defense does not presently ask this Court to determine ultimate factual disputes regarding guilt or innocence.</w:t>
      </w:r>
    </w:p>
    <w:p>
      <w:pPr>
        <w:pStyle w:val="BodyText"/>
      </w:pPr>
      <w:r>
        <w:t xml:space="preserve">Instead, the defense seeks judicial examination of whether certain evidence possesses sufficient reliability to justify admission.</w:t>
      </w:r>
    </w:p>
    <w:p>
      <w:pPr>
        <w:pStyle w:val="BodyText"/>
      </w:pPr>
      <w:r>
        <w:t xml:space="preserve">Where substantial questions remain unresolved, suppression, limitation, or evidentiary sanctions may be appropriate.</w:t>
      </w:r>
    </w:p>
    <w:p>
      <w:r>
        <w:pict>
          <v:rect style="width:0;height:1.5pt" o:hralign="center" o:hrstd="t" o:hr="t"/>
        </w:pict>
      </w:r>
    </w:p>
    <w:bookmarkEnd w:id="23"/>
    <w:bookmarkEnd w:id="24"/>
    <w:bookmarkStart w:id="28" w:name="ii.-evidence-at-issue"/>
    <w:p>
      <w:pPr>
        <w:pStyle w:val="Heading1"/>
      </w:pPr>
      <w:r>
        <w:t xml:space="preserve">II. EVIDENCE AT ISSUE</w:t>
      </w:r>
    </w:p>
    <w:p>
      <w:pPr>
        <w:pStyle w:val="FirstParagraph"/>
      </w:pPr>
      <w:r>
        <w:t xml:space="preserve">The defense specifically seeks review of the following categories of evidence:</w:t>
      </w:r>
    </w:p>
    <w:bookmarkStart w:id="25" w:name="a.-biological-evidence"/>
    <w:p>
      <w:pPr>
        <w:pStyle w:val="Heading3"/>
      </w:pPr>
      <w:r>
        <w:t xml:space="preserve">A. Biological Evidence</w:t>
      </w:r>
    </w:p>
    <w:p>
      <w:pPr>
        <w:pStyle w:val="FirstParagraph"/>
      </w:pPr>
      <w:r>
        <w:t xml:space="preserve">Including but not limited to:</w:t>
      </w:r>
    </w:p>
    <w:p>
      <w:pPr>
        <w:pStyle w:val="Compact"/>
        <w:numPr>
          <w:ilvl w:val="0"/>
          <w:numId w:val="1003"/>
        </w:numPr>
      </w:pPr>
      <w:r>
        <w:t xml:space="preserve">Blood samples recovered from Bundy Drive</w:t>
      </w:r>
    </w:p>
    <w:p>
      <w:pPr>
        <w:pStyle w:val="Compact"/>
        <w:numPr>
          <w:ilvl w:val="0"/>
          <w:numId w:val="1003"/>
        </w:numPr>
      </w:pPr>
      <w:r>
        <w:t xml:space="preserve">Blood samples recovered from Rockingham</w:t>
      </w:r>
    </w:p>
    <w:p>
      <w:pPr>
        <w:pStyle w:val="Compact"/>
        <w:numPr>
          <w:ilvl w:val="0"/>
          <w:numId w:val="1003"/>
        </w:numPr>
      </w:pPr>
      <w:r>
        <w:t xml:space="preserve">Blood samples recovered from the Ford Bronco</w:t>
      </w:r>
    </w:p>
    <w:p>
      <w:pPr>
        <w:pStyle w:val="Compact"/>
        <w:numPr>
          <w:ilvl w:val="0"/>
          <w:numId w:val="1003"/>
        </w:numPr>
      </w:pPr>
      <w:r>
        <w:t xml:space="preserve">Reference blood samples</w:t>
      </w:r>
    </w:p>
    <w:p>
      <w:pPr>
        <w:pStyle w:val="Compact"/>
        <w:numPr>
          <w:ilvl w:val="0"/>
          <w:numId w:val="1003"/>
        </w:numPr>
      </w:pPr>
      <w:r>
        <w:t xml:space="preserve">Biological swabs</w:t>
      </w:r>
    </w:p>
    <w:p>
      <w:pPr>
        <w:pStyle w:val="Compact"/>
        <w:numPr>
          <w:ilvl w:val="0"/>
          <w:numId w:val="1003"/>
        </w:numPr>
      </w:pPr>
      <w:r>
        <w:t xml:space="preserve">Serological evidence</w:t>
      </w:r>
    </w:p>
    <w:p>
      <w:r>
        <w:pict>
          <v:rect style="width:0;height:1.5pt" o:hralign="center" o:hrstd="t" o:hr="t"/>
        </w:pict>
      </w:r>
    </w:p>
    <w:bookmarkEnd w:id="25"/>
    <w:bookmarkStart w:id="26" w:name="b.-glove-evidence"/>
    <w:p>
      <w:pPr>
        <w:pStyle w:val="Heading3"/>
      </w:pPr>
      <w:r>
        <w:t xml:space="preserve">B. Glove Evidence</w:t>
      </w:r>
    </w:p>
    <w:p>
      <w:pPr>
        <w:pStyle w:val="FirstParagraph"/>
      </w:pPr>
      <w:r>
        <w:t xml:space="preserve">Including:</w:t>
      </w:r>
    </w:p>
    <w:p>
      <w:pPr>
        <w:pStyle w:val="Compact"/>
        <w:numPr>
          <w:ilvl w:val="0"/>
          <w:numId w:val="1004"/>
        </w:numPr>
      </w:pPr>
      <w:r>
        <w:t xml:space="preserve">Glove recovered at Bundy Drive</w:t>
      </w:r>
    </w:p>
    <w:p>
      <w:pPr>
        <w:pStyle w:val="Compact"/>
        <w:numPr>
          <w:ilvl w:val="0"/>
          <w:numId w:val="1004"/>
        </w:numPr>
      </w:pPr>
      <w:r>
        <w:t xml:space="preserve">Glove recovered at Rockingham</w:t>
      </w:r>
    </w:p>
    <w:p>
      <w:pPr>
        <w:pStyle w:val="Compact"/>
        <w:numPr>
          <w:ilvl w:val="0"/>
          <w:numId w:val="1004"/>
        </w:numPr>
      </w:pPr>
      <w:r>
        <w:t xml:space="preserve">Biological testing performed on glove evidence</w:t>
      </w:r>
    </w:p>
    <w:p>
      <w:pPr>
        <w:pStyle w:val="Compact"/>
        <w:numPr>
          <w:ilvl w:val="0"/>
          <w:numId w:val="1004"/>
        </w:numPr>
      </w:pPr>
      <w:r>
        <w:t xml:space="preserve">Trace evidence recovered from glove items</w:t>
      </w:r>
    </w:p>
    <w:p>
      <w:r>
        <w:pict>
          <v:rect style="width:0;height:1.5pt" o:hralign="center" o:hrstd="t" o:hr="t"/>
        </w:pict>
      </w:r>
    </w:p>
    <w:bookmarkEnd w:id="26"/>
    <w:bookmarkStart w:id="27" w:name="c.-derivative-forensic-conclusions"/>
    <w:p>
      <w:pPr>
        <w:pStyle w:val="Heading3"/>
      </w:pPr>
      <w:r>
        <w:t xml:space="preserve">C. Derivative Forensic Conclusions</w:t>
      </w:r>
    </w:p>
    <w:p>
      <w:pPr>
        <w:pStyle w:val="FirstParagraph"/>
      </w:pPr>
      <w:r>
        <w:t xml:space="preserve">Including:</w:t>
      </w:r>
    </w:p>
    <w:p>
      <w:pPr>
        <w:pStyle w:val="Compact"/>
        <w:numPr>
          <w:ilvl w:val="0"/>
          <w:numId w:val="1005"/>
        </w:numPr>
      </w:pPr>
      <w:r>
        <w:t xml:space="preserve">DNA comparison testimony</w:t>
      </w:r>
    </w:p>
    <w:p>
      <w:pPr>
        <w:pStyle w:val="Compact"/>
        <w:numPr>
          <w:ilvl w:val="0"/>
          <w:numId w:val="1005"/>
        </w:numPr>
      </w:pPr>
      <w:r>
        <w:t xml:space="preserve">Blood pattern interpretations</w:t>
      </w:r>
    </w:p>
    <w:p>
      <w:pPr>
        <w:pStyle w:val="Compact"/>
        <w:numPr>
          <w:ilvl w:val="0"/>
          <w:numId w:val="1005"/>
        </w:numPr>
      </w:pPr>
      <w:r>
        <w:t xml:space="preserve">Mixed sample interpretations</w:t>
      </w:r>
    </w:p>
    <w:p>
      <w:pPr>
        <w:pStyle w:val="Compact"/>
        <w:numPr>
          <w:ilvl w:val="0"/>
          <w:numId w:val="1005"/>
        </w:numPr>
      </w:pPr>
      <w:r>
        <w:t xml:space="preserve">Statistical conclusions based upon disputed evidence</w:t>
      </w:r>
    </w:p>
    <w:p>
      <w:r>
        <w:pict>
          <v:rect style="width:0;height:1.5pt" o:hralign="center" o:hrstd="t" o:hr="t"/>
        </w:pict>
      </w:r>
    </w:p>
    <w:bookmarkEnd w:id="27"/>
    <w:bookmarkEnd w:id="28"/>
    <w:bookmarkStart w:id="29" w:name="iii.-factual-background"/>
    <w:p>
      <w:pPr>
        <w:pStyle w:val="Heading1"/>
      </w:pPr>
      <w:r>
        <w:t xml:space="preserve">III. FACTUAL BACKGROUND</w:t>
      </w:r>
    </w:p>
    <w:p>
      <w:pPr>
        <w:pStyle w:val="FirstParagraph"/>
      </w:pPr>
      <w:r>
        <w:t xml:space="preserve">Discovery materials produced to date reveal a complex chain of evidence collection involving:</w:t>
      </w:r>
    </w:p>
    <w:p>
      <w:pPr>
        <w:pStyle w:val="Compact"/>
        <w:numPr>
          <w:ilvl w:val="0"/>
          <w:numId w:val="1006"/>
        </w:numPr>
      </w:pPr>
      <w:r>
        <w:t xml:space="preserve">Multiple locations</w:t>
      </w:r>
    </w:p>
    <w:p>
      <w:pPr>
        <w:pStyle w:val="Compact"/>
        <w:numPr>
          <w:ilvl w:val="0"/>
          <w:numId w:val="1006"/>
        </w:numPr>
      </w:pPr>
      <w:r>
        <w:t xml:space="preserve">Numerous investigators</w:t>
      </w:r>
    </w:p>
    <w:p>
      <w:pPr>
        <w:pStyle w:val="Compact"/>
        <w:numPr>
          <w:ilvl w:val="0"/>
          <w:numId w:val="1006"/>
        </w:numPr>
      </w:pPr>
      <w:r>
        <w:t xml:space="preserve">Numerous evidence transfers</w:t>
      </w:r>
    </w:p>
    <w:p>
      <w:pPr>
        <w:pStyle w:val="Compact"/>
        <w:numPr>
          <w:ilvl w:val="0"/>
          <w:numId w:val="1006"/>
        </w:numPr>
      </w:pPr>
      <w:r>
        <w:t xml:space="preserve">Multiple forensic laboratories</w:t>
      </w:r>
    </w:p>
    <w:p>
      <w:pPr>
        <w:pStyle w:val="Compact"/>
        <w:numPr>
          <w:ilvl w:val="0"/>
          <w:numId w:val="1006"/>
        </w:numPr>
      </w:pPr>
      <w:r>
        <w:t xml:space="preserve">Extended handling periods</w:t>
      </w:r>
    </w:p>
    <w:p>
      <w:pPr>
        <w:pStyle w:val="FirstParagraph"/>
      </w:pPr>
      <w:r>
        <w:t xml:space="preserve">The defense has identified numerous areas requiring judicial review before the reliability of such evidence can be assumed.</w:t>
      </w:r>
    </w:p>
    <w:p>
      <w:r>
        <w:pict>
          <v:rect style="width:0;height:1.5pt" o:hralign="center" o:hrstd="t" o:hr="t"/>
        </w:pict>
      </w:r>
    </w:p>
    <w:bookmarkEnd w:id="29"/>
    <w:bookmarkStart w:id="30" w:name="iv.-scene-security-concerns"/>
    <w:p>
      <w:pPr>
        <w:pStyle w:val="Heading1"/>
      </w:pPr>
      <w:r>
        <w:t xml:space="preserve">IV. SCENE SECURITY CONCERNS</w:t>
      </w:r>
    </w:p>
    <w:p>
      <w:pPr>
        <w:pStyle w:val="FirstParagraph"/>
      </w:pPr>
      <w:r>
        <w:t xml:space="preserve">Discovery materials indicate that multiple individuals entered the relevant scenes during the early stages of investigation.</w:t>
      </w:r>
    </w:p>
    <w:p>
      <w:pPr>
        <w:pStyle w:val="BodyText"/>
      </w:pPr>
      <w:r>
        <w:t xml:space="preserve">Questions remain regarding:</w:t>
      </w:r>
    </w:p>
    <w:p>
      <w:pPr>
        <w:pStyle w:val="Compact"/>
        <w:numPr>
          <w:ilvl w:val="0"/>
          <w:numId w:val="1007"/>
        </w:numPr>
      </w:pPr>
      <w:r>
        <w:t xml:space="preserve">Exact timing of perimeter establishment</w:t>
      </w:r>
    </w:p>
    <w:p>
      <w:pPr>
        <w:pStyle w:val="Compact"/>
        <w:numPr>
          <w:ilvl w:val="0"/>
          <w:numId w:val="1007"/>
        </w:numPr>
      </w:pPr>
      <w:r>
        <w:t xml:space="preserve">Number of personnel entering scenes</w:t>
      </w:r>
    </w:p>
    <w:p>
      <w:pPr>
        <w:pStyle w:val="Compact"/>
        <w:numPr>
          <w:ilvl w:val="0"/>
          <w:numId w:val="1007"/>
        </w:numPr>
      </w:pPr>
      <w:r>
        <w:t xml:space="preserve">Documentation of access</w:t>
      </w:r>
    </w:p>
    <w:p>
      <w:pPr>
        <w:pStyle w:val="Compact"/>
        <w:numPr>
          <w:ilvl w:val="0"/>
          <w:numId w:val="1007"/>
        </w:numPr>
      </w:pPr>
      <w:r>
        <w:t xml:space="preserve">Protective equipment usage</w:t>
      </w:r>
    </w:p>
    <w:p>
      <w:pPr>
        <w:pStyle w:val="Compact"/>
        <w:numPr>
          <w:ilvl w:val="0"/>
          <w:numId w:val="1007"/>
        </w:numPr>
      </w:pPr>
      <w:r>
        <w:t xml:space="preserve">Preservation of biological evidence</w:t>
      </w:r>
    </w:p>
    <w:p>
      <w:pPr>
        <w:pStyle w:val="FirstParagraph"/>
      </w:pPr>
      <w:r>
        <w:t xml:space="preserve">The defense does not presently assert misconduct.</w:t>
      </w:r>
    </w:p>
    <w:p>
      <w:pPr>
        <w:pStyle w:val="BodyText"/>
      </w:pPr>
      <w:r>
        <w:t xml:space="preserve">However, the reliability of physical evidence cannot be evaluated without understanding the conditions under which that evidence was recovered.</w:t>
      </w:r>
    </w:p>
    <w:p>
      <w:r>
        <w:pict>
          <v:rect style="width:0;height:1.5pt" o:hralign="center" o:hrstd="t" o:hr="t"/>
        </w:pict>
      </w:r>
    </w:p>
    <w:bookmarkEnd w:id="30"/>
    <w:bookmarkStart w:id="31" w:name="v.-chain-of-custody-issues"/>
    <w:p>
      <w:pPr>
        <w:pStyle w:val="Heading1"/>
      </w:pPr>
      <w:r>
        <w:t xml:space="preserve">V. CHAIN-OF-CUSTODY ISSUES</w:t>
      </w:r>
    </w:p>
    <w:p>
      <w:pPr>
        <w:pStyle w:val="FirstParagraph"/>
      </w:pPr>
      <w:r>
        <w:t xml:space="preserve">The prosecution intends to introduce evidence allegedly collected at multiple locations and transferred through numerous custodians.</w:t>
      </w:r>
    </w:p>
    <w:p>
      <w:pPr>
        <w:pStyle w:val="BodyText"/>
      </w:pPr>
      <w:r>
        <w:t xml:space="preserve">The defense has identified records reflecting:</w:t>
      </w:r>
    </w:p>
    <w:p>
      <w:pPr>
        <w:pStyle w:val="Compact"/>
        <w:numPr>
          <w:ilvl w:val="0"/>
          <w:numId w:val="1008"/>
        </w:numPr>
      </w:pPr>
      <w:r>
        <w:t xml:space="preserve">Handwritten corrections</w:t>
      </w:r>
    </w:p>
    <w:p>
      <w:pPr>
        <w:pStyle w:val="Compact"/>
        <w:numPr>
          <w:ilvl w:val="0"/>
          <w:numId w:val="1008"/>
        </w:numPr>
      </w:pPr>
      <w:r>
        <w:t xml:space="preserve">Administrative discrepancies</w:t>
      </w:r>
    </w:p>
    <w:p>
      <w:pPr>
        <w:pStyle w:val="Compact"/>
        <w:numPr>
          <w:ilvl w:val="0"/>
          <w:numId w:val="1008"/>
        </w:numPr>
      </w:pPr>
      <w:r>
        <w:t xml:space="preserve">Missing explanatory documentation</w:t>
      </w:r>
    </w:p>
    <w:p>
      <w:pPr>
        <w:pStyle w:val="Compact"/>
        <w:numPr>
          <w:ilvl w:val="0"/>
          <w:numId w:val="1008"/>
        </w:numPr>
      </w:pPr>
      <w:r>
        <w:t xml:space="preserve">Inconsistent timing references</w:t>
      </w:r>
    </w:p>
    <w:p>
      <w:pPr>
        <w:pStyle w:val="Compact"/>
        <w:numPr>
          <w:ilvl w:val="0"/>
          <w:numId w:val="1008"/>
        </w:numPr>
      </w:pPr>
      <w:r>
        <w:t xml:space="preserve">Unresolved transfer questions</w:t>
      </w:r>
    </w:p>
    <w:p>
      <w:pPr>
        <w:pStyle w:val="FirstParagraph"/>
      </w:pPr>
      <w:r>
        <w:t xml:space="preserve">Several evidence logs contain modifications that appear after initial creation.</w:t>
      </w:r>
    </w:p>
    <w:p>
      <w:pPr>
        <w:pStyle w:val="BodyText"/>
      </w:pPr>
      <w:r>
        <w:t xml:space="preserve">Certain modifications lack accompanying explanatory memoranda.</w:t>
      </w:r>
    </w:p>
    <w:p>
      <w:pPr>
        <w:pStyle w:val="BodyText"/>
      </w:pPr>
      <w:r>
        <w:t xml:space="preserve">The defense submits that the Court should require the prosecution to establish a complete and reliable chain of custody before such evidence is admitted.</w:t>
      </w:r>
    </w:p>
    <w:p>
      <w:r>
        <w:pict>
          <v:rect style="width:0;height:1.5pt" o:hralign="center" o:hrstd="t" o:hr="t"/>
        </w:pict>
      </w:r>
    </w:p>
    <w:bookmarkEnd w:id="31"/>
    <w:bookmarkStart w:id="32" w:name="vi.-reference-blood-sample-documentation"/>
    <w:p>
      <w:pPr>
        <w:pStyle w:val="Heading1"/>
      </w:pPr>
      <w:r>
        <w:t xml:space="preserve">VI. REFERENCE BLOOD SAMPLE DOCUMENTATION</w:t>
      </w:r>
    </w:p>
    <w:p>
      <w:pPr>
        <w:pStyle w:val="FirstParagraph"/>
      </w:pPr>
      <w:r>
        <w:t xml:space="preserve">Discovery materials indicate that reference blood samples were obtained from the defendant and later submitted for forensic testing.</w:t>
      </w:r>
    </w:p>
    <w:p>
      <w:pPr>
        <w:pStyle w:val="BodyText"/>
      </w:pPr>
      <w:r>
        <w:t xml:space="preserve">Documentation produced to date reflects discrepancies between:</w:t>
      </w:r>
    </w:p>
    <w:p>
      <w:pPr>
        <w:pStyle w:val="Compact"/>
        <w:numPr>
          <w:ilvl w:val="0"/>
          <w:numId w:val="1009"/>
        </w:numPr>
      </w:pPr>
      <w:r>
        <w:t xml:space="preserve">Recorded collection information</w:t>
      </w:r>
    </w:p>
    <w:p>
      <w:pPr>
        <w:pStyle w:val="Compact"/>
        <w:numPr>
          <w:ilvl w:val="0"/>
          <w:numId w:val="1009"/>
        </w:numPr>
      </w:pPr>
      <w:r>
        <w:t xml:space="preserve">Laboratory intake information</w:t>
      </w:r>
    </w:p>
    <w:p>
      <w:pPr>
        <w:pStyle w:val="Compact"/>
        <w:numPr>
          <w:ilvl w:val="0"/>
          <w:numId w:val="1009"/>
        </w:numPr>
      </w:pPr>
      <w:r>
        <w:t xml:space="preserve">Documented sample volumes</w:t>
      </w:r>
    </w:p>
    <w:p>
      <w:pPr>
        <w:pStyle w:val="FirstParagraph"/>
      </w:pPr>
      <w:r>
        <w:t xml:space="preserve">The defense does not presently assert that the sample was altered.</w:t>
      </w:r>
    </w:p>
    <w:p>
      <w:pPr>
        <w:pStyle w:val="BodyText"/>
      </w:pPr>
      <w:r>
        <w:t xml:space="preserve">The defense does assert that the discrepancy raises foundational questions requiring explanation before the evidence is presented to a jury.</w:t>
      </w:r>
    </w:p>
    <w:p>
      <w:r>
        <w:pict>
          <v:rect style="width:0;height:1.5pt" o:hralign="center" o:hrstd="t" o:hr="t"/>
        </w:pict>
      </w:r>
    </w:p>
    <w:bookmarkEnd w:id="32"/>
    <w:bookmarkStart w:id="38" w:name="vii.-glove-evidence-foundation"/>
    <w:p>
      <w:pPr>
        <w:pStyle w:val="Heading1"/>
      </w:pPr>
      <w:r>
        <w:t xml:space="preserve">VII. GLOVE EVIDENCE FOUNDATION</w:t>
      </w:r>
    </w:p>
    <w:p>
      <w:pPr>
        <w:pStyle w:val="FirstParagraph"/>
      </w:pPr>
      <w:r>
        <w:t xml:space="preserve">The prosecution is expected to rely heavily upon glove evidence allegedly recovered from:</w:t>
      </w:r>
    </w:p>
    <w:p>
      <w:pPr>
        <w:pStyle w:val="Compact"/>
        <w:numPr>
          <w:ilvl w:val="0"/>
          <w:numId w:val="1010"/>
        </w:numPr>
      </w:pPr>
      <w:r>
        <w:t xml:space="preserve">Bundy Drive</w:t>
      </w:r>
    </w:p>
    <w:p>
      <w:pPr>
        <w:pStyle w:val="Compact"/>
        <w:numPr>
          <w:ilvl w:val="0"/>
          <w:numId w:val="1010"/>
        </w:numPr>
      </w:pPr>
      <w:r>
        <w:t xml:space="preserve">Rockingham</w:t>
      </w:r>
    </w:p>
    <w:p>
      <w:pPr>
        <w:pStyle w:val="FirstParagraph"/>
      </w:pPr>
      <w:r>
        <w:t xml:space="preserve">The defense has identified several issues requiring examination:</w:t>
      </w:r>
    </w:p>
    <w:bookmarkStart w:id="33" w:name="a."/>
    <w:p>
      <w:pPr>
        <w:pStyle w:val="Heading3"/>
      </w:pPr>
      <w:r>
        <w:t xml:space="preserve">A.</w:t>
      </w:r>
    </w:p>
    <w:p>
      <w:pPr>
        <w:pStyle w:val="FirstParagraph"/>
      </w:pPr>
      <w:r>
        <w:t xml:space="preserve">Differences in documentation concerning discovery conditions.</w:t>
      </w:r>
    </w:p>
    <w:bookmarkEnd w:id="33"/>
    <w:bookmarkStart w:id="34" w:name="b."/>
    <w:p>
      <w:pPr>
        <w:pStyle w:val="Heading3"/>
      </w:pPr>
      <w:r>
        <w:t xml:space="preserve">B.</w:t>
      </w:r>
    </w:p>
    <w:p>
      <w:pPr>
        <w:pStyle w:val="FirstParagraph"/>
      </w:pPr>
      <w:r>
        <w:t xml:space="preserve">Variations in descriptions regarding visibility of the item.</w:t>
      </w:r>
    </w:p>
    <w:bookmarkEnd w:id="34"/>
    <w:bookmarkStart w:id="35" w:name="c."/>
    <w:p>
      <w:pPr>
        <w:pStyle w:val="Heading3"/>
      </w:pPr>
      <w:r>
        <w:t xml:space="preserve">C.</w:t>
      </w:r>
    </w:p>
    <w:p>
      <w:pPr>
        <w:pStyle w:val="FirstParagraph"/>
      </w:pPr>
      <w:r>
        <w:t xml:space="preserve">Questions concerning chronology of discovery.</w:t>
      </w:r>
    </w:p>
    <w:bookmarkEnd w:id="35"/>
    <w:bookmarkStart w:id="36" w:name="d."/>
    <w:p>
      <w:pPr>
        <w:pStyle w:val="Heading3"/>
      </w:pPr>
      <w:r>
        <w:t xml:space="preserve">D.</w:t>
      </w:r>
    </w:p>
    <w:p>
      <w:pPr>
        <w:pStyle w:val="FirstParagraph"/>
      </w:pPr>
      <w:r>
        <w:t xml:space="preserve">Potential contamination opportunities.</w:t>
      </w:r>
    </w:p>
    <w:bookmarkEnd w:id="36"/>
    <w:bookmarkStart w:id="37" w:name="e."/>
    <w:p>
      <w:pPr>
        <w:pStyle w:val="Heading3"/>
      </w:pPr>
      <w:r>
        <w:t xml:space="preserve">E.</w:t>
      </w:r>
    </w:p>
    <w:p>
      <w:pPr>
        <w:pStyle w:val="FirstParagraph"/>
      </w:pPr>
      <w:r>
        <w:t xml:space="preserve">Discrepancies involving photographic references and evidence documentation.</w:t>
      </w:r>
    </w:p>
    <w:p>
      <w:pPr>
        <w:pStyle w:val="BodyText"/>
      </w:pPr>
      <w:r>
        <w:t xml:space="preserve">Before admission, the Court should require the prosecution to establish a clear evidentiary foundation regarding recovery, preservation, and handling of these items.</w:t>
      </w:r>
    </w:p>
    <w:p>
      <w:r>
        <w:pict>
          <v:rect style="width:0;height:1.5pt" o:hralign="center" o:hrstd="t" o:hr="t"/>
        </w:pict>
      </w:r>
    </w:p>
    <w:bookmarkEnd w:id="37"/>
    <w:bookmarkEnd w:id="38"/>
    <w:bookmarkStart w:id="39" w:name="viii.-biological-evidence-reliability"/>
    <w:p>
      <w:pPr>
        <w:pStyle w:val="Heading1"/>
      </w:pPr>
      <w:r>
        <w:t xml:space="preserve">VIII. BIOLOGICAL EVIDENCE RELIABILITY</w:t>
      </w:r>
    </w:p>
    <w:p>
      <w:pPr>
        <w:pStyle w:val="FirstParagraph"/>
      </w:pPr>
      <w:r>
        <w:t xml:space="preserve">Numerous biological samples were collected from:</w:t>
      </w:r>
    </w:p>
    <w:p>
      <w:pPr>
        <w:pStyle w:val="Compact"/>
        <w:numPr>
          <w:ilvl w:val="0"/>
          <w:numId w:val="1011"/>
        </w:numPr>
      </w:pPr>
      <w:r>
        <w:t xml:space="preserve">Outdoor environments</w:t>
      </w:r>
    </w:p>
    <w:p>
      <w:pPr>
        <w:pStyle w:val="Compact"/>
        <w:numPr>
          <w:ilvl w:val="0"/>
          <w:numId w:val="1011"/>
        </w:numPr>
      </w:pPr>
      <w:r>
        <w:t xml:space="preserve">Vehicle interiors</w:t>
      </w:r>
    </w:p>
    <w:p>
      <w:pPr>
        <w:pStyle w:val="Compact"/>
        <w:numPr>
          <w:ilvl w:val="0"/>
          <w:numId w:val="1011"/>
        </w:numPr>
      </w:pPr>
      <w:r>
        <w:t xml:space="preserve">Residential properties</w:t>
      </w:r>
    </w:p>
    <w:p>
      <w:pPr>
        <w:pStyle w:val="Compact"/>
        <w:numPr>
          <w:ilvl w:val="0"/>
          <w:numId w:val="1011"/>
        </w:numPr>
      </w:pPr>
      <w:r>
        <w:t xml:space="preserve">Clothing</w:t>
      </w:r>
    </w:p>
    <w:p>
      <w:pPr>
        <w:pStyle w:val="Compact"/>
        <w:numPr>
          <w:ilvl w:val="0"/>
          <w:numId w:val="1011"/>
        </w:numPr>
      </w:pPr>
      <w:r>
        <w:t xml:space="preserve">Personal property</w:t>
      </w:r>
    </w:p>
    <w:p>
      <w:pPr>
        <w:pStyle w:val="FirstParagraph"/>
      </w:pPr>
      <w:r>
        <w:t xml:space="preserve">The defense has retained experts who note that the reliability of biological evidence depends heavily upon:</w:t>
      </w:r>
    </w:p>
    <w:p>
      <w:pPr>
        <w:pStyle w:val="Compact"/>
        <w:numPr>
          <w:ilvl w:val="0"/>
          <w:numId w:val="1012"/>
        </w:numPr>
      </w:pPr>
      <w:r>
        <w:t xml:space="preserve">Collection procedures</w:t>
      </w:r>
    </w:p>
    <w:p>
      <w:pPr>
        <w:pStyle w:val="Compact"/>
        <w:numPr>
          <w:ilvl w:val="0"/>
          <w:numId w:val="1012"/>
        </w:numPr>
      </w:pPr>
      <w:r>
        <w:t xml:space="preserve">Packaging procedures</w:t>
      </w:r>
    </w:p>
    <w:p>
      <w:pPr>
        <w:pStyle w:val="Compact"/>
        <w:numPr>
          <w:ilvl w:val="0"/>
          <w:numId w:val="1012"/>
        </w:numPr>
      </w:pPr>
      <w:r>
        <w:t xml:space="preserve">Transportation procedures</w:t>
      </w:r>
    </w:p>
    <w:p>
      <w:pPr>
        <w:pStyle w:val="Compact"/>
        <w:numPr>
          <w:ilvl w:val="0"/>
          <w:numId w:val="1012"/>
        </w:numPr>
      </w:pPr>
      <w:r>
        <w:t xml:space="preserve">Storage conditions</w:t>
      </w:r>
    </w:p>
    <w:p>
      <w:pPr>
        <w:pStyle w:val="Compact"/>
        <w:numPr>
          <w:ilvl w:val="0"/>
          <w:numId w:val="1012"/>
        </w:numPr>
      </w:pPr>
      <w:r>
        <w:t xml:space="preserve">Documentation integrity</w:t>
      </w:r>
    </w:p>
    <w:p>
      <w:pPr>
        <w:pStyle w:val="FirstParagraph"/>
      </w:pPr>
      <w:r>
        <w:t xml:space="preserve">Where those foundational issues remain unresolved, limitations on admissibility may be appropriate.</w:t>
      </w:r>
    </w:p>
    <w:p>
      <w:r>
        <w:pict>
          <v:rect style="width:0;height:1.5pt" o:hralign="center" o:hrstd="t" o:hr="t"/>
        </w:pict>
      </w:r>
    </w:p>
    <w:bookmarkEnd w:id="39"/>
    <w:bookmarkStart w:id="40" w:name="ix.-mixed-sample-interpretation"/>
    <w:p>
      <w:pPr>
        <w:pStyle w:val="Heading1"/>
      </w:pPr>
      <w:r>
        <w:t xml:space="preserve">IX. MIXED SAMPLE INTERPRETATION</w:t>
      </w:r>
    </w:p>
    <w:p>
      <w:pPr>
        <w:pStyle w:val="FirstParagraph"/>
      </w:pPr>
      <w:r>
        <w:t xml:space="preserve">Several prosecution laboratory conclusions involve mixed-source biological evidence.</w:t>
      </w:r>
    </w:p>
    <w:p>
      <w:pPr>
        <w:pStyle w:val="BodyText"/>
      </w:pPr>
      <w:r>
        <w:t xml:space="preserve">Mixed-source interpretations require:</w:t>
      </w:r>
    </w:p>
    <w:p>
      <w:pPr>
        <w:pStyle w:val="Compact"/>
        <w:numPr>
          <w:ilvl w:val="0"/>
          <w:numId w:val="1013"/>
        </w:numPr>
      </w:pPr>
      <w:r>
        <w:t xml:space="preserve">Analyst judgment</w:t>
      </w:r>
    </w:p>
    <w:p>
      <w:pPr>
        <w:pStyle w:val="Compact"/>
        <w:numPr>
          <w:ilvl w:val="0"/>
          <w:numId w:val="1013"/>
        </w:numPr>
      </w:pPr>
      <w:r>
        <w:t xml:space="preserve">Contributor assumptions</w:t>
      </w:r>
    </w:p>
    <w:p>
      <w:pPr>
        <w:pStyle w:val="Compact"/>
        <w:numPr>
          <w:ilvl w:val="0"/>
          <w:numId w:val="1013"/>
        </w:numPr>
      </w:pPr>
      <w:r>
        <w:t xml:space="preserve">Statistical modeling</w:t>
      </w:r>
    </w:p>
    <w:p>
      <w:pPr>
        <w:pStyle w:val="FirstParagraph"/>
      </w:pPr>
      <w:r>
        <w:t xml:space="preserve">The defense seeks judicial review of the foundational reliability of these conclusions before presentation to the jury.</w:t>
      </w:r>
    </w:p>
    <w:p>
      <w:r>
        <w:pict>
          <v:rect style="width:0;height:1.5pt" o:hralign="center" o:hrstd="t" o:hr="t"/>
        </w:pict>
      </w:r>
    </w:p>
    <w:bookmarkEnd w:id="40"/>
    <w:bookmarkStart w:id="41" w:name="x.-due-process-considerations"/>
    <w:p>
      <w:pPr>
        <w:pStyle w:val="Heading1"/>
      </w:pPr>
      <w:r>
        <w:t xml:space="preserve">X. DUE PROCESS CONSIDERATIONS</w:t>
      </w:r>
    </w:p>
    <w:p>
      <w:pPr>
        <w:pStyle w:val="FirstParagraph"/>
      </w:pPr>
      <w:r>
        <w:t xml:space="preserve">Fundamental fairness requires that criminal convictions not rest upon evidence whose reliability cannot be adequately established.</w:t>
      </w:r>
    </w:p>
    <w:p>
      <w:pPr>
        <w:pStyle w:val="BodyText"/>
      </w:pPr>
      <w:r>
        <w:t xml:space="preserve">The defense is entitled to challenge:</w:t>
      </w:r>
    </w:p>
    <w:p>
      <w:pPr>
        <w:pStyle w:val="Compact"/>
        <w:numPr>
          <w:ilvl w:val="0"/>
          <w:numId w:val="1014"/>
        </w:numPr>
      </w:pPr>
      <w:r>
        <w:t xml:space="preserve">Collection procedures</w:t>
      </w:r>
    </w:p>
    <w:p>
      <w:pPr>
        <w:pStyle w:val="Compact"/>
        <w:numPr>
          <w:ilvl w:val="0"/>
          <w:numId w:val="1014"/>
        </w:numPr>
      </w:pPr>
      <w:r>
        <w:t xml:space="preserve">Handling procedures</w:t>
      </w:r>
    </w:p>
    <w:p>
      <w:pPr>
        <w:pStyle w:val="Compact"/>
        <w:numPr>
          <w:ilvl w:val="0"/>
          <w:numId w:val="1014"/>
        </w:numPr>
      </w:pPr>
      <w:r>
        <w:t xml:space="preserve">Preservation procedures</w:t>
      </w:r>
    </w:p>
    <w:p>
      <w:pPr>
        <w:pStyle w:val="Compact"/>
        <w:numPr>
          <w:ilvl w:val="0"/>
          <w:numId w:val="1014"/>
        </w:numPr>
      </w:pPr>
      <w:r>
        <w:t xml:space="preserve">Interpretation methods</w:t>
      </w:r>
    </w:p>
    <w:p>
      <w:pPr>
        <w:pStyle w:val="FirstParagraph"/>
      </w:pPr>
      <w:r>
        <w:t xml:space="preserve">Where foundational concerns exist, exclusion or limitation is appropriate to protect the integrity of the proceedings.</w:t>
      </w:r>
    </w:p>
    <w:p>
      <w:r>
        <w:pict>
          <v:rect style="width:0;height:1.5pt" o:hralign="center" o:hrstd="t" o:hr="t"/>
        </w:pict>
      </w:r>
    </w:p>
    <w:bookmarkEnd w:id="41"/>
    <w:bookmarkStart w:id="46" w:name="xi.-request-for-evidentiary-hearing"/>
    <w:p>
      <w:pPr>
        <w:pStyle w:val="Heading1"/>
      </w:pPr>
      <w:r>
        <w:t xml:space="preserve">XI. REQUEST FOR EVIDENTIARY HEARING</w:t>
      </w:r>
    </w:p>
    <w:p>
      <w:pPr>
        <w:pStyle w:val="FirstParagraph"/>
      </w:pPr>
      <w:r>
        <w:t xml:space="preserve">In the alternative, should the Court decline immediate suppression, the defense requests a full evidentiary hearing at which the prosecution shall present testimony concerning:</w:t>
      </w:r>
    </w:p>
    <w:bookmarkStart w:id="42" w:name="crime-scene-personnel"/>
    <w:p>
      <w:pPr>
        <w:pStyle w:val="Heading3"/>
      </w:pPr>
      <w:r>
        <w:t xml:space="preserve">Crime Scene Personnel</w:t>
      </w:r>
    </w:p>
    <w:p>
      <w:pPr>
        <w:pStyle w:val="Compact"/>
        <w:numPr>
          <w:ilvl w:val="0"/>
          <w:numId w:val="1015"/>
        </w:numPr>
      </w:pPr>
      <w:r>
        <w:t xml:space="preserve">Scene security</w:t>
      </w:r>
    </w:p>
    <w:p>
      <w:pPr>
        <w:pStyle w:val="Compact"/>
        <w:numPr>
          <w:ilvl w:val="0"/>
          <w:numId w:val="1015"/>
        </w:numPr>
      </w:pPr>
      <w:r>
        <w:t xml:space="preserve">Collection methods</w:t>
      </w:r>
    </w:p>
    <w:p>
      <w:pPr>
        <w:pStyle w:val="Compact"/>
        <w:numPr>
          <w:ilvl w:val="0"/>
          <w:numId w:val="1015"/>
        </w:numPr>
      </w:pPr>
      <w:r>
        <w:t xml:space="preserve">Documentation procedures</w:t>
      </w:r>
    </w:p>
    <w:bookmarkEnd w:id="42"/>
    <w:bookmarkStart w:id="43" w:name="evidence-custodians"/>
    <w:p>
      <w:pPr>
        <w:pStyle w:val="Heading3"/>
      </w:pPr>
      <w:r>
        <w:t xml:space="preserve">Evidence Custodians</w:t>
      </w:r>
    </w:p>
    <w:p>
      <w:pPr>
        <w:pStyle w:val="Compact"/>
        <w:numPr>
          <w:ilvl w:val="0"/>
          <w:numId w:val="1016"/>
        </w:numPr>
      </w:pPr>
      <w:r>
        <w:t xml:space="preserve">Storage procedures</w:t>
      </w:r>
    </w:p>
    <w:p>
      <w:pPr>
        <w:pStyle w:val="Compact"/>
        <w:numPr>
          <w:ilvl w:val="0"/>
          <w:numId w:val="1016"/>
        </w:numPr>
      </w:pPr>
      <w:r>
        <w:t xml:space="preserve">Transfer procedures</w:t>
      </w:r>
    </w:p>
    <w:p>
      <w:pPr>
        <w:pStyle w:val="Compact"/>
        <w:numPr>
          <w:ilvl w:val="0"/>
          <w:numId w:val="1016"/>
        </w:numPr>
      </w:pPr>
      <w:r>
        <w:t xml:space="preserve">Corrections to evidence records</w:t>
      </w:r>
    </w:p>
    <w:bookmarkEnd w:id="43"/>
    <w:bookmarkStart w:id="44" w:name="detectives"/>
    <w:p>
      <w:pPr>
        <w:pStyle w:val="Heading3"/>
      </w:pPr>
      <w:r>
        <w:t xml:space="preserve">Detectives</w:t>
      </w:r>
    </w:p>
    <w:p>
      <w:pPr>
        <w:pStyle w:val="Compact"/>
        <w:numPr>
          <w:ilvl w:val="0"/>
          <w:numId w:val="1017"/>
        </w:numPr>
      </w:pPr>
      <w:r>
        <w:t xml:space="preserve">Discovery chronology</w:t>
      </w:r>
    </w:p>
    <w:p>
      <w:pPr>
        <w:pStyle w:val="Compact"/>
        <w:numPr>
          <w:ilvl w:val="0"/>
          <w:numId w:val="1017"/>
        </w:numPr>
      </w:pPr>
      <w:r>
        <w:t xml:space="preserve">Evidence handling</w:t>
      </w:r>
    </w:p>
    <w:p>
      <w:pPr>
        <w:pStyle w:val="Compact"/>
        <w:numPr>
          <w:ilvl w:val="0"/>
          <w:numId w:val="1017"/>
        </w:numPr>
      </w:pPr>
      <w:r>
        <w:t xml:space="preserve">Collection decisions</w:t>
      </w:r>
    </w:p>
    <w:bookmarkEnd w:id="44"/>
    <w:bookmarkStart w:id="45" w:name="laboratory-personnel"/>
    <w:p>
      <w:pPr>
        <w:pStyle w:val="Heading3"/>
      </w:pPr>
      <w:r>
        <w:t xml:space="preserve">Laboratory Personnel</w:t>
      </w:r>
    </w:p>
    <w:p>
      <w:pPr>
        <w:pStyle w:val="Compact"/>
        <w:numPr>
          <w:ilvl w:val="0"/>
          <w:numId w:val="1018"/>
        </w:numPr>
      </w:pPr>
      <w:r>
        <w:t xml:space="preserve">Testing methodology</w:t>
      </w:r>
    </w:p>
    <w:p>
      <w:pPr>
        <w:pStyle w:val="Compact"/>
        <w:numPr>
          <w:ilvl w:val="0"/>
          <w:numId w:val="1018"/>
        </w:numPr>
      </w:pPr>
      <w:r>
        <w:t xml:space="preserve">Sample integrity</w:t>
      </w:r>
    </w:p>
    <w:p>
      <w:pPr>
        <w:pStyle w:val="Compact"/>
        <w:numPr>
          <w:ilvl w:val="0"/>
          <w:numId w:val="1018"/>
        </w:numPr>
      </w:pPr>
      <w:r>
        <w:t xml:space="preserve">Interpretation procedures</w:t>
      </w:r>
    </w:p>
    <w:p>
      <w:pPr>
        <w:pStyle w:val="FirstParagraph"/>
      </w:pPr>
      <w:r>
        <w:t xml:space="preserve">The defense should be permitted full cross-examination concerning these matters.</w:t>
      </w:r>
    </w:p>
    <w:p>
      <w:r>
        <w:pict>
          <v:rect style="width:0;height:1.5pt" o:hralign="center" o:hrstd="t" o:hr="t"/>
        </w:pict>
      </w:r>
    </w:p>
    <w:bookmarkEnd w:id="45"/>
    <w:bookmarkEnd w:id="46"/>
    <w:bookmarkStart w:id="52" w:name="xii.-alternative-relief-requested"/>
    <w:p>
      <w:pPr>
        <w:pStyle w:val="Heading1"/>
      </w:pPr>
      <w:r>
        <w:t xml:space="preserve">XII. ALTERNATIVE RELIEF REQUESTED</w:t>
      </w:r>
    </w:p>
    <w:p>
      <w:pPr>
        <w:pStyle w:val="FirstParagraph"/>
      </w:pPr>
      <w:r>
        <w:t xml:space="preserve">If the Court declines suppression, the defense requests alternative relief including:</w:t>
      </w:r>
    </w:p>
    <w:bookmarkStart w:id="47" w:name="a.-1"/>
    <w:p>
      <w:pPr>
        <w:pStyle w:val="Heading3"/>
      </w:pPr>
      <w:r>
        <w:t xml:space="preserve">A.</w:t>
      </w:r>
    </w:p>
    <w:p>
      <w:pPr>
        <w:pStyle w:val="FirstParagraph"/>
      </w:pPr>
      <w:r>
        <w:t xml:space="preserve">Limiting instructions concerning chain-of-custody weaknesses.</w:t>
      </w:r>
    </w:p>
    <w:bookmarkEnd w:id="47"/>
    <w:bookmarkStart w:id="48" w:name="b.-1"/>
    <w:p>
      <w:pPr>
        <w:pStyle w:val="Heading3"/>
      </w:pPr>
      <w:r>
        <w:t xml:space="preserve">B.</w:t>
      </w:r>
    </w:p>
    <w:p>
      <w:pPr>
        <w:pStyle w:val="FirstParagraph"/>
      </w:pPr>
      <w:r>
        <w:t xml:space="preserve">Limitation of testimony regarding unsupported conclusions.</w:t>
      </w:r>
    </w:p>
    <w:bookmarkEnd w:id="48"/>
    <w:bookmarkStart w:id="49" w:name="c.-1"/>
    <w:p>
      <w:pPr>
        <w:pStyle w:val="Heading3"/>
      </w:pPr>
      <w:r>
        <w:t xml:space="preserve">C.</w:t>
      </w:r>
    </w:p>
    <w:p>
      <w:pPr>
        <w:pStyle w:val="FirstParagraph"/>
      </w:pPr>
      <w:r>
        <w:t xml:space="preserve">Restriction of speculative forensic opinions.</w:t>
      </w:r>
    </w:p>
    <w:bookmarkEnd w:id="49"/>
    <w:bookmarkStart w:id="50" w:name="d.-1"/>
    <w:p>
      <w:pPr>
        <w:pStyle w:val="Heading3"/>
      </w:pPr>
      <w:r>
        <w:t xml:space="preserve">D.</w:t>
      </w:r>
    </w:p>
    <w:p>
      <w:pPr>
        <w:pStyle w:val="FirstParagraph"/>
      </w:pPr>
      <w:r>
        <w:t xml:space="preserve">Disclosure of all supplemental documentation relating to evidence handling.</w:t>
      </w:r>
    </w:p>
    <w:bookmarkEnd w:id="50"/>
    <w:bookmarkStart w:id="51" w:name="e.-1"/>
    <w:p>
      <w:pPr>
        <w:pStyle w:val="Heading3"/>
      </w:pPr>
      <w:r>
        <w:t xml:space="preserve">E.</w:t>
      </w:r>
    </w:p>
    <w:p>
      <w:pPr>
        <w:pStyle w:val="FirstParagraph"/>
      </w:pPr>
      <w:r>
        <w:t xml:space="preserve">Additional expert access to physical evidence and laboratory materials.</w:t>
      </w:r>
    </w:p>
    <w:p>
      <w:r>
        <w:pict>
          <v:rect style="width:0;height:1.5pt" o:hralign="center" o:hrstd="t" o:hr="t"/>
        </w:pict>
      </w:r>
    </w:p>
    <w:bookmarkEnd w:id="51"/>
    <w:bookmarkEnd w:id="52"/>
    <w:bookmarkStart w:id="53" w:name="xiii.-conclusion"/>
    <w:p>
      <w:pPr>
        <w:pStyle w:val="Heading1"/>
      </w:pPr>
      <w:r>
        <w:t xml:space="preserve">XIII. CONCLUSION</w:t>
      </w:r>
    </w:p>
    <w:p>
      <w:pPr>
        <w:pStyle w:val="FirstParagraph"/>
      </w:pPr>
      <w:r>
        <w:t xml:space="preserve">The prosecution seeks to rely upon physical evidence as a central component of its case.</w:t>
      </w:r>
    </w:p>
    <w:p>
      <w:pPr>
        <w:pStyle w:val="BodyText"/>
      </w:pPr>
      <w:r>
        <w:t xml:space="preserve">Before such evidence is presented to the jury, the Court should require a showing that:</w:t>
      </w:r>
    </w:p>
    <w:p>
      <w:pPr>
        <w:pStyle w:val="Compact"/>
        <w:numPr>
          <w:ilvl w:val="0"/>
          <w:numId w:val="1019"/>
        </w:numPr>
      </w:pPr>
      <w:r>
        <w:t xml:space="preserve">The evidence was properly collected;</w:t>
      </w:r>
    </w:p>
    <w:p>
      <w:pPr>
        <w:pStyle w:val="Compact"/>
        <w:numPr>
          <w:ilvl w:val="0"/>
          <w:numId w:val="1019"/>
        </w:numPr>
      </w:pPr>
      <w:r>
        <w:t xml:space="preserve">The evidence was properly preserved;</w:t>
      </w:r>
    </w:p>
    <w:p>
      <w:pPr>
        <w:pStyle w:val="Compact"/>
        <w:numPr>
          <w:ilvl w:val="0"/>
          <w:numId w:val="1019"/>
        </w:numPr>
      </w:pPr>
      <w:r>
        <w:t xml:space="preserve">The chain of custody is sufficiently reliable;</w:t>
      </w:r>
    </w:p>
    <w:p>
      <w:pPr>
        <w:pStyle w:val="Compact"/>
        <w:numPr>
          <w:ilvl w:val="0"/>
          <w:numId w:val="1019"/>
        </w:numPr>
      </w:pPr>
      <w:r>
        <w:t xml:space="preserve">The foundational requirements for admissibility have been satisfied.</w:t>
      </w:r>
    </w:p>
    <w:p>
      <w:pPr>
        <w:pStyle w:val="FirstParagraph"/>
      </w:pPr>
      <w:r>
        <w:t xml:space="preserve">Accordingly, Defendant respectfully requests that the Court:</w:t>
      </w:r>
    </w:p>
    <w:p>
      <w:pPr>
        <w:pStyle w:val="Compact"/>
        <w:numPr>
          <w:ilvl w:val="0"/>
          <w:numId w:val="1020"/>
        </w:numPr>
      </w:pPr>
      <w:r>
        <w:t xml:space="preserve">Suppress the challenged evidence;</w:t>
      </w:r>
    </w:p>
    <w:p>
      <w:pPr>
        <w:pStyle w:val="Compact"/>
        <w:numPr>
          <w:ilvl w:val="0"/>
          <w:numId w:val="1020"/>
        </w:numPr>
      </w:pPr>
      <w:r>
        <w:t xml:space="preserve">Exclude derivative testimony based upon unreliable evidence;</w:t>
      </w:r>
    </w:p>
    <w:p>
      <w:pPr>
        <w:pStyle w:val="Compact"/>
        <w:numPr>
          <w:ilvl w:val="0"/>
          <w:numId w:val="1020"/>
        </w:numPr>
      </w:pPr>
      <w:r>
        <w:t xml:space="preserve">Conduct an evidentiary hearing concerning the challenged materials; or</w:t>
      </w:r>
    </w:p>
    <w:p>
      <w:pPr>
        <w:pStyle w:val="Compact"/>
        <w:numPr>
          <w:ilvl w:val="0"/>
          <w:numId w:val="1020"/>
        </w:numPr>
      </w:pPr>
      <w:r>
        <w:t xml:space="preserve">Grant such other relief as the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JOHNNIE L. COCHRAN, JR.</w:t>
      </w:r>
      <w:r>
        <w:br/>
      </w:r>
      <w:r>
        <w:rPr>
          <w:b/>
          <w:bCs/>
        </w:rPr>
        <w:t xml:space="preserve">ROBERT SHAPIRO</w:t>
      </w:r>
      <w:r>
        <w:br/>
      </w:r>
      <w:r>
        <w:rPr>
          <w:b/>
          <w:bCs/>
        </w:rPr>
        <w:t xml:space="preserve">F. LEE BAILEY</w:t>
      </w:r>
      <w:r>
        <w:br/>
      </w:r>
      <w:r>
        <w:rPr>
          <w:b/>
          <w:bCs/>
        </w:rPr>
        <w:t xml:space="preserve">BARRY SCHECK</w:t>
      </w:r>
      <w:r>
        <w:br/>
      </w:r>
      <w:r>
        <w:rPr>
          <w:b/>
          <w:bCs/>
        </w:rPr>
        <w:t xml:space="preserve">PETER NEUFELD</w:t>
      </w:r>
      <w:r>
        <w:br/>
      </w:r>
      <w:r>
        <w:rPr>
          <w:b/>
          <w:bCs/>
        </w:rPr>
        <w:t xml:space="preserve">ROBERT KARDASHIAN</w:t>
      </w:r>
      <w:r>
        <w:br/>
      </w:r>
      <w:r>
        <w:t xml:space="preserve">Attorneys for Defendant</w:t>
      </w:r>
      <w:r>
        <w:br/>
      </w:r>
      <w:r>
        <w:t xml:space="preserve">Orenthal James Simpson</w:t>
      </w:r>
    </w:p>
    <w:p>
      <w:pPr>
        <w:pStyle w:val="BodyText"/>
      </w:pPr>
      <w:r>
        <w:t xml:space="preserve">Dated: _____________</w:t>
      </w:r>
    </w:p>
    <w:p>
      <w:r>
        <w:pict>
          <v:rect style="width:0;height:1.5pt" o:hralign="center" o:hrstd="t" o:hr="t"/>
        </w:pict>
      </w:r>
    </w:p>
    <w:bookmarkEnd w:id="53"/>
    <w:bookmarkStart w:id="54" w:name="declaration-of-defense-counsel"/>
    <w:p>
      <w:pPr>
        <w:pStyle w:val="Heading1"/>
      </w:pPr>
      <w:r>
        <w:t xml:space="preserve">DECLARATION OF DEFENSE COUNSEL</w:t>
      </w:r>
    </w:p>
    <w:p>
      <w:pPr>
        <w:pStyle w:val="FirstParagraph"/>
      </w:pPr>
      <w:r>
        <w:t xml:space="preserve">I declare under penalty of perjury that the foregoing motion is based upon records produced in discovery, expert consultations, witness statements, investigative materials, and information presently available to the defense.</w:t>
      </w:r>
    </w:p>
    <w:p>
      <w:pPr>
        <w:pStyle w:val="BodyText"/>
      </w:pPr>
      <w:r>
        <w:t xml:space="preserve">I reserve the right to supplement this motion as additional evidence becomes available.</w:t>
      </w:r>
    </w:p>
    <w:p>
      <w:pPr>
        <w:pStyle w:val="BodyText"/>
      </w:pPr>
      <w:r>
        <w:t xml:space="preserve">Executed this ___ day of ____________, 1994.</w:t>
      </w:r>
    </w:p>
    <w:p>
      <w:r>
        <w:pict>
          <v:rect style="width:0;height:1.5pt" o:hralign="center" o:hrstd="t" o:hr="t"/>
        </w:pict>
      </w:r>
    </w:p>
    <w:p>
      <w:pPr>
        <w:pStyle w:val="FirstParagraph"/>
      </w:pPr>
      <w:r>
        <w:t xml:space="preserve">Attorney for Defendant</w:t>
      </w:r>
    </w:p>
    <w:p>
      <w:r>
        <w:pict>
          <v:rect style="width:0;height:1.5pt" o:hralign="center" o:hrstd="t" o:hr="t"/>
        </w:pict>
      </w:r>
    </w:p>
    <w:bookmarkEnd w:id="54"/>
    <w:bookmarkStart w:id="55" w:name="proposed-order"/>
    <w:p>
      <w:pPr>
        <w:pStyle w:val="Heading1"/>
      </w:pPr>
      <w:r>
        <w:t xml:space="preserve">PROPOSED ORDER</w:t>
      </w:r>
    </w:p>
    <w:p>
      <w:pPr>
        <w:pStyle w:val="FirstParagraph"/>
      </w:pPr>
      <w:r>
        <w:t xml:space="preserve">The Court, having reviewed Defendant’s Motion to Suppress or Limit Physical Evidence, the opposition, oral argument, and evidence presented, hereby orders:</w:t>
      </w:r>
    </w:p>
    <w:p>
      <w:pPr>
        <w:pStyle w:val="BodyText"/>
      </w:pPr>
      <w:r>
        <w:t xml:space="preserve">[ ] Motion Granted</w:t>
      </w:r>
    </w:p>
    <w:p>
      <w:pPr>
        <w:pStyle w:val="BodyText"/>
      </w:pPr>
      <w:r>
        <w:t xml:space="preserve">[ ] Motion Denied</w:t>
      </w:r>
    </w:p>
    <w:p>
      <w:pPr>
        <w:pStyle w:val="BodyText"/>
      </w:pPr>
      <w:r>
        <w:t xml:space="preserve">[ ] Evidentiary Hearing Ordered</w:t>
      </w:r>
    </w:p>
    <w:p>
      <w:pPr>
        <w:pStyle w:val="BodyText"/>
      </w:pPr>
      <w:r>
        <w:t xml:space="preserve">[ ] Other Relief Granted:</w:t>
      </w:r>
    </w:p>
    <w:p>
      <w:r>
        <w:pict>
          <v:rect style="width:0;height:1.5pt" o:hralign="center" o:hrstd="t" o:hr="t"/>
        </w:pict>
      </w:r>
    </w:p>
    <w:p>
      <w:r>
        <w:pict>
          <v:rect style="width:0;height:1.5pt" o:hralign="center" o:hrstd="t" o:hr="t"/>
        </w:pict>
      </w:r>
    </w:p>
    <w:p>
      <w:pPr>
        <w:pStyle w:val="FirstParagraph"/>
      </w:pPr>
      <w:r>
        <w:t xml:space="preserve">DATED: __________________</w:t>
      </w:r>
    </w:p>
    <w:p>
      <w:r>
        <w:pict>
          <v:rect style="width:0;height:1.5pt" o:hralign="center" o:hrstd="t" o:hr="t"/>
        </w:pict>
      </w:r>
    </w:p>
    <w:p>
      <w:pPr>
        <w:pStyle w:val="FirstParagraph"/>
      </w:pPr>
      <w:r>
        <w:t xml:space="preserve">JUDGE OF THE SUPERIOR COURT</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2026-05-30T20:30:12Z</dcterms:created>
  <dcterms:modified xsi:type="dcterms:W3CDTF">2026-05-30T20:30:12Z</dcterms:modified>
</cp:coreProperties>
</file>

<file path=docProps/custom.xml><?xml version="1.0" encoding="utf-8"?>
<Properties xmlns="http://schemas.openxmlformats.org/officeDocument/2006/custom-properties" xmlns:vt="http://schemas.openxmlformats.org/officeDocument/2006/docPropsVTypes"/>
</file>