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แผนการสอน</w:t>
      </w:r>
    </w:p>
    <w:p>
      <w:pPr>
        <w:spacing w:after="0" w:before="0" w:line="240" w:lineRule="auto"/>
        <w:jc w:val="center"/>
      </w:pPr>
      <w:r>
        <w:rPr>
          <w:rFonts w:ascii="TH Sarabun New" w:hAnsi="TH Sarabun New" w:cs="TH Sarabun New"/>
          <w:b/>
          <w:sz w:val="32"/>
        </w:rPr>
        <w:t>คณะแพทยศาสตร์ มหาวิทยาลัยขอนแก่น</w:t>
      </w:r>
    </w:p>
    <w:p>
      <w:pPr>
        <w:spacing w:after="120" w:before="0" w:line="240" w:lineRule="auto"/>
        <w:jc w:val="center"/>
      </w:pPr>
      <w:r>
        <w:rPr>
          <w:rFonts w:ascii="TH Sarabun New" w:hAnsi="TH Sarabun New" w:cs="TH Sarabun New"/>
          <w:b/>
          <w:sz w:val="28"/>
        </w:rPr>
        <w:t xml:space="preserve">ภาคการศึกษา 1 ปีการศึกษา 2569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รหัสวิชาและชื่อวิชา  MD 301 Human Physiology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หัวข้อเรื่อง  Autonomic Nervous System        จำนวน 1 ชั่วโมง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ผู้เรียน  นักศึกษาแพทย์ ปีที่ 3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อาจารย์ผู้สอน  ผศ.ดร. สมชาย ใจดี      สังกัด สาขาวิชา สาขาวิชาสรีรวิทยา</w:t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วันที่ 1 กรกฎาคม 2569   เวลา 09:00-10:00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44"/>
        <w:gridCol w:w="1644"/>
        <w:gridCol w:w="1644"/>
        <w:gridCol w:w="1644"/>
        <w:gridCol w:w="1644"/>
        <w:gridCol w:w="1644"/>
        <w:gridCol w:w="1644"/>
        <w:gridCol w:w="1644"/>
        <w:gridCol w:w="1644"/>
      </w:tblGrid>
      <w:tr>
        <w:tc>
          <w:tcPr>
            <w:tcW w:type="dxa" w:w="147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วัน เดือน ปี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</w:tc>
        <w:tc>
          <w:tcPr>
            <w:tcW w:type="dxa" w:w="221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หัวข้อ/รายละเอียด</w:t>
            </w:r>
          </w:p>
        </w:tc>
        <w:tc>
          <w:tcPr>
            <w:tcW w:type="dxa" w:w="62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เวลา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(นาที)</w:t>
            </w:r>
          </w:p>
        </w:tc>
        <w:tc>
          <w:tcPr>
            <w:tcW w:type="dxa" w:w="794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ผลการ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เรียนรู้*</w:t>
            </w:r>
          </w:p>
        </w:tc>
        <w:tc>
          <w:tcPr>
            <w:tcW w:type="dxa" w:w="2438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วัตถุประสงค์</w:t>
            </w:r>
          </w:p>
        </w:tc>
        <w:tc>
          <w:tcPr>
            <w:tcW w:type="dxa" w:w="2665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เนื้อหา</w:t>
            </w:r>
          </w:p>
        </w:tc>
        <w:tc>
          <w:tcPr>
            <w:tcW w:type="dxa" w:w="187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กิจกรรมการเรียน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การสอน</w:t>
            </w:r>
          </w:p>
        </w:tc>
        <w:tc>
          <w:tcPr>
            <w:tcW w:type="dxa" w:w="170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สื่อการสอน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การประเมินผล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/>
                <w:sz w:val="24"/>
              </w:rPr>
              <w:t>การเรียนรู้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09:00-09:10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ภาพรวมระบบประสาทอัตโนมัติ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10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PLO4/CLO1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อธิบายโครงสร้างและการจำแนกประเภทของระบบประสาทอัตโนมัติได้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หน้าที่และภาพรวมของ ANS</w:t>
            </w:r>
            <w:r>
              <w:br/>
            </w:r>
            <w:r>
              <w:t xml:space="preserve">2. การแบ่ง sympathetic และ parasympathetic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lecture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 PowerPoint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ถาม-ตอบในชั้นเรียน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09:10-09:25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Sympathetic vs Parasympathetic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15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PLO4/CLO2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วิเคราะห์ความแตกต่างระหว่าง sympathetic และ parasympathetic 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Neurotransmitter และ receptor ของแต่ละระบบ</w:t>
            </w:r>
            <w:r>
              <w:br/>
            </w:r>
            <w:r>
              <w:t xml:space="preserve">2. ผลต่ออวัยวะเป้าหมาย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interactive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สไลด์ PowerPoint, แผนภาพ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Quiz สั้นท้ายหัวข้อ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09:25-09:55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กรณีศึกษาทางคลินิก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30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
                <w:r>
                  <w:t xml:space="preserve">PLO4/CLO1</w:t>
                </w:r>
                <w:r>
                  <w:br/>
                </w:r>
                <w:r>
                  <w:t xml:space="preserve">PLO4/CLO2</w:t>
                </w:r>
              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ประยุกต์ความรู้โครงสร้างและความแตกต่างของ ANS กับอาการผู้ป่วยตัวอย่างได้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1. เคสตัวอย่างที่เกี่ยวข้องกับ ANS</w:t>
            </w:r>
            <w:r>
              <w:br/>
            </w:r>
            <w:r>
              <w:t xml:space="preserve">2. อภิปรายกลไกที่อยู่เบื้องหลังอาการ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interactive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เคสตัวอย่าง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อภิปรายกลุ่ม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rPr>
          <w:trHeight w:val="520" w:hRule="atLeast"/>
        </w:trPr>
        <w:tc>
          <w:tcPr>
            <w:tcW w:type="dxa" w:w="1474"/>
          </w:tcPr>
          <w:p>
            <w:pPr>
              <w:spacing w:after="0" w:before="0" w:line="240" w:lineRule="auto"/>
              <w:jc w:val="left"/>
            </w:pPr>
            <w:r>
              <w:t xml:space="preserve">09:55-10:00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211"/>
          </w:tcPr>
          <w:p>
            <w:pPr>
              <w:spacing w:after="0" w:before="0" w:line="240" w:lineRule="auto"/>
              <w:jc w:val="left"/>
            </w:pPr>
            <w:r>
              <w:t xml:space="preserve">สรุปและถาม-ตอบ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left"/>
            </w:pPr>
            <w:r>
              <w:t xml:space="preserve">5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794"/>
          </w:tcPr>
          <w:p>
            <w:pPr>
              <w:spacing w:after="0" w:before="0" w:line="240" w:lineRule="auto"/>
              <w:jc w:val="left"/>
            </w:pPr>
            <w:r>
              <w:t xml:space="preserve">-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438"/>
          </w:tcPr>
          <w:p>
            <w:pPr>
              <w:spacing w:after="0" w:before="0" w:line="240" w:lineRule="auto"/>
              <w:jc w:val="left"/>
            </w:pPr>
            <w:r>
              <w:t xml:space="preserve">ทบทวนประเด็นสำคัญและตอบข้อซักถามได้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2665"/>
          </w:tcPr>
          <w:p>
            <w:pPr>
              <w:spacing w:after="0" w:before="0" w:line="240" w:lineRule="auto"/>
              <w:jc w:val="left"/>
            </w:pPr>
            <w:r>
              <w:t xml:space="preserve"/>
            </w:r>
            <w:r>
              <w:t xml:space="preserve">- สรุป take-home points</w:t>
            </w:r>
            <w:r>
              <w:br/>
            </w:r>
            <w:r>
              <w:t xml:space="preserve">- แนะนำแหล่งอ่านเพิ่มเติม</w:t>
            </w:r>
            <w:r>
              <w:t xml:space="preserve"/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871"/>
          </w:tcPr>
          <w:p>
            <w:pPr>
              <w:spacing w:after="0" w:before="0" w:line="240" w:lineRule="auto"/>
              <w:jc w:val="left"/>
            </w:pPr>
            <w:r>
              <w:t xml:space="preserve">quiz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>
              <w:t xml:space="preserve">-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  <w:tc>
          <w:tcPr>
            <w:tcW w:type="dxa" w:w="1361"/>
          </w:tcPr>
          <w:p>
            <w:pPr>
              <w:spacing w:after="0" w:before="0" w:line="240" w:lineRule="auto"/>
              <w:jc w:val="left"/>
            </w:pPr>
            <w:r>
              <w:t xml:space="preserve">Quiz ปิดท้าย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H Sarabun New" w:hAnsi="TH Sarabun New" w:cs="TH Sarabun New"/>
                <w:b w:val="0"/>
                <w:sz w:val="24"/>
              </w:rPr>
              <w:t xml:space="preserve"> </w:t>
            </w:r>
          </w:p>
        </w:tc>
      </w:tr>
      <w:tr>
        <w:tc>
          <w:tcPr>
            <w:tcW w:type="dxa" w:w="1474"/>
          </w:tcPr>
          <w:p/>
        </w:tc>
        <w:tc>
          <w:tcPr>
            <w:tcW w:type="dxa" w:w="221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rFonts w:ascii="TH Sarabun New" w:hAnsi="TH Sarabun New" w:cs="TH Sarabun New"/>
                <w:b/>
                <w:sz w:val="24"/>
              </w:rPr>
              <w:t>รวม</w:t>
            </w:r>
          </w:p>
        </w:tc>
        <w:tc>
          <w:tcPr>
            <w:tcW w:type="dxa" w:w="624"/>
          </w:tcPr>
          <w:p>
            <w:pPr>
              <w:spacing w:after="0" w:before="0" w:line="240" w:lineRule="auto"/>
              <w:jc w:val="center"/>
            </w:pPr>
            <w:r>
              <w:t xml:space="preserve">60</w:t>
            </w:r>
            <w:r>
              <w:rPr>
                <w:rFonts w:ascii="TH Sarabun New" w:hAnsi="TH Sarabun New" w:cs="TH Sarabun New"/>
                <w:b w:val="0"/>
                <w:sz w:val="24"/>
              </w:rPr>
            </w:r>
          </w:p>
        </w:tc>
        <w:tc>
          <w:tcPr>
            <w:tcW w:type="dxa" w:w="794"/>
          </w:tcPr>
          <w:p/>
        </w:tc>
        <w:tc>
          <w:tcPr>
            <w:tcW w:type="dxa" w:w="2438"/>
          </w:tcPr>
          <w:p/>
        </w:tc>
        <w:tc>
          <w:tcPr>
            <w:tcW w:type="dxa" w:w="2665"/>
          </w:tcPr>
          <w:p/>
        </w:tc>
        <w:tc>
          <w:tcPr>
            <w:tcW w:type="dxa" w:w="1871"/>
          </w:tcPr>
          <w:p/>
        </w:tc>
        <w:tc>
          <w:tcPr>
            <w:tcW w:type="dxa" w:w="1701"/>
          </w:tcPr>
          <w:p/>
        </w:tc>
        <w:tc>
          <w:tcPr>
            <w:tcW w:type="dxa" w:w="1361"/>
          </w:tcPr>
          <w:p/>
        </w:tc>
      </w:tr>
    </w:tbl>
    <w:p>
      <w:pPr>
        <w:spacing w:after="0" w:before="0" w:line="240" w:lineRule="auto"/>
        <w:jc w:val="left"/>
      </w:pPr>
      <w:r>
        <w:rPr>
          <w:rFonts w:ascii="TH Sarabun New" w:hAnsi="TH Sarabun New" w:cs="TH Sarabun New"/>
          <w:b w:val="0"/>
          <w:sz w:val="16"/>
        </w:rPr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/>
          <w:sz w:val="26"/>
        </w:rPr>
        <w:t>*หมายเหตุ ผลการเรียนรู้ที่เกี่ยวข้อง (ระบุ PLO / CLO และนิยามให้ครบถ้วน)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PLO4 : สามารถอธิบายกลไกการทำงานของระบบต่าง ๆ ในร่างกายมนุษย์ได้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CLO1 : อธิบายโครงสร้างและหน้าที่ของระบบประสาทอัตโนมัติ</w:t>
      </w:r>
    </w:p>
    <w:p>
      <w:pPr>
        <w:spacing w:after="40" w:before="0" w:line="240" w:lineRule="auto"/>
        <w:jc w:val="left"/>
      </w:pPr>
      <w:r>
        <w:rPr>
          <w:rFonts w:ascii="TH Sarabun New" w:hAnsi="TH Sarabun New" w:cs="TH Sarabun New"/>
          <w:b w:val="0"/>
          <w:sz w:val="26"/>
        </w:rPr>
        <w:t xml:space="preserve">CLO2 : วิเคราะห์ความแตกต่างระหว่าง sympathetic และ parasympathetic</w:t>
      </w:r>
    </w:p>
    <w:p>
      <w:r>
        <w:br w:type="page"/>
      </w:r>
    </w:p>
    <w:p>
      <w:pPr>
        <w:spacing w:after="120" w:before="0" w:line="240" w:lineRule="auto"/>
        <w:jc w:val="left"/>
      </w:pPr>
      <w:r>
        <w:rPr>
          <w:rFonts w:ascii="TH Sarabun New" w:hAnsi="TH Sarabun New" w:cs="TH Sarabun New"/>
          <w:b/>
          <w:sz w:val="32"/>
        </w:rPr>
        <w:t>References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Hall JE. Guyton and Hall Textbook of Medical Physiology. 14th ed.</w:t>
      </w:r>
    </w:p>
    <w:p>
      <w:pPr>
        <w:spacing w:after="100" w:before="0" w:line="240" w:lineRule="auto"/>
        <w:jc w:val="left"/>
      </w:pPr>
      <w:r>
        <w:rPr>
          <w:rFonts w:ascii="TH Sarabun New" w:hAnsi="TH Sarabun New" w:cs="TH Sarabun New"/>
          <w:b w:val="0"/>
          <w:sz w:val="28"/>
        </w:rPr>
        <w:t xml:space="preserve">Kandel ER, et al. Principles of Neural Science. 6th ed.</w:t>
      </w:r>
    </w:p>
    <w:sectPr w:rsidR="00FC693F" w:rsidRPr="0006063C" w:rsidSect="00034616">
      <w:pgSz w:w="16838" w:h="11906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