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68FC" w14:textId="77777777" w:rsidR="00CE09C1" w:rsidRDefault="00CE09C1" w:rsidP="00CE09C1">
      <w:pPr>
        <w:autoSpaceDE w:val="0"/>
        <w:autoSpaceDN w:val="0"/>
        <w:adjustRightInd w:val="0"/>
        <w:spacing w:after="0" w:line="480" w:lineRule="auto"/>
        <w:ind w:firstLine="720"/>
        <w:jc w:val="center"/>
        <w:rPr>
          <w:rFonts w:ascii="Garamond" w:hAnsi="Garamond"/>
          <w:b/>
          <w:bCs/>
          <w:sz w:val="24"/>
          <w:szCs w:val="24"/>
        </w:rPr>
      </w:pPr>
    </w:p>
    <w:p w14:paraId="7C1DA15B" w14:textId="77777777" w:rsidR="00CE09C1" w:rsidRDefault="00CE09C1" w:rsidP="00CE09C1">
      <w:pPr>
        <w:autoSpaceDE w:val="0"/>
        <w:autoSpaceDN w:val="0"/>
        <w:adjustRightInd w:val="0"/>
        <w:spacing w:after="0" w:line="480" w:lineRule="auto"/>
        <w:ind w:firstLine="720"/>
        <w:jc w:val="center"/>
        <w:rPr>
          <w:rFonts w:ascii="Garamond" w:hAnsi="Garamond"/>
          <w:b/>
          <w:bCs/>
          <w:sz w:val="24"/>
          <w:szCs w:val="24"/>
        </w:rPr>
      </w:pPr>
    </w:p>
    <w:p w14:paraId="5B35EF27" w14:textId="77777777" w:rsidR="00CE09C1" w:rsidRDefault="00CE09C1" w:rsidP="00CE09C1">
      <w:pPr>
        <w:autoSpaceDE w:val="0"/>
        <w:autoSpaceDN w:val="0"/>
        <w:adjustRightInd w:val="0"/>
        <w:spacing w:after="0" w:line="480" w:lineRule="auto"/>
        <w:ind w:firstLine="720"/>
        <w:jc w:val="center"/>
        <w:rPr>
          <w:rFonts w:ascii="Garamond" w:hAnsi="Garamond"/>
          <w:b/>
          <w:bCs/>
          <w:sz w:val="24"/>
          <w:szCs w:val="24"/>
        </w:rPr>
      </w:pPr>
    </w:p>
    <w:p w14:paraId="7984F313" w14:textId="77777777" w:rsidR="00CE09C1" w:rsidRDefault="00CE09C1" w:rsidP="00CE09C1">
      <w:pPr>
        <w:autoSpaceDE w:val="0"/>
        <w:autoSpaceDN w:val="0"/>
        <w:adjustRightInd w:val="0"/>
        <w:spacing w:after="0" w:line="480" w:lineRule="auto"/>
        <w:ind w:firstLine="720"/>
        <w:jc w:val="center"/>
        <w:rPr>
          <w:rFonts w:ascii="Garamond" w:hAnsi="Garamond"/>
          <w:b/>
          <w:bCs/>
          <w:sz w:val="24"/>
          <w:szCs w:val="24"/>
        </w:rPr>
      </w:pPr>
    </w:p>
    <w:p w14:paraId="1D65083B" w14:textId="387783BD" w:rsidR="00CE09C1" w:rsidRDefault="00CE09C1" w:rsidP="00CE09C1">
      <w:pPr>
        <w:autoSpaceDE w:val="0"/>
        <w:autoSpaceDN w:val="0"/>
        <w:adjustRightInd w:val="0"/>
        <w:spacing w:after="0" w:line="480" w:lineRule="auto"/>
        <w:jc w:val="center"/>
        <w:rPr>
          <w:rFonts w:ascii="Garamond" w:hAnsi="Garamond"/>
          <w:sz w:val="24"/>
          <w:szCs w:val="24"/>
        </w:rPr>
      </w:pPr>
      <w:r w:rsidRPr="00CE09C1">
        <w:rPr>
          <w:rFonts w:ascii="Garamond" w:hAnsi="Garamond"/>
          <w:b/>
          <w:bCs/>
          <w:sz w:val="24"/>
          <w:szCs w:val="24"/>
        </w:rPr>
        <w:t>Partisanship and Support for the Administrative State in the U.S. Senate</w:t>
      </w:r>
    </w:p>
    <w:p w14:paraId="5C05B32A" w14:textId="61B7335D" w:rsidR="00CE09C1" w:rsidRDefault="00CE09C1" w:rsidP="00CE09C1">
      <w:pPr>
        <w:autoSpaceDE w:val="0"/>
        <w:autoSpaceDN w:val="0"/>
        <w:adjustRightInd w:val="0"/>
        <w:spacing w:after="0" w:line="480" w:lineRule="auto"/>
        <w:ind w:firstLine="720"/>
        <w:jc w:val="center"/>
        <w:rPr>
          <w:rFonts w:ascii="Garamond" w:hAnsi="Garamond"/>
          <w:sz w:val="24"/>
          <w:szCs w:val="24"/>
        </w:rPr>
      </w:pPr>
    </w:p>
    <w:p w14:paraId="4C3A6035" w14:textId="7689C0E5" w:rsidR="00CE09C1" w:rsidRDefault="00CE09C1" w:rsidP="00371449">
      <w:pPr>
        <w:autoSpaceDE w:val="0"/>
        <w:autoSpaceDN w:val="0"/>
        <w:adjustRightInd w:val="0"/>
        <w:spacing w:after="0" w:line="480" w:lineRule="auto"/>
        <w:ind w:firstLine="720"/>
        <w:rPr>
          <w:rFonts w:ascii="Garamond" w:hAnsi="Garamond"/>
          <w:sz w:val="24"/>
          <w:szCs w:val="24"/>
        </w:rPr>
      </w:pPr>
    </w:p>
    <w:p w14:paraId="1DBA03C2" w14:textId="793B8062" w:rsidR="00CE09C1" w:rsidRPr="005F0FA0" w:rsidRDefault="00371449" w:rsidP="00623C70">
      <w:pPr>
        <w:autoSpaceDE w:val="0"/>
        <w:autoSpaceDN w:val="0"/>
        <w:adjustRightInd w:val="0"/>
        <w:spacing w:after="0" w:line="240" w:lineRule="auto"/>
        <w:rPr>
          <w:rFonts w:ascii="Garamond" w:hAnsi="Garamond"/>
          <w:sz w:val="24"/>
          <w:szCs w:val="24"/>
        </w:rPr>
      </w:pPr>
      <w:r>
        <w:rPr>
          <w:rFonts w:ascii="Garamond" w:hAnsi="Garamond"/>
          <w:b/>
          <w:bCs/>
          <w:sz w:val="24"/>
          <w:szCs w:val="24"/>
        </w:rPr>
        <w:t>Abstract:</w:t>
      </w:r>
      <w:r w:rsidR="00623C70">
        <w:rPr>
          <w:rFonts w:ascii="Garamond" w:hAnsi="Garamond"/>
          <w:b/>
          <w:bCs/>
          <w:sz w:val="24"/>
          <w:szCs w:val="24"/>
        </w:rPr>
        <w:t xml:space="preserve"> </w:t>
      </w:r>
      <w:r w:rsidR="00623C70">
        <w:rPr>
          <w:rFonts w:ascii="Garamond" w:hAnsi="Garamond"/>
          <w:sz w:val="24"/>
          <w:szCs w:val="24"/>
        </w:rPr>
        <w:t xml:space="preserve">While Congress is charged with overseeing the performance and conduct of the executive branch, individual legislators </w:t>
      </w:r>
      <w:r w:rsidR="005F0FA0">
        <w:rPr>
          <w:rFonts w:ascii="Garamond" w:hAnsi="Garamond"/>
          <w:sz w:val="24"/>
          <w:szCs w:val="24"/>
        </w:rPr>
        <w:t xml:space="preserve">have broad discretion over the amount of effort they dedicate to making sure federal agencies are effectively managed and well-run.  Extant research provides limited </w:t>
      </w:r>
      <w:r w:rsidR="00BE38CA">
        <w:rPr>
          <w:rFonts w:ascii="Garamond" w:hAnsi="Garamond"/>
          <w:sz w:val="24"/>
          <w:szCs w:val="24"/>
        </w:rPr>
        <w:t>perspective</w:t>
      </w:r>
      <w:r w:rsidR="005F0FA0">
        <w:rPr>
          <w:rFonts w:ascii="Garamond" w:hAnsi="Garamond"/>
          <w:sz w:val="24"/>
          <w:szCs w:val="24"/>
        </w:rPr>
        <w:t xml:space="preserve"> on </w:t>
      </w:r>
      <w:r w:rsidR="00BE38CA">
        <w:rPr>
          <w:rFonts w:ascii="Garamond" w:hAnsi="Garamond"/>
          <w:sz w:val="24"/>
          <w:szCs w:val="24"/>
        </w:rPr>
        <w:t>the level of effort different legislators</w:t>
      </w:r>
      <w:r w:rsidR="005F0FA0">
        <w:rPr>
          <w:rFonts w:ascii="Garamond" w:hAnsi="Garamond"/>
          <w:sz w:val="24"/>
          <w:szCs w:val="24"/>
        </w:rPr>
        <w:t xml:space="preserve"> </w:t>
      </w:r>
      <w:r w:rsidR="00BE38CA">
        <w:rPr>
          <w:rFonts w:ascii="Garamond" w:hAnsi="Garamond"/>
          <w:sz w:val="24"/>
          <w:szCs w:val="24"/>
        </w:rPr>
        <w:t>allocate to</w:t>
      </w:r>
      <w:r w:rsidR="005F0FA0">
        <w:rPr>
          <w:rFonts w:ascii="Garamond" w:hAnsi="Garamond"/>
          <w:sz w:val="24"/>
          <w:szCs w:val="24"/>
        </w:rPr>
        <w:t xml:space="preserve"> oversight, in large part because much oversight activity, such as attending briefings and conducting site visits, occurs in private, making it difficult to measure systematically.</w:t>
      </w:r>
      <w:r w:rsidR="00BE38CA">
        <w:rPr>
          <w:rFonts w:ascii="Garamond" w:hAnsi="Garamond"/>
          <w:sz w:val="24"/>
          <w:szCs w:val="24"/>
        </w:rPr>
        <w:t xml:space="preserve">  We </w:t>
      </w:r>
      <w:r w:rsidR="00B06959">
        <w:rPr>
          <w:rFonts w:ascii="Garamond" w:hAnsi="Garamond"/>
          <w:sz w:val="24"/>
          <w:szCs w:val="24"/>
        </w:rPr>
        <w:t>utilize a novel measure of senators’ oversight effort—impressions shared by</w:t>
      </w:r>
      <w:r w:rsidR="004E7C84">
        <w:rPr>
          <w:rFonts w:ascii="Garamond" w:hAnsi="Garamond"/>
          <w:sz w:val="24"/>
          <w:szCs w:val="24"/>
        </w:rPr>
        <w:t xml:space="preserve"> respondents in a survey of</w:t>
      </w:r>
      <w:r w:rsidR="00B06959">
        <w:rPr>
          <w:rFonts w:ascii="Garamond" w:hAnsi="Garamond"/>
          <w:sz w:val="24"/>
          <w:szCs w:val="24"/>
        </w:rPr>
        <w:t xml:space="preserve"> federal executives</w:t>
      </w:r>
      <w:r w:rsidR="004E7C84">
        <w:rPr>
          <w:rFonts w:ascii="Garamond" w:hAnsi="Garamond"/>
          <w:sz w:val="24"/>
          <w:szCs w:val="24"/>
        </w:rPr>
        <w:t xml:space="preserve">—to assess </w:t>
      </w:r>
      <w:r w:rsidR="00BE38CA">
        <w:rPr>
          <w:rFonts w:ascii="Garamond" w:hAnsi="Garamond"/>
          <w:sz w:val="24"/>
          <w:szCs w:val="24"/>
        </w:rPr>
        <w:t>how</w:t>
      </w:r>
      <w:r w:rsidR="004E7C84">
        <w:rPr>
          <w:rFonts w:ascii="Garamond" w:hAnsi="Garamond"/>
          <w:sz w:val="24"/>
          <w:szCs w:val="24"/>
        </w:rPr>
        <w:t xml:space="preserve"> </w:t>
      </w:r>
      <w:r w:rsidR="00BE38CA">
        <w:rPr>
          <w:rFonts w:ascii="Garamond" w:hAnsi="Garamond"/>
          <w:sz w:val="24"/>
          <w:szCs w:val="24"/>
        </w:rPr>
        <w:t xml:space="preserve">senators’ partisanship, together with the ideology and distributive character of the agencies they oversee, influence </w:t>
      </w:r>
      <w:r w:rsidR="004E7C84">
        <w:rPr>
          <w:rFonts w:ascii="Garamond" w:hAnsi="Garamond"/>
          <w:sz w:val="24"/>
          <w:szCs w:val="24"/>
        </w:rPr>
        <w:t xml:space="preserve">the </w:t>
      </w:r>
      <w:r w:rsidR="00CF57C1">
        <w:rPr>
          <w:rFonts w:ascii="Garamond" w:hAnsi="Garamond"/>
          <w:sz w:val="24"/>
          <w:szCs w:val="24"/>
        </w:rPr>
        <w:t>effort senators expend on oversight.  We find that agency executives perceive Democratic senators to exert more oversight effort than Republicans, but that Republican senators are more involved in overseeing more conservative agencies.</w:t>
      </w:r>
    </w:p>
    <w:p w14:paraId="19125DF3" w14:textId="70AADF8F" w:rsidR="00CE09C1" w:rsidRDefault="00CE09C1" w:rsidP="00CE09C1">
      <w:pPr>
        <w:autoSpaceDE w:val="0"/>
        <w:autoSpaceDN w:val="0"/>
        <w:adjustRightInd w:val="0"/>
        <w:spacing w:after="0" w:line="480" w:lineRule="auto"/>
        <w:ind w:firstLine="720"/>
        <w:jc w:val="center"/>
        <w:rPr>
          <w:rFonts w:ascii="Garamond" w:hAnsi="Garamond"/>
          <w:sz w:val="24"/>
          <w:szCs w:val="24"/>
        </w:rPr>
      </w:pPr>
    </w:p>
    <w:p w14:paraId="664F5833" w14:textId="0CF7820F" w:rsidR="00CE09C1" w:rsidRDefault="00CE09C1" w:rsidP="00CE09C1">
      <w:pPr>
        <w:autoSpaceDE w:val="0"/>
        <w:autoSpaceDN w:val="0"/>
        <w:adjustRightInd w:val="0"/>
        <w:spacing w:after="0" w:line="480" w:lineRule="auto"/>
        <w:ind w:firstLine="720"/>
        <w:jc w:val="center"/>
        <w:rPr>
          <w:rFonts w:ascii="Garamond" w:hAnsi="Garamond"/>
          <w:sz w:val="24"/>
          <w:szCs w:val="24"/>
        </w:rPr>
      </w:pPr>
    </w:p>
    <w:p w14:paraId="0E4531A6" w14:textId="0F8E69A0" w:rsidR="00CE09C1" w:rsidRDefault="00CE09C1" w:rsidP="00CE09C1">
      <w:pPr>
        <w:autoSpaceDE w:val="0"/>
        <w:autoSpaceDN w:val="0"/>
        <w:adjustRightInd w:val="0"/>
        <w:spacing w:after="0" w:line="480" w:lineRule="auto"/>
        <w:ind w:firstLine="720"/>
        <w:jc w:val="center"/>
        <w:rPr>
          <w:rFonts w:ascii="Garamond" w:hAnsi="Garamond"/>
          <w:sz w:val="24"/>
          <w:szCs w:val="24"/>
        </w:rPr>
      </w:pPr>
    </w:p>
    <w:p w14:paraId="146CD647" w14:textId="2E650B14" w:rsidR="00CE09C1" w:rsidRDefault="00CE09C1" w:rsidP="00CF57C1">
      <w:pPr>
        <w:autoSpaceDE w:val="0"/>
        <w:autoSpaceDN w:val="0"/>
        <w:adjustRightInd w:val="0"/>
        <w:spacing w:after="0" w:line="480" w:lineRule="auto"/>
        <w:rPr>
          <w:rFonts w:ascii="Garamond" w:hAnsi="Garamond"/>
          <w:sz w:val="24"/>
          <w:szCs w:val="24"/>
        </w:rPr>
      </w:pPr>
    </w:p>
    <w:p w14:paraId="7566DB53" w14:textId="77777777" w:rsidR="00CE09C1" w:rsidRDefault="00CE09C1" w:rsidP="00CE09C1">
      <w:pPr>
        <w:autoSpaceDE w:val="0"/>
        <w:autoSpaceDN w:val="0"/>
        <w:adjustRightInd w:val="0"/>
        <w:spacing w:after="0" w:line="480" w:lineRule="auto"/>
        <w:ind w:firstLine="720"/>
        <w:jc w:val="center"/>
        <w:rPr>
          <w:rFonts w:ascii="Garamond" w:hAnsi="Garamond"/>
          <w:sz w:val="24"/>
          <w:szCs w:val="24"/>
        </w:rPr>
      </w:pPr>
    </w:p>
    <w:p w14:paraId="3CD13270" w14:textId="77777777" w:rsidR="00CE09C1" w:rsidRDefault="00CE09C1" w:rsidP="00CE09C1">
      <w:pPr>
        <w:spacing w:after="0" w:line="240" w:lineRule="auto"/>
        <w:jc w:val="center"/>
        <w:rPr>
          <w:rFonts w:ascii="Garamond" w:hAnsi="Garamond"/>
          <w:sz w:val="24"/>
          <w:szCs w:val="24"/>
        </w:rPr>
      </w:pPr>
    </w:p>
    <w:p w14:paraId="4088C40F" w14:textId="0B83E3D6" w:rsidR="00CE09C1" w:rsidRDefault="001C7586" w:rsidP="00CE09C1">
      <w:pPr>
        <w:spacing w:after="0" w:line="240" w:lineRule="auto"/>
        <w:jc w:val="center"/>
        <w:rPr>
          <w:rFonts w:ascii="Garamond" w:hAnsi="Garamond"/>
          <w:sz w:val="24"/>
          <w:szCs w:val="24"/>
        </w:rPr>
      </w:pPr>
      <w:r>
        <w:rPr>
          <w:rFonts w:ascii="Garamond" w:hAnsi="Garamond"/>
          <w:sz w:val="24"/>
          <w:szCs w:val="24"/>
        </w:rPr>
        <w:t xml:space="preserve">Word Count: </w:t>
      </w:r>
      <w:r w:rsidR="00A73A19">
        <w:rPr>
          <w:rFonts w:ascii="Garamond" w:hAnsi="Garamond"/>
          <w:sz w:val="24"/>
          <w:szCs w:val="24"/>
        </w:rPr>
        <w:t>3,736</w:t>
      </w:r>
    </w:p>
    <w:p w14:paraId="59D65754" w14:textId="77777777" w:rsidR="00CE09C1" w:rsidRDefault="00CE09C1" w:rsidP="00CE09C1">
      <w:pPr>
        <w:spacing w:after="0" w:line="240" w:lineRule="auto"/>
        <w:jc w:val="center"/>
        <w:rPr>
          <w:rFonts w:ascii="Garamond" w:hAnsi="Garamond"/>
          <w:sz w:val="24"/>
          <w:szCs w:val="24"/>
        </w:rPr>
      </w:pPr>
    </w:p>
    <w:p w14:paraId="0EE1103A" w14:textId="77777777" w:rsidR="00CE09C1" w:rsidRDefault="00CE09C1" w:rsidP="00CE09C1">
      <w:pPr>
        <w:spacing w:after="0" w:line="240" w:lineRule="auto"/>
        <w:jc w:val="center"/>
        <w:rPr>
          <w:rFonts w:ascii="Garamond" w:hAnsi="Garamond"/>
          <w:sz w:val="24"/>
          <w:szCs w:val="24"/>
        </w:rPr>
      </w:pPr>
    </w:p>
    <w:p w14:paraId="6B384B52" w14:textId="77777777" w:rsidR="00CE09C1" w:rsidRDefault="00CE09C1" w:rsidP="00CE09C1">
      <w:pPr>
        <w:spacing w:after="0" w:line="240" w:lineRule="auto"/>
        <w:jc w:val="center"/>
        <w:rPr>
          <w:rFonts w:ascii="Garamond" w:hAnsi="Garamond"/>
          <w:sz w:val="24"/>
          <w:szCs w:val="24"/>
        </w:rPr>
      </w:pPr>
    </w:p>
    <w:p w14:paraId="1FF6BA0F" w14:textId="77777777" w:rsidR="002262F0" w:rsidRDefault="002262F0" w:rsidP="00E70FE7">
      <w:pPr>
        <w:autoSpaceDE w:val="0"/>
        <w:autoSpaceDN w:val="0"/>
        <w:adjustRightInd w:val="0"/>
        <w:spacing w:after="0" w:line="480" w:lineRule="auto"/>
        <w:ind w:firstLine="720"/>
        <w:rPr>
          <w:rFonts w:ascii="Garamond" w:hAnsi="Garamond"/>
          <w:sz w:val="24"/>
          <w:szCs w:val="24"/>
        </w:rPr>
        <w:sectPr w:rsidR="002262F0">
          <w:pgSz w:w="12240" w:h="15840"/>
          <w:pgMar w:top="1440" w:right="1440" w:bottom="1440" w:left="1440" w:header="720" w:footer="720" w:gutter="0"/>
          <w:cols w:space="720"/>
          <w:docGrid w:linePitch="360"/>
        </w:sectPr>
      </w:pPr>
    </w:p>
    <w:p w14:paraId="36959B1F" w14:textId="77777777" w:rsidR="00641B09" w:rsidRDefault="00641B09" w:rsidP="00E70FE7">
      <w:pPr>
        <w:autoSpaceDE w:val="0"/>
        <w:autoSpaceDN w:val="0"/>
        <w:adjustRightInd w:val="0"/>
        <w:spacing w:after="0" w:line="480" w:lineRule="auto"/>
        <w:ind w:firstLine="720"/>
        <w:rPr>
          <w:rFonts w:ascii="Garamond" w:hAnsi="Garamond"/>
          <w:sz w:val="24"/>
          <w:szCs w:val="24"/>
        </w:rPr>
      </w:pPr>
    </w:p>
    <w:p w14:paraId="7C11D9CA" w14:textId="493B54DE" w:rsidR="00641B09" w:rsidRDefault="00641B09" w:rsidP="00E70FE7">
      <w:pPr>
        <w:autoSpaceDE w:val="0"/>
        <w:autoSpaceDN w:val="0"/>
        <w:adjustRightInd w:val="0"/>
        <w:spacing w:after="0" w:line="480" w:lineRule="auto"/>
        <w:ind w:firstLine="720"/>
        <w:rPr>
          <w:rFonts w:ascii="Garamond" w:hAnsi="Garamond"/>
          <w:sz w:val="24"/>
          <w:szCs w:val="24"/>
        </w:rPr>
      </w:pPr>
    </w:p>
    <w:p w14:paraId="0433A27E" w14:textId="77777777" w:rsidR="00483A70" w:rsidRDefault="00483A70" w:rsidP="00E70FE7">
      <w:pPr>
        <w:autoSpaceDE w:val="0"/>
        <w:autoSpaceDN w:val="0"/>
        <w:adjustRightInd w:val="0"/>
        <w:spacing w:after="0" w:line="480" w:lineRule="auto"/>
        <w:ind w:firstLine="720"/>
        <w:rPr>
          <w:rFonts w:ascii="Garamond" w:hAnsi="Garamond"/>
          <w:sz w:val="24"/>
          <w:szCs w:val="24"/>
        </w:rPr>
      </w:pPr>
    </w:p>
    <w:p w14:paraId="22A543B4" w14:textId="246CC6C3" w:rsidR="001622B9" w:rsidRDefault="00542DFE" w:rsidP="00E70FE7">
      <w:pPr>
        <w:autoSpaceDE w:val="0"/>
        <w:autoSpaceDN w:val="0"/>
        <w:adjustRightInd w:val="0"/>
        <w:spacing w:after="0" w:line="480" w:lineRule="auto"/>
        <w:ind w:firstLine="720"/>
        <w:rPr>
          <w:rFonts w:ascii="Garamond" w:hAnsi="Garamond"/>
          <w:sz w:val="24"/>
          <w:szCs w:val="24"/>
        </w:rPr>
      </w:pPr>
      <w:r w:rsidRPr="00240F47">
        <w:rPr>
          <w:rFonts w:ascii="Garamond" w:hAnsi="Garamond"/>
          <w:sz w:val="24"/>
          <w:szCs w:val="24"/>
        </w:rPr>
        <w:lastRenderedPageBreak/>
        <w:t>In 2018</w:t>
      </w:r>
      <w:r w:rsidR="002B7571">
        <w:rPr>
          <w:rFonts w:ascii="Garamond" w:hAnsi="Garamond"/>
          <w:sz w:val="24"/>
          <w:szCs w:val="24"/>
        </w:rPr>
        <w:t>,</w:t>
      </w:r>
      <w:r w:rsidRPr="00240F47">
        <w:rPr>
          <w:rFonts w:ascii="Garamond" w:hAnsi="Garamond"/>
          <w:sz w:val="24"/>
          <w:szCs w:val="24"/>
        </w:rPr>
        <w:t xml:space="preserve"> Senator Lamar Alexander (R-TN) announced </w:t>
      </w:r>
      <w:r w:rsidR="009A5249">
        <w:rPr>
          <w:rFonts w:ascii="Garamond" w:hAnsi="Garamond"/>
          <w:sz w:val="24"/>
          <w:szCs w:val="24"/>
        </w:rPr>
        <w:t>his retirement</w:t>
      </w:r>
      <w:r w:rsidRPr="00240F47">
        <w:rPr>
          <w:rFonts w:ascii="Garamond" w:hAnsi="Garamond"/>
          <w:sz w:val="24"/>
          <w:szCs w:val="24"/>
        </w:rPr>
        <w:t xml:space="preserve"> from the Unite</w:t>
      </w:r>
      <w:r>
        <w:rPr>
          <w:rFonts w:ascii="Garamond" w:hAnsi="Garamond"/>
          <w:sz w:val="24"/>
          <w:szCs w:val="24"/>
        </w:rPr>
        <w:t>d</w:t>
      </w:r>
      <w:r w:rsidRPr="00240F47">
        <w:rPr>
          <w:rFonts w:ascii="Garamond" w:hAnsi="Garamond"/>
          <w:sz w:val="24"/>
          <w:szCs w:val="24"/>
        </w:rPr>
        <w:t xml:space="preserve"> States Senate. </w:t>
      </w:r>
      <w:r w:rsidR="002B7571">
        <w:rPr>
          <w:rFonts w:ascii="Garamond" w:hAnsi="Garamond"/>
          <w:sz w:val="24"/>
          <w:szCs w:val="24"/>
        </w:rPr>
        <w:t>F</w:t>
      </w:r>
      <w:r w:rsidRPr="00240F47">
        <w:rPr>
          <w:rFonts w:ascii="Garamond" w:hAnsi="Garamond"/>
          <w:sz w:val="24"/>
          <w:szCs w:val="24"/>
        </w:rPr>
        <w:t xml:space="preserve">ormer Senator Judd Gregg (R-NH) </w:t>
      </w:r>
      <w:r w:rsidR="006435D4">
        <w:rPr>
          <w:rFonts w:ascii="Garamond" w:hAnsi="Garamond"/>
          <w:sz w:val="24"/>
          <w:szCs w:val="24"/>
        </w:rPr>
        <w:t>had this to say about Alexander</w:t>
      </w:r>
      <w:r w:rsidR="008473AD">
        <w:rPr>
          <w:rFonts w:ascii="Garamond" w:hAnsi="Garamond"/>
          <w:sz w:val="24"/>
          <w:szCs w:val="24"/>
        </w:rPr>
        <w:t>:</w:t>
      </w:r>
      <w:r w:rsidRPr="00240F47">
        <w:rPr>
          <w:rFonts w:ascii="Garamond" w:hAnsi="Garamond"/>
          <w:sz w:val="24"/>
          <w:szCs w:val="24"/>
        </w:rPr>
        <w:t xml:space="preserve"> “Lamar is the opposite </w:t>
      </w:r>
      <w:r w:rsidR="008473AD">
        <w:rPr>
          <w:rFonts w:ascii="Garamond" w:hAnsi="Garamond"/>
          <w:sz w:val="24"/>
          <w:szCs w:val="24"/>
        </w:rPr>
        <w:t>[</w:t>
      </w:r>
      <w:r w:rsidRPr="00240F47">
        <w:rPr>
          <w:rFonts w:ascii="Garamond" w:hAnsi="Garamond"/>
          <w:sz w:val="24"/>
          <w:szCs w:val="24"/>
        </w:rPr>
        <w:t xml:space="preserve">of the party </w:t>
      </w:r>
      <w:r w:rsidR="008473AD">
        <w:rPr>
          <w:rFonts w:ascii="Garamond" w:hAnsi="Garamond"/>
          <w:sz w:val="24"/>
          <w:szCs w:val="24"/>
        </w:rPr>
        <w:t>extremists]</w:t>
      </w:r>
      <w:r w:rsidRPr="00240F47">
        <w:rPr>
          <w:rFonts w:ascii="Garamond" w:hAnsi="Garamond"/>
          <w:sz w:val="24"/>
          <w:szCs w:val="24"/>
        </w:rPr>
        <w:t>. He is a governing perso</w:t>
      </w:r>
      <w:r w:rsidR="00EC592C">
        <w:rPr>
          <w:rFonts w:ascii="Garamond" w:hAnsi="Garamond"/>
          <w:sz w:val="24"/>
          <w:szCs w:val="24"/>
        </w:rPr>
        <w:t>n. He’s in a difficult position</w:t>
      </w:r>
      <w:r w:rsidRPr="00240F47">
        <w:rPr>
          <w:rFonts w:ascii="Garamond" w:hAnsi="Garamond"/>
          <w:sz w:val="24"/>
          <w:szCs w:val="24"/>
        </w:rPr>
        <w:t>”</w:t>
      </w:r>
      <w:r w:rsidR="001E4E14">
        <w:rPr>
          <w:rFonts w:ascii="Garamond" w:hAnsi="Garamond"/>
          <w:sz w:val="24"/>
          <w:szCs w:val="24"/>
        </w:rPr>
        <w:t xml:space="preserve"> (Scott 2018)</w:t>
      </w:r>
      <w:r w:rsidR="00EC592C">
        <w:rPr>
          <w:rFonts w:ascii="Garamond" w:hAnsi="Garamond"/>
          <w:sz w:val="24"/>
          <w:szCs w:val="24"/>
        </w:rPr>
        <w:t>.</w:t>
      </w:r>
      <w:r w:rsidRPr="00240F47">
        <w:rPr>
          <w:rFonts w:ascii="Garamond" w:hAnsi="Garamond"/>
          <w:sz w:val="24"/>
          <w:szCs w:val="24"/>
        </w:rPr>
        <w:t xml:space="preserve"> Gregg noted Alexander </w:t>
      </w:r>
      <w:r w:rsidR="000F0681">
        <w:rPr>
          <w:rFonts w:ascii="Garamond" w:hAnsi="Garamond"/>
          <w:sz w:val="24"/>
          <w:szCs w:val="24"/>
        </w:rPr>
        <w:t>prioritized</w:t>
      </w:r>
      <w:r w:rsidRPr="00240F47">
        <w:rPr>
          <w:rFonts w:ascii="Garamond" w:hAnsi="Garamond"/>
          <w:sz w:val="24"/>
          <w:szCs w:val="24"/>
        </w:rPr>
        <w:t xml:space="preserve"> </w:t>
      </w:r>
      <w:r w:rsidR="00B54B4A">
        <w:rPr>
          <w:rFonts w:ascii="Garamond" w:hAnsi="Garamond"/>
          <w:sz w:val="24"/>
          <w:szCs w:val="24"/>
        </w:rPr>
        <w:t>making sure programs were reauthorized, funded</w:t>
      </w:r>
      <w:r w:rsidR="009A5249">
        <w:rPr>
          <w:rFonts w:ascii="Garamond" w:hAnsi="Garamond"/>
          <w:sz w:val="24"/>
          <w:szCs w:val="24"/>
        </w:rPr>
        <w:t>,</w:t>
      </w:r>
      <w:r w:rsidR="00B54B4A">
        <w:rPr>
          <w:rFonts w:ascii="Garamond" w:hAnsi="Garamond"/>
          <w:sz w:val="24"/>
          <w:szCs w:val="24"/>
        </w:rPr>
        <w:t xml:space="preserve"> and effective</w:t>
      </w:r>
      <w:r>
        <w:rPr>
          <w:rFonts w:ascii="Garamond" w:hAnsi="Garamond"/>
          <w:sz w:val="24"/>
          <w:szCs w:val="24"/>
        </w:rPr>
        <w:t xml:space="preserve">, </w:t>
      </w:r>
      <w:r w:rsidR="009C4D53">
        <w:rPr>
          <w:rFonts w:ascii="Garamond" w:hAnsi="Garamond"/>
          <w:sz w:val="24"/>
          <w:szCs w:val="24"/>
        </w:rPr>
        <w:t xml:space="preserve">implicitly </w:t>
      </w:r>
      <w:r>
        <w:rPr>
          <w:rFonts w:ascii="Garamond" w:hAnsi="Garamond"/>
          <w:sz w:val="24"/>
          <w:szCs w:val="24"/>
        </w:rPr>
        <w:t xml:space="preserve">contrasting Alexander with </w:t>
      </w:r>
      <w:r w:rsidR="000F0681">
        <w:rPr>
          <w:rFonts w:ascii="Garamond" w:hAnsi="Garamond"/>
          <w:sz w:val="24"/>
          <w:szCs w:val="24"/>
        </w:rPr>
        <w:t>other</w:t>
      </w:r>
      <w:r w:rsidR="00C80415">
        <w:rPr>
          <w:rFonts w:ascii="Garamond" w:hAnsi="Garamond"/>
          <w:sz w:val="24"/>
          <w:szCs w:val="24"/>
        </w:rPr>
        <w:t xml:space="preserve"> </w:t>
      </w:r>
      <w:r w:rsidR="009C4D53">
        <w:rPr>
          <w:rFonts w:ascii="Garamond" w:hAnsi="Garamond"/>
          <w:sz w:val="24"/>
          <w:szCs w:val="24"/>
        </w:rPr>
        <w:t xml:space="preserve">Republican </w:t>
      </w:r>
      <w:r w:rsidR="000F0681">
        <w:rPr>
          <w:rFonts w:ascii="Garamond" w:hAnsi="Garamond"/>
          <w:sz w:val="24"/>
          <w:szCs w:val="24"/>
        </w:rPr>
        <w:t>senators</w:t>
      </w:r>
      <w:r>
        <w:rPr>
          <w:rFonts w:ascii="Garamond" w:hAnsi="Garamond"/>
          <w:sz w:val="24"/>
          <w:szCs w:val="24"/>
        </w:rPr>
        <w:t xml:space="preserve"> </w:t>
      </w:r>
      <w:r w:rsidR="00FF6D0D">
        <w:rPr>
          <w:rFonts w:ascii="Garamond" w:hAnsi="Garamond"/>
          <w:sz w:val="24"/>
          <w:szCs w:val="24"/>
        </w:rPr>
        <w:t xml:space="preserve">who neglected governing or </w:t>
      </w:r>
      <w:r w:rsidR="007872E9">
        <w:rPr>
          <w:rFonts w:ascii="Garamond" w:hAnsi="Garamond"/>
          <w:sz w:val="24"/>
          <w:szCs w:val="24"/>
        </w:rPr>
        <w:t>attempted</w:t>
      </w:r>
      <w:r w:rsidR="00FF6D0D">
        <w:rPr>
          <w:rFonts w:ascii="Garamond" w:hAnsi="Garamond"/>
          <w:sz w:val="24"/>
          <w:szCs w:val="24"/>
        </w:rPr>
        <w:t xml:space="preserve"> to </w:t>
      </w:r>
      <w:r w:rsidR="00FF6D0D" w:rsidRPr="00631510">
        <w:rPr>
          <w:rFonts w:ascii="Garamond" w:hAnsi="Garamond"/>
          <w:i/>
          <w:sz w:val="24"/>
          <w:szCs w:val="24"/>
        </w:rPr>
        <w:t>disrupt</w:t>
      </w:r>
      <w:r w:rsidR="00FF6D0D">
        <w:rPr>
          <w:rFonts w:ascii="Garamond" w:hAnsi="Garamond"/>
          <w:sz w:val="24"/>
          <w:szCs w:val="24"/>
        </w:rPr>
        <w:t xml:space="preserve"> </w:t>
      </w:r>
      <w:r w:rsidR="009A5249">
        <w:rPr>
          <w:rFonts w:ascii="Garamond" w:hAnsi="Garamond"/>
          <w:sz w:val="24"/>
          <w:szCs w:val="24"/>
        </w:rPr>
        <w:t xml:space="preserve">the </w:t>
      </w:r>
      <w:r w:rsidR="00FF6D0D">
        <w:rPr>
          <w:rFonts w:ascii="Garamond" w:hAnsi="Garamond"/>
          <w:sz w:val="24"/>
          <w:szCs w:val="24"/>
        </w:rPr>
        <w:t xml:space="preserve">effective </w:t>
      </w:r>
      <w:r w:rsidR="00B54B4A">
        <w:rPr>
          <w:rFonts w:ascii="Garamond" w:hAnsi="Garamond"/>
          <w:sz w:val="24"/>
          <w:szCs w:val="24"/>
        </w:rPr>
        <w:t xml:space="preserve">working of </w:t>
      </w:r>
      <w:r w:rsidR="000F0681">
        <w:rPr>
          <w:rFonts w:ascii="Garamond" w:hAnsi="Garamond"/>
          <w:sz w:val="24"/>
          <w:szCs w:val="24"/>
        </w:rPr>
        <w:t>federal</w:t>
      </w:r>
      <w:r w:rsidR="00B54B4A">
        <w:rPr>
          <w:rFonts w:ascii="Garamond" w:hAnsi="Garamond"/>
          <w:sz w:val="24"/>
          <w:szCs w:val="24"/>
        </w:rPr>
        <w:t xml:space="preserve"> agencies</w:t>
      </w:r>
      <w:r w:rsidR="00FF6D0D">
        <w:rPr>
          <w:rFonts w:ascii="Garamond" w:hAnsi="Garamond"/>
          <w:sz w:val="24"/>
          <w:szCs w:val="24"/>
        </w:rPr>
        <w:t xml:space="preserve">. </w:t>
      </w:r>
      <w:r w:rsidR="00BD2CD3">
        <w:rPr>
          <w:rFonts w:ascii="Garamond" w:hAnsi="Garamond"/>
          <w:sz w:val="24"/>
          <w:szCs w:val="24"/>
        </w:rPr>
        <w:t>The contrast</w:t>
      </w:r>
      <w:r w:rsidR="008473AD">
        <w:rPr>
          <w:rFonts w:ascii="Garamond" w:hAnsi="Garamond"/>
          <w:sz w:val="24"/>
          <w:szCs w:val="24"/>
        </w:rPr>
        <w:t xml:space="preserve"> Gregg drew</w:t>
      </w:r>
      <w:r w:rsidR="00BD2CD3">
        <w:rPr>
          <w:rFonts w:ascii="Garamond" w:hAnsi="Garamond"/>
          <w:sz w:val="24"/>
          <w:szCs w:val="24"/>
        </w:rPr>
        <w:t xml:space="preserve"> between Alexander and </w:t>
      </w:r>
      <w:r w:rsidR="00423338">
        <w:rPr>
          <w:rFonts w:ascii="Garamond" w:hAnsi="Garamond"/>
          <w:sz w:val="24"/>
          <w:szCs w:val="24"/>
        </w:rPr>
        <w:t>other</w:t>
      </w:r>
      <w:r w:rsidR="00BD2CD3">
        <w:rPr>
          <w:rFonts w:ascii="Garamond" w:hAnsi="Garamond"/>
          <w:sz w:val="24"/>
          <w:szCs w:val="24"/>
        </w:rPr>
        <w:t xml:space="preserve"> Republican</w:t>
      </w:r>
      <w:r w:rsidR="009A5249">
        <w:rPr>
          <w:rFonts w:ascii="Garamond" w:hAnsi="Garamond"/>
          <w:sz w:val="24"/>
          <w:szCs w:val="24"/>
        </w:rPr>
        <w:t xml:space="preserve">s </w:t>
      </w:r>
      <w:r w:rsidR="00631510">
        <w:rPr>
          <w:rFonts w:ascii="Garamond" w:hAnsi="Garamond"/>
          <w:sz w:val="24"/>
          <w:szCs w:val="24"/>
        </w:rPr>
        <w:t>raises the question of how partisanship influences</w:t>
      </w:r>
      <w:r w:rsidR="008D1D8B">
        <w:rPr>
          <w:rFonts w:ascii="Garamond" w:hAnsi="Garamond"/>
          <w:sz w:val="24"/>
          <w:szCs w:val="24"/>
        </w:rPr>
        <w:t xml:space="preserve"> </w:t>
      </w:r>
      <w:r w:rsidR="00631510">
        <w:rPr>
          <w:rFonts w:ascii="Garamond" w:hAnsi="Garamond"/>
          <w:sz w:val="24"/>
          <w:szCs w:val="24"/>
        </w:rPr>
        <w:t>legislative</w:t>
      </w:r>
      <w:r w:rsidR="00C80415">
        <w:rPr>
          <w:rFonts w:ascii="Garamond" w:hAnsi="Garamond"/>
          <w:sz w:val="24"/>
          <w:szCs w:val="24"/>
        </w:rPr>
        <w:t xml:space="preserve"> support for the</w:t>
      </w:r>
      <w:r w:rsidR="00631510">
        <w:rPr>
          <w:rFonts w:ascii="Garamond" w:hAnsi="Garamond"/>
          <w:sz w:val="24"/>
          <w:szCs w:val="24"/>
        </w:rPr>
        <w:t xml:space="preserve"> administrative state</w:t>
      </w:r>
      <w:r w:rsidR="00547B0B">
        <w:rPr>
          <w:rFonts w:ascii="Garamond" w:hAnsi="Garamond"/>
          <w:sz w:val="24"/>
          <w:szCs w:val="24"/>
        </w:rPr>
        <w:t>—the agencies, people, and processes of the executive branch.</w:t>
      </w:r>
    </w:p>
    <w:p w14:paraId="38DD20A3" w14:textId="691A85E9" w:rsidR="00542DFE" w:rsidRDefault="00F343BB" w:rsidP="00D1181F">
      <w:pPr>
        <w:autoSpaceDE w:val="0"/>
        <w:autoSpaceDN w:val="0"/>
        <w:adjustRightInd w:val="0"/>
        <w:spacing w:after="0" w:line="480" w:lineRule="auto"/>
        <w:ind w:firstLine="720"/>
        <w:rPr>
          <w:rFonts w:ascii="Garamond" w:hAnsi="Garamond"/>
          <w:sz w:val="24"/>
          <w:szCs w:val="24"/>
        </w:rPr>
      </w:pPr>
      <w:r>
        <w:rPr>
          <w:rFonts w:ascii="Garamond" w:hAnsi="Garamond"/>
          <w:sz w:val="24"/>
          <w:szCs w:val="24"/>
        </w:rPr>
        <w:t xml:space="preserve">Scholars </w:t>
      </w:r>
      <w:r w:rsidR="006435D4">
        <w:rPr>
          <w:rFonts w:ascii="Garamond" w:hAnsi="Garamond"/>
          <w:sz w:val="24"/>
          <w:szCs w:val="24"/>
        </w:rPr>
        <w:t xml:space="preserve">have </w:t>
      </w:r>
      <w:r>
        <w:rPr>
          <w:rFonts w:ascii="Garamond" w:hAnsi="Garamond"/>
          <w:sz w:val="24"/>
          <w:szCs w:val="24"/>
        </w:rPr>
        <w:t>document</w:t>
      </w:r>
      <w:r w:rsidR="006435D4">
        <w:rPr>
          <w:rFonts w:ascii="Garamond" w:hAnsi="Garamond"/>
          <w:sz w:val="24"/>
          <w:szCs w:val="24"/>
        </w:rPr>
        <w:t>ed</w:t>
      </w:r>
      <w:r w:rsidR="00631510">
        <w:rPr>
          <w:rFonts w:ascii="Garamond" w:hAnsi="Garamond"/>
          <w:sz w:val="24"/>
          <w:szCs w:val="24"/>
        </w:rPr>
        <w:t xml:space="preserve"> an increasing unease among Republicans with the administrative state</w:t>
      </w:r>
      <w:r w:rsidR="004F767C">
        <w:rPr>
          <w:rFonts w:ascii="Garamond" w:hAnsi="Garamond"/>
          <w:sz w:val="24"/>
          <w:szCs w:val="24"/>
        </w:rPr>
        <w:t xml:space="preserve"> (Teles 2008)</w:t>
      </w:r>
      <w:r w:rsidR="00631510">
        <w:rPr>
          <w:rFonts w:ascii="Garamond" w:hAnsi="Garamond"/>
          <w:sz w:val="24"/>
          <w:szCs w:val="24"/>
        </w:rPr>
        <w:t xml:space="preserve">. </w:t>
      </w:r>
      <w:r w:rsidR="00BC70CF" w:rsidRPr="00240F47">
        <w:rPr>
          <w:rFonts w:ascii="Garamond" w:hAnsi="Garamond"/>
          <w:sz w:val="24"/>
          <w:szCs w:val="24"/>
        </w:rPr>
        <w:t>Conservatives, at least since the 1970s, have expressed concerns about administrative policymaking, specifically government regulations</w:t>
      </w:r>
      <w:r w:rsidR="004F767C">
        <w:rPr>
          <w:rFonts w:ascii="Garamond" w:hAnsi="Garamond"/>
          <w:sz w:val="24"/>
          <w:szCs w:val="24"/>
        </w:rPr>
        <w:t xml:space="preserve"> (</w:t>
      </w:r>
      <w:r w:rsidR="00423338">
        <w:rPr>
          <w:rFonts w:ascii="Garamond" w:hAnsi="Garamond"/>
          <w:sz w:val="24"/>
          <w:szCs w:val="24"/>
        </w:rPr>
        <w:t xml:space="preserve">see, e.g., </w:t>
      </w:r>
      <w:r w:rsidR="004F767C">
        <w:rPr>
          <w:rFonts w:ascii="Garamond" w:hAnsi="Garamond"/>
          <w:sz w:val="24"/>
          <w:szCs w:val="24"/>
        </w:rPr>
        <w:t>Lowi 1979)</w:t>
      </w:r>
      <w:r w:rsidR="00BC70CF" w:rsidRPr="00240F47">
        <w:rPr>
          <w:rFonts w:ascii="Garamond" w:hAnsi="Garamond"/>
          <w:sz w:val="24"/>
          <w:szCs w:val="24"/>
        </w:rPr>
        <w:t xml:space="preserve">. In this view, bureaucrats empowered with vague statutory mandates from Congress </w:t>
      </w:r>
      <w:r w:rsidR="006241AD">
        <w:rPr>
          <w:rFonts w:ascii="Garamond" w:hAnsi="Garamond"/>
          <w:sz w:val="24"/>
          <w:szCs w:val="24"/>
        </w:rPr>
        <w:t>promulgate</w:t>
      </w:r>
      <w:r w:rsidR="00BC70CF" w:rsidRPr="00240F47">
        <w:rPr>
          <w:rFonts w:ascii="Garamond" w:hAnsi="Garamond"/>
          <w:sz w:val="24"/>
          <w:szCs w:val="24"/>
        </w:rPr>
        <w:t xml:space="preserve"> rules </w:t>
      </w:r>
      <w:r w:rsidR="006241AD">
        <w:rPr>
          <w:rFonts w:ascii="Garamond" w:hAnsi="Garamond"/>
          <w:sz w:val="24"/>
          <w:szCs w:val="24"/>
        </w:rPr>
        <w:t>infringing</w:t>
      </w:r>
      <w:r w:rsidR="00BC70CF" w:rsidRPr="00240F47">
        <w:rPr>
          <w:rFonts w:ascii="Garamond" w:hAnsi="Garamond"/>
          <w:sz w:val="24"/>
          <w:szCs w:val="24"/>
        </w:rPr>
        <w:t xml:space="preserve"> on the rights of individuals and groups in violation of the Constitution and good policy. In addition, many administrative agencies exercise </w:t>
      </w:r>
      <w:r w:rsidR="006C1A05">
        <w:rPr>
          <w:rFonts w:ascii="Garamond" w:hAnsi="Garamond"/>
          <w:sz w:val="24"/>
          <w:szCs w:val="24"/>
        </w:rPr>
        <w:t>a</w:t>
      </w:r>
      <w:r w:rsidR="00BC70CF" w:rsidRPr="00240F47">
        <w:rPr>
          <w:rFonts w:ascii="Garamond" w:hAnsi="Garamond"/>
          <w:sz w:val="24"/>
          <w:szCs w:val="24"/>
        </w:rPr>
        <w:t xml:space="preserve"> combination of legislative and judicial powers</w:t>
      </w:r>
      <w:r w:rsidR="00821C54">
        <w:rPr>
          <w:rFonts w:ascii="Garamond" w:hAnsi="Garamond"/>
          <w:sz w:val="24"/>
          <w:szCs w:val="24"/>
        </w:rPr>
        <w:t>, which raises</w:t>
      </w:r>
      <w:r w:rsidR="005761EC">
        <w:rPr>
          <w:rFonts w:ascii="Garamond" w:hAnsi="Garamond"/>
          <w:sz w:val="24"/>
          <w:szCs w:val="24"/>
        </w:rPr>
        <w:t xml:space="preserve"> </w:t>
      </w:r>
      <w:r w:rsidR="00BC70CF" w:rsidRPr="00240F47">
        <w:rPr>
          <w:rFonts w:ascii="Garamond" w:hAnsi="Garamond"/>
          <w:sz w:val="24"/>
          <w:szCs w:val="24"/>
        </w:rPr>
        <w:t>concerns under a strict vision of separation of powers</w:t>
      </w:r>
      <w:r w:rsidR="0053345B">
        <w:rPr>
          <w:rFonts w:ascii="Garamond" w:hAnsi="Garamond"/>
          <w:sz w:val="24"/>
          <w:szCs w:val="24"/>
        </w:rPr>
        <w:t xml:space="preserve"> (Skowronek et al. 2021)</w:t>
      </w:r>
      <w:r w:rsidR="00BC70CF" w:rsidRPr="00240F47">
        <w:rPr>
          <w:rFonts w:ascii="Garamond" w:hAnsi="Garamond"/>
          <w:sz w:val="24"/>
          <w:szCs w:val="24"/>
        </w:rPr>
        <w:t>. Along with legal concerns, conservatives prefer (and believe the Constitution imagines) a smaller</w:t>
      </w:r>
      <w:r w:rsidR="006C1A05">
        <w:rPr>
          <w:rFonts w:ascii="Garamond" w:hAnsi="Garamond"/>
          <w:sz w:val="24"/>
          <w:szCs w:val="24"/>
        </w:rPr>
        <w:t xml:space="preserve">, </w:t>
      </w:r>
      <w:r w:rsidR="00BC70CF" w:rsidRPr="00240F47">
        <w:rPr>
          <w:rFonts w:ascii="Garamond" w:hAnsi="Garamond"/>
          <w:sz w:val="24"/>
          <w:szCs w:val="24"/>
        </w:rPr>
        <w:t>more limited national government</w:t>
      </w:r>
      <w:r w:rsidR="009031A8">
        <w:rPr>
          <w:rFonts w:ascii="Garamond" w:hAnsi="Garamond"/>
          <w:sz w:val="24"/>
          <w:szCs w:val="24"/>
        </w:rPr>
        <w:t>.</w:t>
      </w:r>
      <w:r w:rsidR="00BC70CF" w:rsidRPr="00240F47">
        <w:rPr>
          <w:rFonts w:ascii="Garamond" w:hAnsi="Garamond"/>
          <w:sz w:val="24"/>
          <w:szCs w:val="24"/>
        </w:rPr>
        <w:t xml:space="preserve"> </w:t>
      </w:r>
      <w:r w:rsidR="009354C0">
        <w:rPr>
          <w:rFonts w:ascii="Garamond" w:hAnsi="Garamond"/>
          <w:sz w:val="24"/>
          <w:szCs w:val="24"/>
        </w:rPr>
        <w:t xml:space="preserve">At the same time, </w:t>
      </w:r>
      <w:r w:rsidR="009031A8">
        <w:rPr>
          <w:rFonts w:ascii="Garamond" w:hAnsi="Garamond"/>
          <w:sz w:val="24"/>
          <w:szCs w:val="24"/>
        </w:rPr>
        <w:t xml:space="preserve">however, </w:t>
      </w:r>
      <w:r w:rsidR="009354C0">
        <w:rPr>
          <w:rFonts w:ascii="Garamond" w:hAnsi="Garamond"/>
          <w:sz w:val="24"/>
          <w:szCs w:val="24"/>
        </w:rPr>
        <w:t xml:space="preserve">scholars highlight </w:t>
      </w:r>
      <w:r w:rsidR="00697F2E">
        <w:rPr>
          <w:rFonts w:ascii="Garamond" w:hAnsi="Garamond"/>
          <w:sz w:val="24"/>
          <w:szCs w:val="24"/>
        </w:rPr>
        <w:t>that</w:t>
      </w:r>
      <w:r w:rsidR="009354C0">
        <w:rPr>
          <w:rFonts w:ascii="Garamond" w:hAnsi="Garamond"/>
          <w:sz w:val="24"/>
          <w:szCs w:val="24"/>
        </w:rPr>
        <w:t xml:space="preserve"> </w:t>
      </w:r>
      <w:r w:rsidR="006C1A05">
        <w:rPr>
          <w:rFonts w:ascii="Garamond" w:hAnsi="Garamond"/>
          <w:sz w:val="24"/>
          <w:szCs w:val="24"/>
        </w:rPr>
        <w:t>most</w:t>
      </w:r>
      <w:r w:rsidR="009354C0">
        <w:rPr>
          <w:rFonts w:ascii="Garamond" w:hAnsi="Garamond"/>
          <w:sz w:val="24"/>
          <w:szCs w:val="24"/>
        </w:rPr>
        <w:t xml:space="preserve"> government programs are popular with the American public, particularly those that distribute </w:t>
      </w:r>
      <w:r w:rsidR="009C4D53">
        <w:rPr>
          <w:rFonts w:ascii="Garamond" w:hAnsi="Garamond"/>
          <w:sz w:val="24"/>
          <w:szCs w:val="24"/>
        </w:rPr>
        <w:t>benefits to key constituencies</w:t>
      </w:r>
      <w:r w:rsidR="001E4E14">
        <w:rPr>
          <w:rFonts w:ascii="Garamond" w:hAnsi="Garamond"/>
          <w:sz w:val="24"/>
          <w:szCs w:val="24"/>
        </w:rPr>
        <w:t xml:space="preserve"> (</w:t>
      </w:r>
      <w:r w:rsidR="00E578D3">
        <w:rPr>
          <w:rFonts w:ascii="Garamond" w:hAnsi="Garamond"/>
          <w:sz w:val="24"/>
          <w:szCs w:val="24"/>
        </w:rPr>
        <w:t xml:space="preserve">see, e.g., Fiorina 1977; </w:t>
      </w:r>
      <w:r w:rsidR="001E4E14">
        <w:rPr>
          <w:rFonts w:ascii="Garamond" w:hAnsi="Garamond"/>
          <w:sz w:val="24"/>
          <w:szCs w:val="24"/>
        </w:rPr>
        <w:t>Gramlich 2017)</w:t>
      </w:r>
      <w:r w:rsidR="009031A8" w:rsidRPr="00240F47">
        <w:rPr>
          <w:rFonts w:ascii="Garamond" w:hAnsi="Garamond"/>
          <w:sz w:val="24"/>
          <w:szCs w:val="24"/>
        </w:rPr>
        <w:t>.</w:t>
      </w:r>
      <w:r w:rsidR="00697F2E">
        <w:rPr>
          <w:rFonts w:ascii="Garamond" w:hAnsi="Garamond"/>
          <w:sz w:val="24"/>
          <w:szCs w:val="24"/>
        </w:rPr>
        <w:t xml:space="preserve"> </w:t>
      </w:r>
      <w:r w:rsidR="001E4E14">
        <w:rPr>
          <w:rFonts w:ascii="Garamond" w:hAnsi="Garamond"/>
          <w:sz w:val="24"/>
          <w:szCs w:val="24"/>
        </w:rPr>
        <w:t xml:space="preserve">This should </w:t>
      </w:r>
      <w:r w:rsidR="006241AD">
        <w:rPr>
          <w:rFonts w:ascii="Garamond" w:hAnsi="Garamond"/>
          <w:sz w:val="24"/>
          <w:szCs w:val="24"/>
        </w:rPr>
        <w:t>motivate</w:t>
      </w:r>
      <w:r w:rsidR="001E4E14">
        <w:rPr>
          <w:rFonts w:ascii="Garamond" w:hAnsi="Garamond"/>
          <w:sz w:val="24"/>
          <w:szCs w:val="24"/>
        </w:rPr>
        <w:t xml:space="preserve"> legislators </w:t>
      </w:r>
      <w:r w:rsidR="006241AD">
        <w:rPr>
          <w:rFonts w:ascii="Garamond" w:hAnsi="Garamond"/>
          <w:sz w:val="24"/>
          <w:szCs w:val="24"/>
        </w:rPr>
        <w:t>to ensure</w:t>
      </w:r>
      <w:r w:rsidR="00697F2E" w:rsidRPr="00240F47">
        <w:rPr>
          <w:rFonts w:ascii="Garamond" w:hAnsi="Garamond"/>
          <w:sz w:val="24"/>
          <w:szCs w:val="24"/>
        </w:rPr>
        <w:t xml:space="preserve"> these programs </w:t>
      </w:r>
      <w:r w:rsidR="006241AD">
        <w:rPr>
          <w:rFonts w:ascii="Garamond" w:hAnsi="Garamond"/>
          <w:sz w:val="24"/>
          <w:szCs w:val="24"/>
        </w:rPr>
        <w:t>are</w:t>
      </w:r>
      <w:r w:rsidR="00697F2E" w:rsidRPr="00240F47">
        <w:rPr>
          <w:rFonts w:ascii="Garamond" w:hAnsi="Garamond"/>
          <w:sz w:val="24"/>
          <w:szCs w:val="24"/>
        </w:rPr>
        <w:t xml:space="preserve"> effective.</w:t>
      </w:r>
      <w:r w:rsidR="00451707">
        <w:rPr>
          <w:rFonts w:ascii="Garamond" w:hAnsi="Garamond"/>
          <w:sz w:val="24"/>
          <w:szCs w:val="24"/>
        </w:rPr>
        <w:t xml:space="preserve"> I</w:t>
      </w:r>
      <w:r w:rsidR="008113CA">
        <w:rPr>
          <w:rFonts w:ascii="Garamond" w:hAnsi="Garamond"/>
          <w:sz w:val="24"/>
          <w:szCs w:val="24"/>
        </w:rPr>
        <w:t xml:space="preserve">t has been hard to </w:t>
      </w:r>
      <w:r w:rsidR="00821C54">
        <w:rPr>
          <w:rFonts w:ascii="Garamond" w:hAnsi="Garamond"/>
          <w:sz w:val="24"/>
          <w:szCs w:val="24"/>
        </w:rPr>
        <w:t>empirically assess</w:t>
      </w:r>
      <w:r w:rsidR="008113CA">
        <w:rPr>
          <w:rFonts w:ascii="Garamond" w:hAnsi="Garamond"/>
          <w:sz w:val="24"/>
          <w:szCs w:val="24"/>
        </w:rPr>
        <w:t xml:space="preserve"> </w:t>
      </w:r>
      <w:r w:rsidR="00451707">
        <w:rPr>
          <w:rFonts w:ascii="Garamond" w:hAnsi="Garamond"/>
          <w:sz w:val="24"/>
          <w:szCs w:val="24"/>
        </w:rPr>
        <w:t xml:space="preserve">how partisanship influences </w:t>
      </w:r>
      <w:r w:rsidR="008113CA">
        <w:rPr>
          <w:rFonts w:ascii="Garamond" w:hAnsi="Garamond"/>
          <w:sz w:val="24"/>
          <w:szCs w:val="24"/>
        </w:rPr>
        <w:t xml:space="preserve">support </w:t>
      </w:r>
      <w:r w:rsidR="00451707">
        <w:rPr>
          <w:rFonts w:ascii="Garamond" w:hAnsi="Garamond"/>
          <w:sz w:val="24"/>
          <w:szCs w:val="24"/>
        </w:rPr>
        <w:t xml:space="preserve">for </w:t>
      </w:r>
      <w:r w:rsidR="008113CA">
        <w:rPr>
          <w:rFonts w:ascii="Garamond" w:hAnsi="Garamond"/>
          <w:sz w:val="24"/>
          <w:szCs w:val="24"/>
        </w:rPr>
        <w:t xml:space="preserve">the administrative state </w:t>
      </w:r>
      <w:r w:rsidR="00A840F0">
        <w:rPr>
          <w:rFonts w:ascii="Garamond" w:hAnsi="Garamond"/>
          <w:sz w:val="24"/>
          <w:szCs w:val="24"/>
        </w:rPr>
        <w:t>since</w:t>
      </w:r>
      <w:r w:rsidR="008113CA">
        <w:rPr>
          <w:rFonts w:ascii="Garamond" w:hAnsi="Garamond"/>
          <w:sz w:val="24"/>
          <w:szCs w:val="24"/>
        </w:rPr>
        <w:t xml:space="preserve"> </w:t>
      </w:r>
      <w:r w:rsidR="00A840F0">
        <w:rPr>
          <w:rFonts w:ascii="Garamond" w:hAnsi="Garamond"/>
          <w:sz w:val="24"/>
          <w:szCs w:val="24"/>
        </w:rPr>
        <w:t>this</w:t>
      </w:r>
      <w:r w:rsidR="008113CA">
        <w:rPr>
          <w:rFonts w:ascii="Garamond" w:hAnsi="Garamond"/>
          <w:sz w:val="24"/>
          <w:szCs w:val="24"/>
        </w:rPr>
        <w:t xml:space="preserve"> </w:t>
      </w:r>
      <w:r w:rsidR="00451707">
        <w:rPr>
          <w:rFonts w:ascii="Garamond" w:hAnsi="Garamond"/>
          <w:sz w:val="24"/>
          <w:szCs w:val="24"/>
        </w:rPr>
        <w:t xml:space="preserve">kind of </w:t>
      </w:r>
      <w:r w:rsidR="0053345B">
        <w:rPr>
          <w:rFonts w:ascii="Garamond" w:hAnsi="Garamond"/>
          <w:sz w:val="24"/>
          <w:szCs w:val="24"/>
        </w:rPr>
        <w:t>support</w:t>
      </w:r>
      <w:r w:rsidR="008113CA">
        <w:rPr>
          <w:rFonts w:ascii="Garamond" w:hAnsi="Garamond"/>
          <w:sz w:val="24"/>
          <w:szCs w:val="24"/>
        </w:rPr>
        <w:t xml:space="preserve"> is hard to observe</w:t>
      </w:r>
      <w:r w:rsidR="00EC592C">
        <w:rPr>
          <w:rFonts w:ascii="Garamond" w:hAnsi="Garamond"/>
          <w:sz w:val="24"/>
          <w:szCs w:val="24"/>
        </w:rPr>
        <w:t xml:space="preserve"> (</w:t>
      </w:r>
      <w:r w:rsidR="00EA64CB">
        <w:rPr>
          <w:rFonts w:ascii="Garamond" w:hAnsi="Garamond"/>
          <w:sz w:val="24"/>
          <w:szCs w:val="24"/>
        </w:rPr>
        <w:t xml:space="preserve">see, e.g., </w:t>
      </w:r>
      <w:r w:rsidR="00EC592C">
        <w:rPr>
          <w:rFonts w:ascii="Garamond" w:hAnsi="Garamond"/>
          <w:sz w:val="24"/>
          <w:szCs w:val="24"/>
        </w:rPr>
        <w:t xml:space="preserve">Aberbach 1990; </w:t>
      </w:r>
      <w:r w:rsidR="00EA64CB">
        <w:rPr>
          <w:rFonts w:ascii="Garamond" w:hAnsi="Garamond"/>
          <w:sz w:val="24"/>
          <w:szCs w:val="24"/>
        </w:rPr>
        <w:t>Zegart 2011</w:t>
      </w:r>
      <w:r w:rsidR="00EC592C">
        <w:rPr>
          <w:rFonts w:ascii="Garamond" w:hAnsi="Garamond"/>
          <w:sz w:val="24"/>
          <w:szCs w:val="24"/>
        </w:rPr>
        <w:t>)</w:t>
      </w:r>
      <w:r w:rsidR="008113CA">
        <w:rPr>
          <w:rFonts w:ascii="Garamond" w:hAnsi="Garamond"/>
          <w:sz w:val="24"/>
          <w:szCs w:val="24"/>
        </w:rPr>
        <w:t xml:space="preserve">. While supportive oversight includes legislators’ public activities like </w:t>
      </w:r>
      <w:r w:rsidR="006C1A05">
        <w:rPr>
          <w:rFonts w:ascii="Garamond" w:hAnsi="Garamond"/>
          <w:sz w:val="24"/>
          <w:szCs w:val="24"/>
        </w:rPr>
        <w:t>committee</w:t>
      </w:r>
      <w:r w:rsidR="008113CA">
        <w:rPr>
          <w:rFonts w:ascii="Garamond" w:hAnsi="Garamond"/>
          <w:sz w:val="24"/>
          <w:szCs w:val="24"/>
        </w:rPr>
        <w:t xml:space="preserve"> hearings, it also encompasses considerable private action by members and staff including reading materials, holding meetings, making telephone calls, and conducting site visits</w:t>
      </w:r>
      <w:r w:rsidR="00A840F0">
        <w:rPr>
          <w:rFonts w:ascii="Garamond" w:hAnsi="Garamond"/>
          <w:sz w:val="24"/>
          <w:szCs w:val="24"/>
        </w:rPr>
        <w:t>.</w:t>
      </w:r>
    </w:p>
    <w:p w14:paraId="1639E58F" w14:textId="0510D25F" w:rsidR="00A840F0" w:rsidRDefault="00A840F0" w:rsidP="00D1181F">
      <w:pPr>
        <w:spacing w:after="0" w:line="480" w:lineRule="auto"/>
        <w:ind w:firstLine="720"/>
        <w:rPr>
          <w:rFonts w:ascii="Garamond" w:hAnsi="Garamond"/>
          <w:sz w:val="24"/>
          <w:szCs w:val="24"/>
        </w:rPr>
      </w:pPr>
      <w:r>
        <w:rPr>
          <w:rFonts w:ascii="Garamond" w:hAnsi="Garamond" w:cs="Times New Roman"/>
          <w:sz w:val="24"/>
          <w:szCs w:val="24"/>
        </w:rPr>
        <w:lastRenderedPageBreak/>
        <w:t xml:space="preserve">In this paper, we </w:t>
      </w:r>
      <w:r w:rsidR="00802CA6">
        <w:rPr>
          <w:rFonts w:ascii="Garamond" w:hAnsi="Garamond" w:cs="Times New Roman"/>
          <w:sz w:val="24"/>
          <w:szCs w:val="24"/>
        </w:rPr>
        <w:t>assess</w:t>
      </w:r>
      <w:r>
        <w:rPr>
          <w:rFonts w:ascii="Garamond" w:hAnsi="Garamond" w:cs="Times New Roman"/>
          <w:sz w:val="24"/>
          <w:szCs w:val="24"/>
        </w:rPr>
        <w:t xml:space="preserve"> how </w:t>
      </w:r>
      <w:r w:rsidR="0053345B">
        <w:rPr>
          <w:rFonts w:ascii="Garamond" w:hAnsi="Garamond" w:cs="Times New Roman"/>
          <w:sz w:val="24"/>
          <w:szCs w:val="24"/>
        </w:rPr>
        <w:t>partisanship</w:t>
      </w:r>
      <w:r>
        <w:rPr>
          <w:rFonts w:ascii="Garamond" w:hAnsi="Garamond" w:cs="Times New Roman"/>
          <w:sz w:val="24"/>
          <w:szCs w:val="24"/>
        </w:rPr>
        <w:t xml:space="preserve"> </w:t>
      </w:r>
      <w:r w:rsidR="000974F2">
        <w:rPr>
          <w:rFonts w:ascii="Garamond" w:hAnsi="Garamond" w:cs="Times New Roman"/>
          <w:sz w:val="24"/>
          <w:szCs w:val="24"/>
        </w:rPr>
        <w:t>influence</w:t>
      </w:r>
      <w:r w:rsidR="0053345B">
        <w:rPr>
          <w:rFonts w:ascii="Garamond" w:hAnsi="Garamond" w:cs="Times New Roman"/>
          <w:sz w:val="24"/>
          <w:szCs w:val="24"/>
        </w:rPr>
        <w:t>s</w:t>
      </w:r>
      <w:r w:rsidR="005F4219">
        <w:rPr>
          <w:rFonts w:ascii="Garamond" w:hAnsi="Garamond" w:cs="Times New Roman"/>
          <w:sz w:val="24"/>
          <w:szCs w:val="24"/>
        </w:rPr>
        <w:t xml:space="preserve"> </w:t>
      </w:r>
      <w:r w:rsidR="0053345B">
        <w:rPr>
          <w:rFonts w:ascii="Garamond" w:hAnsi="Garamond" w:cs="Times New Roman"/>
          <w:sz w:val="24"/>
          <w:szCs w:val="24"/>
        </w:rPr>
        <w:t xml:space="preserve">the </w:t>
      </w:r>
      <w:r w:rsidR="005F4219">
        <w:rPr>
          <w:rFonts w:ascii="Garamond" w:hAnsi="Garamond" w:cs="Times New Roman"/>
          <w:sz w:val="24"/>
          <w:szCs w:val="24"/>
        </w:rPr>
        <w:t>effort</w:t>
      </w:r>
      <w:r w:rsidR="005F70C6">
        <w:rPr>
          <w:rFonts w:ascii="Garamond" w:hAnsi="Garamond" w:cs="Times New Roman"/>
          <w:sz w:val="24"/>
          <w:szCs w:val="24"/>
        </w:rPr>
        <w:t xml:space="preserve"> </w:t>
      </w:r>
      <w:r w:rsidR="007A3B46">
        <w:rPr>
          <w:rFonts w:ascii="Garamond" w:hAnsi="Garamond" w:cs="Times New Roman"/>
          <w:sz w:val="24"/>
          <w:szCs w:val="24"/>
        </w:rPr>
        <w:t>senators</w:t>
      </w:r>
      <w:r>
        <w:rPr>
          <w:rFonts w:ascii="Garamond" w:hAnsi="Garamond" w:cs="Times New Roman"/>
          <w:sz w:val="24"/>
          <w:szCs w:val="24"/>
        </w:rPr>
        <w:t xml:space="preserve"> </w:t>
      </w:r>
      <w:r w:rsidR="005F4219">
        <w:rPr>
          <w:rFonts w:ascii="Garamond" w:hAnsi="Garamond" w:cs="Times New Roman"/>
          <w:sz w:val="24"/>
          <w:szCs w:val="24"/>
        </w:rPr>
        <w:t>invest in making sure</w:t>
      </w:r>
      <w:r>
        <w:rPr>
          <w:rFonts w:ascii="Garamond" w:hAnsi="Garamond" w:cs="Times New Roman"/>
          <w:sz w:val="24"/>
          <w:szCs w:val="24"/>
        </w:rPr>
        <w:t xml:space="preserve"> the administrative state</w:t>
      </w:r>
      <w:r w:rsidR="005F4219">
        <w:rPr>
          <w:rFonts w:ascii="Garamond" w:hAnsi="Garamond" w:cs="Times New Roman"/>
          <w:sz w:val="24"/>
          <w:szCs w:val="24"/>
        </w:rPr>
        <w:t xml:space="preserve"> works </w:t>
      </w:r>
      <w:r w:rsidR="00C35193">
        <w:rPr>
          <w:rFonts w:ascii="Garamond" w:hAnsi="Garamond" w:cs="Times New Roman"/>
          <w:sz w:val="24"/>
          <w:szCs w:val="24"/>
        </w:rPr>
        <w:t>well</w:t>
      </w:r>
      <w:r w:rsidR="00EC592C">
        <w:rPr>
          <w:rFonts w:ascii="Garamond" w:hAnsi="Garamond" w:cs="Times New Roman"/>
          <w:sz w:val="24"/>
          <w:szCs w:val="24"/>
        </w:rPr>
        <w:t xml:space="preserve">. </w:t>
      </w:r>
      <w:r w:rsidR="00E35B00">
        <w:rPr>
          <w:rFonts w:ascii="Garamond" w:hAnsi="Garamond" w:cs="Times New Roman"/>
          <w:sz w:val="24"/>
          <w:szCs w:val="24"/>
        </w:rPr>
        <w:t xml:space="preserve"> We</w:t>
      </w:r>
      <w:r w:rsidR="0033192D">
        <w:rPr>
          <w:rFonts w:ascii="Garamond" w:hAnsi="Garamond" w:cs="Times New Roman"/>
          <w:sz w:val="24"/>
          <w:szCs w:val="24"/>
        </w:rPr>
        <w:t xml:space="preserve"> examine </w:t>
      </w:r>
      <w:r w:rsidR="003A59C4">
        <w:rPr>
          <w:rFonts w:ascii="Garamond" w:hAnsi="Garamond" w:cs="Times New Roman"/>
          <w:sz w:val="24"/>
          <w:szCs w:val="24"/>
        </w:rPr>
        <w:t>senators’ behavior</w:t>
      </w:r>
      <w:r w:rsidR="00E35B00">
        <w:rPr>
          <w:rFonts w:ascii="Garamond" w:hAnsi="Garamond" w:cs="Times New Roman"/>
          <w:sz w:val="24"/>
          <w:szCs w:val="24"/>
        </w:rPr>
        <w:t xml:space="preserve"> using</w:t>
      </w:r>
      <w:r>
        <w:rPr>
          <w:rFonts w:ascii="Garamond" w:hAnsi="Garamond"/>
          <w:sz w:val="24"/>
          <w:szCs w:val="24"/>
        </w:rPr>
        <w:t xml:space="preserve"> novel data from a survey of federal </w:t>
      </w:r>
      <w:r w:rsidR="005F4219">
        <w:rPr>
          <w:rFonts w:ascii="Garamond" w:hAnsi="Garamond"/>
          <w:sz w:val="24"/>
          <w:szCs w:val="24"/>
        </w:rPr>
        <w:t>executives</w:t>
      </w:r>
      <w:r w:rsidR="00CA6BC0">
        <w:rPr>
          <w:rFonts w:ascii="Garamond" w:hAnsi="Garamond"/>
          <w:sz w:val="24"/>
          <w:szCs w:val="24"/>
        </w:rPr>
        <w:t>, which includes</w:t>
      </w:r>
      <w:r w:rsidR="00FF59FD">
        <w:rPr>
          <w:rFonts w:ascii="Garamond" w:hAnsi="Garamond"/>
          <w:sz w:val="24"/>
          <w:szCs w:val="24"/>
        </w:rPr>
        <w:t xml:space="preserve"> </w:t>
      </w:r>
      <w:r w:rsidR="00537A5C">
        <w:rPr>
          <w:rFonts w:ascii="Garamond" w:hAnsi="Garamond"/>
          <w:sz w:val="24"/>
          <w:szCs w:val="24"/>
        </w:rPr>
        <w:t>questions about t</w:t>
      </w:r>
      <w:r w:rsidR="00FF59FD">
        <w:rPr>
          <w:rFonts w:ascii="Garamond" w:hAnsi="Garamond"/>
          <w:sz w:val="24"/>
          <w:szCs w:val="24"/>
        </w:rPr>
        <w:t xml:space="preserve">he support </w:t>
      </w:r>
      <w:r>
        <w:rPr>
          <w:rFonts w:ascii="Garamond" w:hAnsi="Garamond"/>
          <w:sz w:val="24"/>
          <w:szCs w:val="24"/>
        </w:rPr>
        <w:t>individual</w:t>
      </w:r>
      <w:r w:rsidR="00EC592C">
        <w:rPr>
          <w:rFonts w:ascii="Garamond" w:hAnsi="Garamond"/>
          <w:sz w:val="24"/>
          <w:szCs w:val="24"/>
        </w:rPr>
        <w:t xml:space="preserve"> senators </w:t>
      </w:r>
      <w:r w:rsidR="003A59C4">
        <w:rPr>
          <w:rFonts w:ascii="Garamond" w:hAnsi="Garamond"/>
          <w:sz w:val="24"/>
          <w:szCs w:val="24"/>
        </w:rPr>
        <w:t xml:space="preserve">provide </w:t>
      </w:r>
      <w:r w:rsidR="00537A5C">
        <w:rPr>
          <w:rFonts w:ascii="Garamond" w:hAnsi="Garamond"/>
          <w:sz w:val="24"/>
          <w:szCs w:val="24"/>
        </w:rPr>
        <w:t xml:space="preserve">to </w:t>
      </w:r>
      <w:r w:rsidR="002C2CE5">
        <w:rPr>
          <w:rFonts w:ascii="Garamond" w:hAnsi="Garamond"/>
          <w:sz w:val="24"/>
          <w:szCs w:val="24"/>
        </w:rPr>
        <w:t>different</w:t>
      </w:r>
      <w:r w:rsidR="00EC592C">
        <w:rPr>
          <w:rFonts w:ascii="Garamond" w:hAnsi="Garamond"/>
          <w:sz w:val="24"/>
          <w:szCs w:val="24"/>
        </w:rPr>
        <w:t xml:space="preserve"> agencies.</w:t>
      </w:r>
      <w:r>
        <w:rPr>
          <w:rFonts w:ascii="Garamond" w:hAnsi="Garamond"/>
          <w:sz w:val="24"/>
          <w:szCs w:val="24"/>
        </w:rPr>
        <w:t xml:space="preserve"> Our results </w:t>
      </w:r>
      <w:r w:rsidR="002C2CE5">
        <w:rPr>
          <w:rFonts w:ascii="Garamond" w:hAnsi="Garamond"/>
          <w:sz w:val="24"/>
          <w:szCs w:val="24"/>
        </w:rPr>
        <w:t>reveal federal executives observe</w:t>
      </w:r>
      <w:r>
        <w:rPr>
          <w:rFonts w:ascii="Garamond" w:hAnsi="Garamond"/>
          <w:sz w:val="24"/>
          <w:szCs w:val="24"/>
        </w:rPr>
        <w:t xml:space="preserve"> Democratic senators </w:t>
      </w:r>
      <w:r w:rsidR="002C2CE5">
        <w:rPr>
          <w:rFonts w:ascii="Garamond" w:hAnsi="Garamond"/>
          <w:sz w:val="24"/>
          <w:szCs w:val="24"/>
        </w:rPr>
        <w:t xml:space="preserve">invest </w:t>
      </w:r>
      <w:r w:rsidR="00537A5C">
        <w:rPr>
          <w:rFonts w:ascii="Garamond" w:hAnsi="Garamond"/>
          <w:sz w:val="24"/>
          <w:szCs w:val="24"/>
        </w:rPr>
        <w:t xml:space="preserve">more effort in </w:t>
      </w:r>
      <w:r w:rsidR="000B563C">
        <w:rPr>
          <w:rFonts w:ascii="Garamond" w:hAnsi="Garamond"/>
          <w:sz w:val="24"/>
          <w:szCs w:val="24"/>
        </w:rPr>
        <w:t>en</w:t>
      </w:r>
      <w:r w:rsidR="00537A5C">
        <w:rPr>
          <w:rFonts w:ascii="Garamond" w:hAnsi="Garamond"/>
          <w:sz w:val="24"/>
          <w:szCs w:val="24"/>
        </w:rPr>
        <w:t>sur</w:t>
      </w:r>
      <w:r w:rsidR="000B563C">
        <w:rPr>
          <w:rFonts w:ascii="Garamond" w:hAnsi="Garamond"/>
          <w:sz w:val="24"/>
          <w:szCs w:val="24"/>
        </w:rPr>
        <w:t>ing</w:t>
      </w:r>
      <w:r w:rsidR="00537A5C">
        <w:rPr>
          <w:rFonts w:ascii="Garamond" w:hAnsi="Garamond"/>
          <w:sz w:val="24"/>
          <w:szCs w:val="24"/>
        </w:rPr>
        <w:t xml:space="preserve"> agencies work well</w:t>
      </w:r>
      <w:r>
        <w:rPr>
          <w:rFonts w:ascii="Garamond" w:hAnsi="Garamond"/>
          <w:sz w:val="24"/>
          <w:szCs w:val="24"/>
        </w:rPr>
        <w:t xml:space="preserve">, though </w:t>
      </w:r>
      <w:r w:rsidR="00537A5C">
        <w:rPr>
          <w:rFonts w:ascii="Garamond" w:hAnsi="Garamond"/>
          <w:sz w:val="24"/>
          <w:szCs w:val="24"/>
        </w:rPr>
        <w:t>Republican</w:t>
      </w:r>
      <w:r w:rsidR="003A59C4">
        <w:rPr>
          <w:rFonts w:ascii="Garamond" w:hAnsi="Garamond"/>
          <w:sz w:val="24"/>
          <w:szCs w:val="24"/>
        </w:rPr>
        <w:t>s</w:t>
      </w:r>
      <w:r w:rsidR="00537A5C">
        <w:rPr>
          <w:rFonts w:ascii="Garamond" w:hAnsi="Garamond"/>
          <w:sz w:val="24"/>
          <w:szCs w:val="24"/>
        </w:rPr>
        <w:t xml:space="preserve"> </w:t>
      </w:r>
      <w:r w:rsidR="00E35B00">
        <w:rPr>
          <w:rFonts w:ascii="Garamond" w:hAnsi="Garamond"/>
          <w:sz w:val="24"/>
          <w:szCs w:val="24"/>
        </w:rPr>
        <w:t xml:space="preserve">invest more </w:t>
      </w:r>
      <w:r w:rsidR="0021430C">
        <w:rPr>
          <w:rFonts w:ascii="Garamond" w:hAnsi="Garamond"/>
          <w:sz w:val="24"/>
          <w:szCs w:val="24"/>
        </w:rPr>
        <w:t>effort in</w:t>
      </w:r>
      <w:r w:rsidR="00802CA6">
        <w:rPr>
          <w:rFonts w:ascii="Garamond" w:hAnsi="Garamond"/>
          <w:sz w:val="24"/>
          <w:szCs w:val="24"/>
        </w:rPr>
        <w:t xml:space="preserve"> more conservative agencies</w:t>
      </w:r>
      <w:r>
        <w:rPr>
          <w:rFonts w:ascii="Garamond" w:hAnsi="Garamond"/>
          <w:sz w:val="24"/>
          <w:szCs w:val="24"/>
        </w:rPr>
        <w:t>.</w:t>
      </w:r>
      <w:r w:rsidR="00E35B00">
        <w:rPr>
          <w:rFonts w:ascii="Garamond" w:hAnsi="Garamond"/>
          <w:sz w:val="24"/>
          <w:szCs w:val="24"/>
        </w:rPr>
        <w:t xml:space="preserve">  We also find that Republican executives perceive Republican senators to exert more effort than Democratic and Independent executives.</w:t>
      </w:r>
      <w:r w:rsidR="00DE5E73">
        <w:rPr>
          <w:rFonts w:ascii="Garamond" w:hAnsi="Garamond"/>
          <w:sz w:val="24"/>
          <w:szCs w:val="24"/>
        </w:rPr>
        <w:t xml:space="preserve">  </w:t>
      </w:r>
      <w:r>
        <w:rPr>
          <w:rFonts w:ascii="Garamond" w:hAnsi="Garamond"/>
          <w:sz w:val="24"/>
          <w:szCs w:val="24"/>
        </w:rPr>
        <w:t>These results have important implications for</w:t>
      </w:r>
      <w:r w:rsidR="002C2CE5">
        <w:rPr>
          <w:rFonts w:ascii="Garamond" w:hAnsi="Garamond"/>
          <w:sz w:val="24"/>
          <w:szCs w:val="24"/>
        </w:rPr>
        <w:t xml:space="preserve"> the health of the administrative state and</w:t>
      </w:r>
      <w:r>
        <w:rPr>
          <w:rFonts w:ascii="Garamond" w:hAnsi="Garamond"/>
          <w:sz w:val="24"/>
          <w:szCs w:val="24"/>
        </w:rPr>
        <w:t xml:space="preserve"> agencies’ ability to </w:t>
      </w:r>
      <w:r w:rsidR="008E05B8">
        <w:rPr>
          <w:rFonts w:ascii="Garamond" w:hAnsi="Garamond"/>
          <w:sz w:val="24"/>
          <w:szCs w:val="24"/>
        </w:rPr>
        <w:t>carry out their core missions</w:t>
      </w:r>
      <w:r>
        <w:rPr>
          <w:rFonts w:ascii="Garamond" w:hAnsi="Garamond"/>
          <w:sz w:val="24"/>
          <w:szCs w:val="24"/>
        </w:rPr>
        <w:t>.</w:t>
      </w:r>
    </w:p>
    <w:p w14:paraId="46285858" w14:textId="77777777" w:rsidR="00622519" w:rsidRDefault="001D0595" w:rsidP="00D1181F">
      <w:pPr>
        <w:spacing w:after="0" w:line="480" w:lineRule="auto"/>
        <w:rPr>
          <w:rFonts w:ascii="Garamond" w:hAnsi="Garamond"/>
          <w:b/>
          <w:bCs/>
          <w:sz w:val="24"/>
          <w:szCs w:val="24"/>
        </w:rPr>
      </w:pPr>
      <w:r>
        <w:rPr>
          <w:rFonts w:ascii="Garamond" w:hAnsi="Garamond"/>
          <w:b/>
          <w:bCs/>
          <w:sz w:val="24"/>
          <w:szCs w:val="24"/>
        </w:rPr>
        <w:t>Partisanship and the Administrative State</w:t>
      </w:r>
    </w:p>
    <w:p w14:paraId="14D2070E" w14:textId="29C9480C" w:rsidR="00C963A6" w:rsidRPr="00461416" w:rsidRDefault="00622519" w:rsidP="00461416">
      <w:pPr>
        <w:spacing w:after="0" w:line="480" w:lineRule="auto"/>
        <w:ind w:firstLine="720"/>
        <w:rPr>
          <w:rFonts w:ascii="Garamond" w:hAnsi="Garamond" w:cstheme="minorHAnsi"/>
          <w:sz w:val="24"/>
          <w:szCs w:val="24"/>
        </w:rPr>
      </w:pPr>
      <w:r>
        <w:rPr>
          <w:rFonts w:ascii="Garamond" w:hAnsi="Garamond"/>
          <w:sz w:val="24"/>
          <w:szCs w:val="24"/>
        </w:rPr>
        <w:t>Article I of the Constitution charges Congress with</w:t>
      </w:r>
      <w:r w:rsidR="006F352B">
        <w:rPr>
          <w:rFonts w:ascii="Garamond" w:hAnsi="Garamond"/>
          <w:sz w:val="24"/>
          <w:szCs w:val="24"/>
        </w:rPr>
        <w:t xml:space="preserve"> </w:t>
      </w:r>
      <w:r>
        <w:rPr>
          <w:rFonts w:ascii="Garamond" w:hAnsi="Garamond"/>
          <w:sz w:val="24"/>
          <w:szCs w:val="24"/>
        </w:rPr>
        <w:t xml:space="preserve">responsibility </w:t>
      </w:r>
      <w:r w:rsidR="006F352B">
        <w:rPr>
          <w:rFonts w:ascii="Garamond" w:hAnsi="Garamond"/>
          <w:sz w:val="24"/>
          <w:szCs w:val="24"/>
        </w:rPr>
        <w:t>for</w:t>
      </w:r>
      <w:r>
        <w:rPr>
          <w:rFonts w:ascii="Garamond" w:hAnsi="Garamond"/>
          <w:sz w:val="24"/>
          <w:szCs w:val="24"/>
        </w:rPr>
        <w:t xml:space="preserve"> review</w:t>
      </w:r>
      <w:r w:rsidR="006F352B">
        <w:rPr>
          <w:rFonts w:ascii="Garamond" w:hAnsi="Garamond"/>
          <w:sz w:val="24"/>
          <w:szCs w:val="24"/>
        </w:rPr>
        <w:t>ing</w:t>
      </w:r>
      <w:r>
        <w:rPr>
          <w:rFonts w:ascii="Garamond" w:hAnsi="Garamond"/>
          <w:sz w:val="24"/>
          <w:szCs w:val="24"/>
        </w:rPr>
        <w:t xml:space="preserve"> and supervis</w:t>
      </w:r>
      <w:r w:rsidR="006F352B">
        <w:rPr>
          <w:rFonts w:ascii="Garamond" w:hAnsi="Garamond"/>
          <w:sz w:val="24"/>
          <w:szCs w:val="24"/>
        </w:rPr>
        <w:t>ing</w:t>
      </w:r>
      <w:r>
        <w:rPr>
          <w:rFonts w:ascii="Garamond" w:hAnsi="Garamond"/>
          <w:sz w:val="24"/>
          <w:szCs w:val="24"/>
        </w:rPr>
        <w:t xml:space="preserve"> the actions of administrative agencies (</w:t>
      </w:r>
      <w:r w:rsidRPr="00240F47">
        <w:rPr>
          <w:rFonts w:ascii="Garamond" w:hAnsi="Garamond"/>
          <w:sz w:val="24"/>
          <w:szCs w:val="24"/>
        </w:rPr>
        <w:t xml:space="preserve">Oleszek </w:t>
      </w:r>
      <w:r>
        <w:rPr>
          <w:rFonts w:ascii="Garamond" w:hAnsi="Garamond"/>
          <w:sz w:val="24"/>
          <w:szCs w:val="24"/>
        </w:rPr>
        <w:t xml:space="preserve">2010). </w:t>
      </w:r>
      <w:r w:rsidR="0066052A">
        <w:rPr>
          <w:rFonts w:ascii="Garamond" w:hAnsi="Garamond" w:cs="Times New Roman"/>
          <w:sz w:val="24"/>
          <w:szCs w:val="24"/>
        </w:rPr>
        <w:t xml:space="preserve">However, </w:t>
      </w:r>
      <w:r w:rsidR="007D4F2F">
        <w:rPr>
          <w:rFonts w:ascii="Garamond" w:hAnsi="Garamond" w:cs="Times New Roman"/>
          <w:sz w:val="24"/>
          <w:szCs w:val="24"/>
        </w:rPr>
        <w:t>m</w:t>
      </w:r>
      <w:r w:rsidR="00D359BA">
        <w:rPr>
          <w:rFonts w:ascii="Garamond" w:hAnsi="Garamond" w:cs="Times New Roman"/>
          <w:sz w:val="24"/>
          <w:szCs w:val="24"/>
        </w:rPr>
        <w:t>embers of Congress</w:t>
      </w:r>
      <w:r w:rsidR="00F6646C">
        <w:rPr>
          <w:rFonts w:ascii="Garamond" w:hAnsi="Garamond" w:cs="Times New Roman"/>
          <w:sz w:val="24"/>
          <w:szCs w:val="24"/>
        </w:rPr>
        <w:t xml:space="preserve"> </w:t>
      </w:r>
      <w:r w:rsidR="0066052A">
        <w:rPr>
          <w:rFonts w:ascii="Garamond" w:hAnsi="Garamond" w:cs="Times New Roman"/>
          <w:sz w:val="24"/>
          <w:szCs w:val="24"/>
        </w:rPr>
        <w:t xml:space="preserve">have few incentives </w:t>
      </w:r>
      <w:r w:rsidR="00F6646C">
        <w:rPr>
          <w:rFonts w:ascii="Garamond" w:hAnsi="Garamond" w:cs="Times New Roman"/>
          <w:sz w:val="24"/>
          <w:szCs w:val="24"/>
        </w:rPr>
        <w:t xml:space="preserve">for </w:t>
      </w:r>
      <w:r w:rsidR="0053676B">
        <w:rPr>
          <w:rFonts w:ascii="Garamond" w:hAnsi="Garamond" w:cs="Times New Roman"/>
          <w:sz w:val="24"/>
          <w:szCs w:val="24"/>
        </w:rPr>
        <w:t>engaging in</w:t>
      </w:r>
      <w:r w:rsidR="00F6646C">
        <w:rPr>
          <w:rFonts w:ascii="Garamond" w:hAnsi="Garamond" w:cs="Times New Roman"/>
          <w:sz w:val="24"/>
          <w:szCs w:val="24"/>
        </w:rPr>
        <w:t xml:space="preserve"> </w:t>
      </w:r>
      <w:r w:rsidR="00823F7D">
        <w:rPr>
          <w:rFonts w:ascii="Garamond" w:hAnsi="Garamond" w:cs="Times New Roman"/>
          <w:sz w:val="24"/>
          <w:szCs w:val="24"/>
        </w:rPr>
        <w:t>constructive</w:t>
      </w:r>
      <w:r w:rsidR="00F6646C">
        <w:rPr>
          <w:rFonts w:ascii="Garamond" w:hAnsi="Garamond" w:cs="Times New Roman"/>
          <w:sz w:val="24"/>
          <w:szCs w:val="24"/>
        </w:rPr>
        <w:t xml:space="preserve"> oversight</w:t>
      </w:r>
      <w:r w:rsidR="00635584">
        <w:rPr>
          <w:rFonts w:ascii="Garamond" w:hAnsi="Garamond" w:cs="Times New Roman"/>
          <w:sz w:val="24"/>
          <w:szCs w:val="24"/>
        </w:rPr>
        <w:t xml:space="preserve"> (</w:t>
      </w:r>
      <w:r w:rsidR="001953B6">
        <w:rPr>
          <w:rFonts w:ascii="Garamond" w:hAnsi="Garamond" w:cs="Times New Roman"/>
          <w:sz w:val="24"/>
          <w:szCs w:val="24"/>
        </w:rPr>
        <w:t>Le</w:t>
      </w:r>
      <w:r w:rsidR="00AD4F2C">
        <w:rPr>
          <w:rFonts w:ascii="Garamond" w:hAnsi="Garamond" w:cs="Times New Roman"/>
          <w:sz w:val="24"/>
          <w:szCs w:val="24"/>
        </w:rPr>
        <w:t>e 2016</w:t>
      </w:r>
      <w:r w:rsidR="001953B6">
        <w:rPr>
          <w:rFonts w:ascii="Garamond" w:hAnsi="Garamond" w:cs="Times New Roman"/>
          <w:sz w:val="24"/>
          <w:szCs w:val="24"/>
        </w:rPr>
        <w:t xml:space="preserve">; </w:t>
      </w:r>
      <w:r w:rsidR="006F352B">
        <w:rPr>
          <w:rFonts w:ascii="Garamond" w:hAnsi="Garamond" w:cs="Times New Roman"/>
          <w:sz w:val="24"/>
          <w:szCs w:val="24"/>
        </w:rPr>
        <w:t>but see</w:t>
      </w:r>
      <w:r w:rsidR="001953B6">
        <w:rPr>
          <w:rFonts w:ascii="Garamond" w:hAnsi="Garamond" w:cs="Times New Roman"/>
          <w:sz w:val="24"/>
          <w:szCs w:val="24"/>
        </w:rPr>
        <w:t xml:space="preserve"> </w:t>
      </w:r>
      <w:r w:rsidR="00407AEA">
        <w:rPr>
          <w:rFonts w:ascii="Garamond" w:hAnsi="Garamond" w:cs="Times New Roman"/>
          <w:sz w:val="24"/>
          <w:szCs w:val="24"/>
        </w:rPr>
        <w:t>Evans 1994</w:t>
      </w:r>
      <w:r w:rsidR="00635584">
        <w:rPr>
          <w:rFonts w:ascii="Garamond" w:hAnsi="Garamond" w:cs="Times New Roman"/>
          <w:sz w:val="24"/>
          <w:szCs w:val="24"/>
        </w:rPr>
        <w:t>)</w:t>
      </w:r>
      <w:r w:rsidR="00933F34">
        <w:rPr>
          <w:rFonts w:ascii="Garamond" w:hAnsi="Garamond" w:cs="Times New Roman"/>
          <w:sz w:val="24"/>
          <w:szCs w:val="24"/>
        </w:rPr>
        <w:t>.</w:t>
      </w:r>
      <w:r w:rsidR="00F6646C">
        <w:rPr>
          <w:rFonts w:ascii="Garamond" w:hAnsi="Garamond" w:cs="Times New Roman"/>
          <w:sz w:val="24"/>
          <w:szCs w:val="24"/>
        </w:rPr>
        <w:t xml:space="preserve"> Voters typically know little about federal agencies and tend to hold negative views, partly due to the </w:t>
      </w:r>
      <w:r w:rsidR="006F352B">
        <w:rPr>
          <w:rFonts w:ascii="Garamond" w:hAnsi="Garamond" w:cs="Times New Roman"/>
          <w:sz w:val="24"/>
          <w:szCs w:val="24"/>
        </w:rPr>
        <w:t xml:space="preserve">media’s </w:t>
      </w:r>
      <w:r w:rsidR="00F6646C">
        <w:rPr>
          <w:rFonts w:ascii="Garamond" w:hAnsi="Garamond" w:cs="Times New Roman"/>
          <w:sz w:val="24"/>
          <w:szCs w:val="24"/>
        </w:rPr>
        <w:t xml:space="preserve">overwhelming focus on government failures or scandals rather than successes (Goodsell 2015; Yackee and Lowery 2005). </w:t>
      </w:r>
      <w:r w:rsidR="0066052A" w:rsidRPr="008E62CB">
        <w:rPr>
          <w:rFonts w:ascii="Garamond" w:hAnsi="Garamond" w:cstheme="minorHAnsi"/>
          <w:sz w:val="24"/>
          <w:szCs w:val="24"/>
        </w:rPr>
        <w:t xml:space="preserve">Members try to secure support in their districts or states by </w:t>
      </w:r>
      <w:r w:rsidR="0066052A">
        <w:rPr>
          <w:rFonts w:ascii="Garamond" w:hAnsi="Garamond" w:cstheme="minorHAnsi"/>
          <w:sz w:val="24"/>
          <w:szCs w:val="24"/>
        </w:rPr>
        <w:t xml:space="preserve">adopting </w:t>
      </w:r>
      <w:r w:rsidR="007C0868">
        <w:rPr>
          <w:rFonts w:ascii="Garamond" w:hAnsi="Garamond" w:cstheme="minorHAnsi"/>
          <w:sz w:val="24"/>
          <w:szCs w:val="24"/>
        </w:rPr>
        <w:t>their constituents’ views</w:t>
      </w:r>
      <w:r w:rsidR="0066052A">
        <w:rPr>
          <w:rFonts w:ascii="Garamond" w:hAnsi="Garamond" w:cstheme="minorHAnsi"/>
          <w:sz w:val="24"/>
          <w:szCs w:val="24"/>
        </w:rPr>
        <w:t xml:space="preserve">, including </w:t>
      </w:r>
      <w:r w:rsidR="007C0868">
        <w:rPr>
          <w:rFonts w:ascii="Garamond" w:hAnsi="Garamond" w:cstheme="minorHAnsi"/>
          <w:sz w:val="24"/>
          <w:szCs w:val="24"/>
        </w:rPr>
        <w:t>the priority placed on oversight</w:t>
      </w:r>
      <w:r w:rsidR="00461416">
        <w:rPr>
          <w:rFonts w:ascii="Garamond" w:hAnsi="Garamond" w:cstheme="minorHAnsi"/>
          <w:sz w:val="24"/>
          <w:szCs w:val="24"/>
        </w:rPr>
        <w:t xml:space="preserve"> and</w:t>
      </w:r>
      <w:r w:rsidR="0066052A" w:rsidRPr="008E62CB">
        <w:rPr>
          <w:rFonts w:ascii="Garamond" w:hAnsi="Garamond" w:cstheme="minorHAnsi"/>
          <w:sz w:val="24"/>
          <w:szCs w:val="24"/>
        </w:rPr>
        <w:t xml:space="preserve"> whether the bureaucracy works wel</w:t>
      </w:r>
      <w:r w:rsidR="007C0868">
        <w:rPr>
          <w:rFonts w:ascii="Garamond" w:hAnsi="Garamond" w:cstheme="minorHAnsi"/>
          <w:sz w:val="24"/>
          <w:szCs w:val="24"/>
        </w:rPr>
        <w:t>l</w:t>
      </w:r>
      <w:r w:rsidR="00461416">
        <w:rPr>
          <w:rFonts w:ascii="Garamond" w:hAnsi="Garamond" w:cstheme="minorHAnsi"/>
          <w:sz w:val="24"/>
          <w:szCs w:val="24"/>
        </w:rPr>
        <w:t xml:space="preserve">. </w:t>
      </w:r>
      <w:r w:rsidR="00F6646C">
        <w:rPr>
          <w:rFonts w:ascii="Garamond" w:hAnsi="Garamond" w:cs="Times New Roman"/>
          <w:sz w:val="24"/>
          <w:szCs w:val="24"/>
        </w:rPr>
        <w:t xml:space="preserve">Further, because </w:t>
      </w:r>
      <w:r w:rsidR="001C05AF">
        <w:rPr>
          <w:rFonts w:ascii="Garamond" w:hAnsi="Garamond" w:cs="Times New Roman"/>
          <w:sz w:val="24"/>
          <w:szCs w:val="24"/>
        </w:rPr>
        <w:t>much of the work of effective</w:t>
      </w:r>
      <w:r w:rsidR="00F6646C">
        <w:rPr>
          <w:rFonts w:ascii="Garamond" w:hAnsi="Garamond" w:cs="Times New Roman"/>
          <w:sz w:val="24"/>
          <w:szCs w:val="24"/>
        </w:rPr>
        <w:t xml:space="preserve"> oversight</w:t>
      </w:r>
      <w:r w:rsidR="00C154FE">
        <w:rPr>
          <w:rFonts w:ascii="Garamond" w:hAnsi="Garamond" w:cs="Times New Roman"/>
          <w:sz w:val="24"/>
          <w:szCs w:val="24"/>
        </w:rPr>
        <w:t>—e.g.,</w:t>
      </w:r>
      <w:r w:rsidR="007D4F2F">
        <w:rPr>
          <w:rFonts w:ascii="Garamond" w:hAnsi="Garamond" w:cs="Times New Roman"/>
          <w:sz w:val="24"/>
          <w:szCs w:val="24"/>
        </w:rPr>
        <w:t xml:space="preserve"> reauthorizing programs, </w:t>
      </w:r>
      <w:r w:rsidR="00C154FE">
        <w:rPr>
          <w:rFonts w:ascii="Garamond" w:hAnsi="Garamond" w:cs="Times New Roman"/>
          <w:sz w:val="24"/>
          <w:szCs w:val="24"/>
        </w:rPr>
        <w:t xml:space="preserve">reviewing personnel and policies, determining budgets, and catching problems before they emerge—is </w:t>
      </w:r>
      <w:r w:rsidR="0053676B">
        <w:rPr>
          <w:rFonts w:ascii="Garamond" w:hAnsi="Garamond" w:cs="Times New Roman"/>
          <w:sz w:val="24"/>
          <w:szCs w:val="24"/>
        </w:rPr>
        <w:t>hard to observe and</w:t>
      </w:r>
      <w:r w:rsidR="008A69E7">
        <w:rPr>
          <w:rFonts w:ascii="Garamond" w:hAnsi="Garamond" w:cs="Times New Roman"/>
          <w:sz w:val="24"/>
          <w:szCs w:val="24"/>
        </w:rPr>
        <w:t xml:space="preserve"> credit to specific legislators,</w:t>
      </w:r>
      <w:r w:rsidR="0053676B">
        <w:rPr>
          <w:rFonts w:ascii="Garamond" w:hAnsi="Garamond" w:cs="Times New Roman"/>
          <w:sz w:val="24"/>
          <w:szCs w:val="24"/>
        </w:rPr>
        <w:t xml:space="preserve"> </w:t>
      </w:r>
      <w:r w:rsidR="00F6646C">
        <w:rPr>
          <w:rFonts w:ascii="Garamond" w:hAnsi="Garamond" w:cs="Times New Roman"/>
          <w:sz w:val="24"/>
          <w:szCs w:val="24"/>
        </w:rPr>
        <w:t xml:space="preserve">this activity provides electorally-minded </w:t>
      </w:r>
      <w:r w:rsidR="00F3498C">
        <w:rPr>
          <w:rFonts w:ascii="Garamond" w:hAnsi="Garamond" w:cs="Times New Roman"/>
          <w:sz w:val="24"/>
          <w:szCs w:val="24"/>
        </w:rPr>
        <w:t>legislators</w:t>
      </w:r>
      <w:r w:rsidR="00F6646C">
        <w:rPr>
          <w:rFonts w:ascii="Garamond" w:hAnsi="Garamond" w:cs="Times New Roman"/>
          <w:sz w:val="24"/>
          <w:szCs w:val="24"/>
        </w:rPr>
        <w:t xml:space="preserve"> scant opportunities for credit-claiming</w:t>
      </w:r>
      <w:r w:rsidR="00635584">
        <w:rPr>
          <w:rFonts w:ascii="Garamond" w:hAnsi="Garamond" w:cs="Times New Roman"/>
          <w:sz w:val="24"/>
          <w:szCs w:val="24"/>
        </w:rPr>
        <w:t xml:space="preserve"> (Aberbach 1990</w:t>
      </w:r>
      <w:r w:rsidR="00B30EE5">
        <w:rPr>
          <w:rFonts w:ascii="Garamond" w:hAnsi="Garamond" w:cs="Times New Roman"/>
          <w:sz w:val="24"/>
          <w:szCs w:val="24"/>
        </w:rPr>
        <w:t>; Zegart 2011</w:t>
      </w:r>
      <w:r w:rsidR="00635584">
        <w:rPr>
          <w:rFonts w:ascii="Garamond" w:hAnsi="Garamond" w:cs="Times New Roman"/>
          <w:sz w:val="24"/>
          <w:szCs w:val="24"/>
        </w:rPr>
        <w:t>)</w:t>
      </w:r>
      <w:r w:rsidR="00FA5217">
        <w:rPr>
          <w:rFonts w:ascii="Garamond" w:hAnsi="Garamond" w:cs="Times New Roman"/>
          <w:sz w:val="24"/>
          <w:szCs w:val="24"/>
        </w:rPr>
        <w:t xml:space="preserve">. </w:t>
      </w:r>
    </w:p>
    <w:p w14:paraId="58656AD1" w14:textId="61FF69BE" w:rsidR="00ED18B0" w:rsidRDefault="00721E9B" w:rsidP="00D1181F">
      <w:pPr>
        <w:spacing w:after="0" w:line="480" w:lineRule="auto"/>
        <w:ind w:firstLine="720"/>
        <w:rPr>
          <w:rFonts w:ascii="Garamond" w:hAnsi="Garamond" w:cs="Times New Roman"/>
          <w:sz w:val="24"/>
          <w:szCs w:val="24"/>
        </w:rPr>
      </w:pPr>
      <w:r>
        <w:rPr>
          <w:rFonts w:ascii="Garamond" w:hAnsi="Garamond" w:cs="Times New Roman"/>
          <w:sz w:val="24"/>
          <w:szCs w:val="24"/>
        </w:rPr>
        <w:t xml:space="preserve">Absent strong electoral </w:t>
      </w:r>
      <w:r w:rsidR="005F73B1">
        <w:rPr>
          <w:rFonts w:ascii="Garamond" w:hAnsi="Garamond" w:cs="Times New Roman"/>
          <w:sz w:val="24"/>
          <w:szCs w:val="24"/>
        </w:rPr>
        <w:t xml:space="preserve">incentives, </w:t>
      </w:r>
      <w:r w:rsidR="002422D5">
        <w:rPr>
          <w:rFonts w:ascii="Garamond" w:hAnsi="Garamond" w:cs="Times New Roman"/>
          <w:sz w:val="24"/>
          <w:szCs w:val="24"/>
        </w:rPr>
        <w:t>p</w:t>
      </w:r>
      <w:r w:rsidR="00C963A6">
        <w:rPr>
          <w:rFonts w:ascii="Garamond" w:hAnsi="Garamond" w:cs="Times New Roman"/>
          <w:sz w:val="24"/>
          <w:szCs w:val="24"/>
        </w:rPr>
        <w:t>artisan and ideological</w:t>
      </w:r>
      <w:r w:rsidR="005747D2">
        <w:rPr>
          <w:rFonts w:ascii="Garamond" w:hAnsi="Garamond" w:cs="Times New Roman"/>
          <w:sz w:val="24"/>
          <w:szCs w:val="24"/>
        </w:rPr>
        <w:t xml:space="preserve"> preferences </w:t>
      </w:r>
      <w:r w:rsidR="002422D5">
        <w:rPr>
          <w:rFonts w:ascii="Garamond" w:hAnsi="Garamond" w:cs="Times New Roman"/>
          <w:sz w:val="24"/>
          <w:szCs w:val="24"/>
        </w:rPr>
        <w:t>exert strong influence over</w:t>
      </w:r>
      <w:r w:rsidR="005747D2">
        <w:rPr>
          <w:rFonts w:ascii="Garamond" w:hAnsi="Garamond" w:cs="Times New Roman"/>
          <w:sz w:val="24"/>
          <w:szCs w:val="24"/>
        </w:rPr>
        <w:t xml:space="preserve"> </w:t>
      </w:r>
      <w:r w:rsidR="00F3498C">
        <w:rPr>
          <w:rFonts w:ascii="Garamond" w:hAnsi="Garamond" w:cs="Times New Roman"/>
          <w:sz w:val="24"/>
          <w:szCs w:val="24"/>
        </w:rPr>
        <w:t>members of Congress’</w:t>
      </w:r>
      <w:r w:rsidR="001D0595">
        <w:rPr>
          <w:rFonts w:ascii="Garamond" w:hAnsi="Garamond" w:cs="Times New Roman"/>
          <w:sz w:val="24"/>
          <w:szCs w:val="24"/>
        </w:rPr>
        <w:t xml:space="preserve"> </w:t>
      </w:r>
      <w:r w:rsidR="005747D2">
        <w:rPr>
          <w:rFonts w:ascii="Garamond" w:hAnsi="Garamond" w:cs="Times New Roman"/>
          <w:sz w:val="24"/>
          <w:szCs w:val="24"/>
        </w:rPr>
        <w:t>oversight</w:t>
      </w:r>
      <w:r w:rsidR="001D0595">
        <w:rPr>
          <w:rFonts w:ascii="Garamond" w:hAnsi="Garamond" w:cs="Times New Roman"/>
          <w:sz w:val="24"/>
          <w:szCs w:val="24"/>
        </w:rPr>
        <w:t xml:space="preserve"> behavior.</w:t>
      </w:r>
      <w:r w:rsidR="00622519">
        <w:rPr>
          <w:rFonts w:ascii="Garamond" w:hAnsi="Garamond" w:cs="Times New Roman"/>
          <w:sz w:val="24"/>
          <w:szCs w:val="24"/>
        </w:rPr>
        <w:t xml:space="preserve"> </w:t>
      </w:r>
      <w:r w:rsidR="00604873">
        <w:rPr>
          <w:rFonts w:ascii="Garamond" w:hAnsi="Garamond" w:cs="Times New Roman"/>
          <w:sz w:val="24"/>
          <w:szCs w:val="24"/>
        </w:rPr>
        <w:t>P</w:t>
      </w:r>
      <w:r w:rsidR="00622519">
        <w:rPr>
          <w:rFonts w:ascii="Garamond" w:hAnsi="Garamond" w:cs="Times New Roman"/>
          <w:sz w:val="24"/>
          <w:szCs w:val="24"/>
        </w:rPr>
        <w:t>olarization has increasingly aligned partisanship and ideology such that Democrat</w:t>
      </w:r>
      <w:r>
        <w:rPr>
          <w:rFonts w:ascii="Garamond" w:hAnsi="Garamond" w:cs="Times New Roman"/>
          <w:sz w:val="24"/>
          <w:szCs w:val="24"/>
        </w:rPr>
        <w:t>s</w:t>
      </w:r>
      <w:r w:rsidR="00622519">
        <w:rPr>
          <w:rFonts w:ascii="Garamond" w:hAnsi="Garamond" w:cs="Times New Roman"/>
          <w:sz w:val="24"/>
          <w:szCs w:val="24"/>
        </w:rPr>
        <w:t xml:space="preserve"> and Republican </w:t>
      </w:r>
      <w:r w:rsidR="00F3498C">
        <w:rPr>
          <w:rFonts w:ascii="Garamond" w:hAnsi="Garamond" w:cs="Times New Roman"/>
          <w:sz w:val="24"/>
          <w:szCs w:val="24"/>
        </w:rPr>
        <w:t>members of Congress</w:t>
      </w:r>
      <w:r w:rsidR="00622519">
        <w:rPr>
          <w:rFonts w:ascii="Garamond" w:hAnsi="Garamond" w:cs="Times New Roman"/>
          <w:sz w:val="24"/>
          <w:szCs w:val="24"/>
        </w:rPr>
        <w:t xml:space="preserve"> are reliably liberal and conservative, respectively (</w:t>
      </w:r>
      <w:r w:rsidR="00622519" w:rsidRPr="008F6153">
        <w:rPr>
          <w:rFonts w:ascii="Garamond" w:hAnsi="Garamond" w:cs="Times New Roman"/>
          <w:sz w:val="24"/>
          <w:szCs w:val="24"/>
        </w:rPr>
        <w:t>Theriault</w:t>
      </w:r>
      <w:r w:rsidR="00622519">
        <w:rPr>
          <w:rFonts w:ascii="Garamond" w:hAnsi="Garamond" w:cs="Times New Roman"/>
          <w:sz w:val="24"/>
          <w:szCs w:val="24"/>
        </w:rPr>
        <w:t xml:space="preserve"> 2008). </w:t>
      </w:r>
      <w:r w:rsidR="007A1BD1">
        <w:rPr>
          <w:rFonts w:ascii="Garamond" w:hAnsi="Garamond" w:cs="Times New Roman"/>
          <w:sz w:val="24"/>
          <w:szCs w:val="24"/>
        </w:rPr>
        <w:t>This has shaped</w:t>
      </w:r>
      <w:r w:rsidR="00604873">
        <w:rPr>
          <w:rFonts w:ascii="Garamond" w:hAnsi="Garamond" w:cs="Times New Roman"/>
          <w:sz w:val="24"/>
          <w:szCs w:val="24"/>
        </w:rPr>
        <w:t xml:space="preserve"> </w:t>
      </w:r>
      <w:r>
        <w:rPr>
          <w:rFonts w:ascii="Garamond" w:hAnsi="Garamond" w:cs="Times New Roman"/>
          <w:sz w:val="24"/>
          <w:szCs w:val="24"/>
        </w:rPr>
        <w:t xml:space="preserve">their </w:t>
      </w:r>
      <w:r w:rsidR="00604873">
        <w:rPr>
          <w:rFonts w:ascii="Garamond" w:hAnsi="Garamond" w:cs="Times New Roman"/>
          <w:sz w:val="24"/>
          <w:szCs w:val="24"/>
        </w:rPr>
        <w:t xml:space="preserve">views of the </w:t>
      </w:r>
      <w:r w:rsidR="00604873">
        <w:rPr>
          <w:rFonts w:ascii="Garamond" w:hAnsi="Garamond" w:cs="Times New Roman"/>
          <w:sz w:val="24"/>
          <w:szCs w:val="24"/>
        </w:rPr>
        <w:lastRenderedPageBreak/>
        <w:t>administrative state</w:t>
      </w:r>
      <w:r w:rsidR="00257714">
        <w:rPr>
          <w:rFonts w:ascii="Garamond" w:hAnsi="Garamond" w:cs="Times New Roman"/>
          <w:sz w:val="24"/>
          <w:szCs w:val="24"/>
        </w:rPr>
        <w:t>,</w:t>
      </w:r>
      <w:r w:rsidR="00604873">
        <w:rPr>
          <w:rFonts w:ascii="Garamond" w:hAnsi="Garamond" w:cs="Times New Roman"/>
          <w:sz w:val="24"/>
          <w:szCs w:val="24"/>
        </w:rPr>
        <w:t xml:space="preserve"> with </w:t>
      </w:r>
      <w:r w:rsidR="005D6FF8">
        <w:rPr>
          <w:rFonts w:ascii="Garamond" w:hAnsi="Garamond" w:cs="Times New Roman"/>
          <w:sz w:val="24"/>
          <w:szCs w:val="24"/>
        </w:rPr>
        <w:t>Republicans</w:t>
      </w:r>
      <w:r w:rsidR="002D66FD">
        <w:rPr>
          <w:rFonts w:ascii="Garamond" w:hAnsi="Garamond" w:cs="Times New Roman"/>
          <w:sz w:val="24"/>
          <w:szCs w:val="24"/>
        </w:rPr>
        <w:t xml:space="preserve"> increasingly </w:t>
      </w:r>
      <w:r w:rsidR="00823F7D">
        <w:rPr>
          <w:rFonts w:ascii="Garamond" w:hAnsi="Garamond" w:cs="Times New Roman"/>
          <w:sz w:val="24"/>
          <w:szCs w:val="24"/>
        </w:rPr>
        <w:t>critical of</w:t>
      </w:r>
      <w:r w:rsidR="002D66FD">
        <w:rPr>
          <w:rFonts w:ascii="Garamond" w:hAnsi="Garamond" w:cs="Times New Roman"/>
          <w:sz w:val="24"/>
          <w:szCs w:val="24"/>
        </w:rPr>
        <w:t xml:space="preserve"> the </w:t>
      </w:r>
      <w:r w:rsidR="00823F7D">
        <w:rPr>
          <w:rFonts w:ascii="Garamond" w:hAnsi="Garamond" w:cs="Times New Roman"/>
          <w:sz w:val="24"/>
          <w:szCs w:val="24"/>
        </w:rPr>
        <w:t>departments, people</w:t>
      </w:r>
      <w:r w:rsidR="00087FEA">
        <w:rPr>
          <w:rFonts w:ascii="Garamond" w:hAnsi="Garamond" w:cs="Times New Roman"/>
          <w:sz w:val="24"/>
          <w:szCs w:val="24"/>
        </w:rPr>
        <w:t>,</w:t>
      </w:r>
      <w:r w:rsidR="00823F7D">
        <w:rPr>
          <w:rFonts w:ascii="Garamond" w:hAnsi="Garamond" w:cs="Times New Roman"/>
          <w:sz w:val="24"/>
          <w:szCs w:val="24"/>
        </w:rPr>
        <w:t xml:space="preserve"> and processes of the executive branch</w:t>
      </w:r>
      <w:r w:rsidR="008B2CF6">
        <w:rPr>
          <w:rFonts w:ascii="Garamond" w:hAnsi="Garamond" w:cs="Times New Roman"/>
          <w:sz w:val="24"/>
          <w:szCs w:val="24"/>
        </w:rPr>
        <w:t xml:space="preserve"> (</w:t>
      </w:r>
      <w:r w:rsidR="00EB7C74">
        <w:rPr>
          <w:rFonts w:ascii="Garamond" w:hAnsi="Garamond" w:cs="Times New Roman"/>
          <w:sz w:val="24"/>
          <w:szCs w:val="24"/>
        </w:rPr>
        <w:t>Teles 2008)</w:t>
      </w:r>
      <w:r w:rsidR="002D66FD">
        <w:rPr>
          <w:rFonts w:ascii="Garamond" w:hAnsi="Garamond" w:cs="Times New Roman"/>
          <w:sz w:val="24"/>
          <w:szCs w:val="24"/>
        </w:rPr>
        <w:t xml:space="preserve">. </w:t>
      </w:r>
      <w:r w:rsidR="00ED18B0">
        <w:rPr>
          <w:rFonts w:ascii="Garamond" w:hAnsi="Garamond" w:cs="Times New Roman"/>
          <w:sz w:val="24"/>
          <w:szCs w:val="24"/>
        </w:rPr>
        <w:t>Democrats</w:t>
      </w:r>
      <w:r w:rsidR="001C05AF">
        <w:rPr>
          <w:rFonts w:ascii="Garamond" w:hAnsi="Garamond" w:cs="Times New Roman"/>
          <w:sz w:val="24"/>
          <w:szCs w:val="24"/>
        </w:rPr>
        <w:t>, by contrast,</w:t>
      </w:r>
      <w:r w:rsidR="00ED18B0">
        <w:rPr>
          <w:rFonts w:ascii="Garamond" w:hAnsi="Garamond" w:cs="Times New Roman"/>
          <w:sz w:val="24"/>
          <w:szCs w:val="24"/>
        </w:rPr>
        <w:t xml:space="preserve"> </w:t>
      </w:r>
      <w:r>
        <w:rPr>
          <w:rFonts w:ascii="Garamond" w:hAnsi="Garamond" w:cs="Times New Roman"/>
          <w:sz w:val="24"/>
          <w:szCs w:val="24"/>
        </w:rPr>
        <w:t>tend</w:t>
      </w:r>
      <w:r w:rsidR="000F2270">
        <w:rPr>
          <w:rFonts w:ascii="Garamond" w:hAnsi="Garamond" w:cs="Times New Roman"/>
          <w:sz w:val="24"/>
          <w:szCs w:val="24"/>
        </w:rPr>
        <w:t xml:space="preserve"> to</w:t>
      </w:r>
      <w:r w:rsidR="00257714">
        <w:rPr>
          <w:rFonts w:ascii="Garamond" w:hAnsi="Garamond" w:cs="Times New Roman"/>
          <w:sz w:val="24"/>
          <w:szCs w:val="24"/>
        </w:rPr>
        <w:t xml:space="preserve"> be</w:t>
      </w:r>
      <w:r w:rsidR="001C05AF">
        <w:rPr>
          <w:rFonts w:ascii="Garamond" w:hAnsi="Garamond" w:cs="Times New Roman"/>
          <w:sz w:val="24"/>
          <w:szCs w:val="24"/>
        </w:rPr>
        <w:t xml:space="preserve"> more</w:t>
      </w:r>
      <w:r w:rsidR="002D66FD">
        <w:rPr>
          <w:rFonts w:ascii="Garamond" w:hAnsi="Garamond" w:cs="Times New Roman"/>
          <w:sz w:val="24"/>
          <w:szCs w:val="24"/>
        </w:rPr>
        <w:t xml:space="preserve"> </w:t>
      </w:r>
      <w:r w:rsidR="00087FEA">
        <w:rPr>
          <w:rFonts w:ascii="Garamond" w:hAnsi="Garamond" w:cs="Times New Roman"/>
          <w:sz w:val="24"/>
          <w:szCs w:val="24"/>
        </w:rPr>
        <w:t>constructive</w:t>
      </w:r>
      <w:r w:rsidR="00ED18B0">
        <w:rPr>
          <w:rFonts w:ascii="Garamond" w:hAnsi="Garamond" w:cs="Times New Roman"/>
          <w:sz w:val="24"/>
          <w:szCs w:val="24"/>
        </w:rPr>
        <w:t xml:space="preserve"> because </w:t>
      </w:r>
      <w:r w:rsidR="00AD27B4">
        <w:rPr>
          <w:rFonts w:ascii="Garamond" w:hAnsi="Garamond" w:cs="Times New Roman"/>
          <w:sz w:val="24"/>
          <w:szCs w:val="24"/>
        </w:rPr>
        <w:t>they</w:t>
      </w:r>
      <w:r w:rsidR="00ED18B0">
        <w:rPr>
          <w:rFonts w:ascii="Garamond" w:hAnsi="Garamond" w:cs="Times New Roman"/>
          <w:sz w:val="24"/>
          <w:szCs w:val="24"/>
        </w:rPr>
        <w:t xml:space="preserve"> </w:t>
      </w:r>
      <w:r w:rsidR="007A1BD1">
        <w:rPr>
          <w:rFonts w:ascii="Garamond" w:hAnsi="Garamond" w:cs="Times New Roman"/>
          <w:sz w:val="24"/>
          <w:szCs w:val="24"/>
        </w:rPr>
        <w:t>have long advocated for</w:t>
      </w:r>
      <w:r w:rsidR="00AD27B4">
        <w:rPr>
          <w:rFonts w:ascii="Garamond" w:hAnsi="Garamond" w:cs="Times New Roman"/>
          <w:sz w:val="24"/>
          <w:szCs w:val="24"/>
        </w:rPr>
        <w:t xml:space="preserve"> many of</w:t>
      </w:r>
      <w:r w:rsidR="00ED18B0">
        <w:rPr>
          <w:rFonts w:ascii="Garamond" w:hAnsi="Garamond" w:cs="Times New Roman"/>
          <w:sz w:val="24"/>
          <w:szCs w:val="24"/>
        </w:rPr>
        <w:t xml:space="preserve"> </w:t>
      </w:r>
      <w:r w:rsidR="002D66FD">
        <w:rPr>
          <w:rFonts w:ascii="Garamond" w:hAnsi="Garamond" w:cs="Times New Roman"/>
          <w:sz w:val="24"/>
          <w:szCs w:val="24"/>
        </w:rPr>
        <w:t xml:space="preserve">the programs </w:t>
      </w:r>
      <w:r w:rsidR="00B02FB1">
        <w:rPr>
          <w:rFonts w:ascii="Garamond" w:hAnsi="Garamond" w:cs="Times New Roman"/>
          <w:sz w:val="24"/>
          <w:szCs w:val="24"/>
        </w:rPr>
        <w:t>federal agencies</w:t>
      </w:r>
      <w:r>
        <w:rPr>
          <w:rFonts w:ascii="Garamond" w:hAnsi="Garamond" w:cs="Times New Roman"/>
          <w:sz w:val="24"/>
          <w:szCs w:val="24"/>
        </w:rPr>
        <w:t xml:space="preserve"> administer</w:t>
      </w:r>
      <w:r w:rsidR="00440AD2">
        <w:rPr>
          <w:rFonts w:ascii="Garamond" w:hAnsi="Garamond" w:cs="Times New Roman"/>
          <w:sz w:val="24"/>
          <w:szCs w:val="24"/>
        </w:rPr>
        <w:t>,</w:t>
      </w:r>
      <w:r w:rsidR="002D66FD">
        <w:rPr>
          <w:rFonts w:ascii="Garamond" w:hAnsi="Garamond" w:cs="Times New Roman"/>
          <w:sz w:val="24"/>
          <w:szCs w:val="24"/>
        </w:rPr>
        <w:t xml:space="preserve"> </w:t>
      </w:r>
      <w:r w:rsidR="00ED18B0">
        <w:rPr>
          <w:rFonts w:ascii="Garamond" w:hAnsi="Garamond" w:cs="Times New Roman"/>
          <w:sz w:val="24"/>
          <w:szCs w:val="24"/>
        </w:rPr>
        <w:t xml:space="preserve">including environmental, health, and social welfare programs. </w:t>
      </w:r>
      <w:r w:rsidR="00622519">
        <w:rPr>
          <w:rFonts w:ascii="Garamond" w:hAnsi="Garamond" w:cs="Times New Roman"/>
          <w:sz w:val="24"/>
          <w:szCs w:val="24"/>
        </w:rPr>
        <w:t>Given these polarized perspectives on the administrativ</w:t>
      </w:r>
      <w:r w:rsidR="00ED18B0">
        <w:rPr>
          <w:rFonts w:ascii="Garamond" w:hAnsi="Garamond" w:cs="Times New Roman"/>
          <w:sz w:val="24"/>
          <w:szCs w:val="24"/>
        </w:rPr>
        <w:t xml:space="preserve">e state, we expect </w:t>
      </w:r>
      <w:r w:rsidR="00622519">
        <w:rPr>
          <w:rFonts w:ascii="Garamond" w:hAnsi="Garamond" w:cs="Times New Roman"/>
          <w:sz w:val="24"/>
          <w:szCs w:val="24"/>
        </w:rPr>
        <w:t xml:space="preserve">Republican legislators to </w:t>
      </w:r>
      <w:r w:rsidR="00ED18B0">
        <w:rPr>
          <w:rFonts w:ascii="Garamond" w:hAnsi="Garamond" w:cs="Times New Roman"/>
          <w:sz w:val="24"/>
          <w:szCs w:val="24"/>
        </w:rPr>
        <w:t>exert less effort</w:t>
      </w:r>
      <w:r w:rsidR="00AF3175">
        <w:rPr>
          <w:rFonts w:ascii="Garamond" w:hAnsi="Garamond" w:cs="Times New Roman"/>
          <w:sz w:val="24"/>
          <w:szCs w:val="24"/>
        </w:rPr>
        <w:t xml:space="preserve"> on average</w:t>
      </w:r>
      <w:r w:rsidR="00ED18B0">
        <w:rPr>
          <w:rFonts w:ascii="Garamond" w:hAnsi="Garamond" w:cs="Times New Roman"/>
          <w:sz w:val="24"/>
          <w:szCs w:val="24"/>
        </w:rPr>
        <w:t xml:space="preserve"> to ensure the effective functioning of federal agencies than </w:t>
      </w:r>
      <w:r w:rsidR="00622519">
        <w:rPr>
          <w:rFonts w:ascii="Garamond" w:hAnsi="Garamond" w:cs="Times New Roman"/>
          <w:sz w:val="24"/>
          <w:szCs w:val="24"/>
        </w:rPr>
        <w:t xml:space="preserve">Democratic legislators (H1).  </w:t>
      </w:r>
    </w:p>
    <w:p w14:paraId="30A61522" w14:textId="0C2AF705" w:rsidR="00580820" w:rsidRDefault="000E0175" w:rsidP="00F47DF5">
      <w:pPr>
        <w:spacing w:after="0" w:line="480" w:lineRule="auto"/>
        <w:ind w:firstLine="720"/>
        <w:rPr>
          <w:rFonts w:ascii="Garamond" w:hAnsi="Garamond" w:cs="Times New Roman"/>
          <w:sz w:val="24"/>
          <w:szCs w:val="24"/>
        </w:rPr>
      </w:pPr>
      <w:r>
        <w:rPr>
          <w:rFonts w:ascii="Garamond" w:hAnsi="Garamond" w:cs="Times New Roman"/>
          <w:sz w:val="24"/>
          <w:szCs w:val="24"/>
        </w:rPr>
        <w:t xml:space="preserve">Of course, </w:t>
      </w:r>
      <w:r w:rsidR="00622519">
        <w:rPr>
          <w:rFonts w:ascii="Garamond" w:hAnsi="Garamond" w:cs="Times New Roman"/>
          <w:sz w:val="24"/>
          <w:szCs w:val="24"/>
        </w:rPr>
        <w:t>the administrative state is not a monolith</w:t>
      </w:r>
      <w:r w:rsidR="005761EC">
        <w:rPr>
          <w:rFonts w:ascii="Garamond" w:hAnsi="Garamond" w:cs="Times New Roman"/>
          <w:sz w:val="24"/>
          <w:szCs w:val="24"/>
        </w:rPr>
        <w:t xml:space="preserve">, and </w:t>
      </w:r>
      <w:r w:rsidR="00BB1A42">
        <w:rPr>
          <w:rFonts w:ascii="Garamond" w:hAnsi="Garamond" w:cs="Times New Roman"/>
          <w:sz w:val="24"/>
          <w:szCs w:val="24"/>
        </w:rPr>
        <w:t xml:space="preserve">Republican legislators may exert effort to oversee agencies more consonant with their </w:t>
      </w:r>
      <w:r w:rsidR="00D52A24">
        <w:rPr>
          <w:rFonts w:ascii="Garamond" w:hAnsi="Garamond" w:cs="Times New Roman"/>
          <w:sz w:val="24"/>
          <w:szCs w:val="24"/>
        </w:rPr>
        <w:t>policy</w:t>
      </w:r>
      <w:r w:rsidR="00BB1A42">
        <w:rPr>
          <w:rFonts w:ascii="Garamond" w:hAnsi="Garamond" w:cs="Times New Roman"/>
          <w:sz w:val="24"/>
          <w:szCs w:val="24"/>
        </w:rPr>
        <w:t xml:space="preserve"> and </w:t>
      </w:r>
      <w:r w:rsidR="00D52A24">
        <w:rPr>
          <w:rFonts w:ascii="Garamond" w:hAnsi="Garamond" w:cs="Times New Roman"/>
          <w:sz w:val="24"/>
          <w:szCs w:val="24"/>
        </w:rPr>
        <w:t>electoral</w:t>
      </w:r>
      <w:r w:rsidR="00BB1A42">
        <w:rPr>
          <w:rFonts w:ascii="Garamond" w:hAnsi="Garamond" w:cs="Times New Roman"/>
          <w:sz w:val="24"/>
          <w:szCs w:val="24"/>
        </w:rPr>
        <w:t xml:space="preserve"> goals.</w:t>
      </w:r>
      <w:r w:rsidR="00580820">
        <w:rPr>
          <w:rFonts w:ascii="Garamond" w:hAnsi="Garamond" w:cs="Times New Roman"/>
          <w:sz w:val="24"/>
          <w:szCs w:val="24"/>
        </w:rPr>
        <w:t xml:space="preserve"> Some agencies have missions that are more consistent with each legislator’s preference</w:t>
      </w:r>
      <w:r w:rsidR="00D52A24">
        <w:rPr>
          <w:rFonts w:ascii="Garamond" w:hAnsi="Garamond" w:cs="Times New Roman"/>
          <w:sz w:val="24"/>
          <w:szCs w:val="24"/>
        </w:rPr>
        <w:t>s</w:t>
      </w:r>
      <w:r w:rsidR="00DD6A07">
        <w:rPr>
          <w:rFonts w:ascii="Garamond" w:hAnsi="Garamond" w:cs="Times New Roman"/>
          <w:sz w:val="24"/>
          <w:szCs w:val="24"/>
        </w:rPr>
        <w:t xml:space="preserve"> (Richardson et al. 2018)</w:t>
      </w:r>
      <w:r w:rsidR="00580820">
        <w:rPr>
          <w:rFonts w:ascii="Garamond" w:hAnsi="Garamond" w:cs="Times New Roman"/>
          <w:sz w:val="24"/>
          <w:szCs w:val="24"/>
        </w:rPr>
        <w:t xml:space="preserve">. For example, the mission of the largely conservative defense agencies aligns more closely with the ideology of a Republican legislator than the mission of the Environmental Protection Agency. While Democratic legislators are generally supportive of the administrative state’s policy goals, Republican legislators may be more willing to invest time and effort to support agencies whose ideological </w:t>
      </w:r>
      <w:r w:rsidR="00B2520D">
        <w:rPr>
          <w:rFonts w:ascii="Garamond" w:hAnsi="Garamond" w:cs="Times New Roman"/>
          <w:sz w:val="24"/>
          <w:szCs w:val="24"/>
        </w:rPr>
        <w:t>leanings</w:t>
      </w:r>
      <w:r w:rsidR="00580820">
        <w:rPr>
          <w:rFonts w:ascii="Garamond" w:hAnsi="Garamond" w:cs="Times New Roman"/>
          <w:sz w:val="24"/>
          <w:szCs w:val="24"/>
        </w:rPr>
        <w:t xml:space="preserve"> make them more likely to produce conservative policies. Therefore, we expect Republican </w:t>
      </w:r>
      <w:r w:rsidR="00F3498C">
        <w:rPr>
          <w:rFonts w:ascii="Garamond" w:hAnsi="Garamond" w:cs="Times New Roman"/>
          <w:sz w:val="24"/>
          <w:szCs w:val="24"/>
        </w:rPr>
        <w:t>members of Congress</w:t>
      </w:r>
      <w:r w:rsidR="00580820">
        <w:rPr>
          <w:rFonts w:ascii="Garamond" w:hAnsi="Garamond" w:cs="Times New Roman"/>
          <w:sz w:val="24"/>
          <w:szCs w:val="24"/>
        </w:rPr>
        <w:t xml:space="preserve"> to exert more supportive oversight for conservative agencies (H2).</w:t>
      </w:r>
    </w:p>
    <w:p w14:paraId="682BEAD6" w14:textId="16C5C544" w:rsidR="00A840F0" w:rsidRDefault="005761EC" w:rsidP="00F47DF5">
      <w:pPr>
        <w:spacing w:after="0" w:line="480" w:lineRule="auto"/>
        <w:ind w:firstLine="720"/>
        <w:rPr>
          <w:rFonts w:ascii="Garamond" w:hAnsi="Garamond" w:cs="Times New Roman"/>
          <w:sz w:val="24"/>
          <w:szCs w:val="24"/>
        </w:rPr>
      </w:pPr>
      <w:r>
        <w:rPr>
          <w:rFonts w:ascii="Garamond" w:hAnsi="Garamond" w:cs="Times New Roman"/>
          <w:sz w:val="24"/>
          <w:szCs w:val="24"/>
        </w:rPr>
        <w:t xml:space="preserve"> </w:t>
      </w:r>
      <w:r w:rsidR="00BB1A42">
        <w:rPr>
          <w:rFonts w:ascii="Garamond" w:hAnsi="Garamond" w:cs="Times New Roman"/>
          <w:sz w:val="24"/>
          <w:szCs w:val="24"/>
        </w:rPr>
        <w:t xml:space="preserve"> </w:t>
      </w:r>
      <w:r w:rsidR="00580820">
        <w:rPr>
          <w:rFonts w:ascii="Garamond" w:hAnsi="Garamond" w:cs="Times New Roman"/>
          <w:sz w:val="24"/>
          <w:szCs w:val="24"/>
        </w:rPr>
        <w:t>Additionally</w:t>
      </w:r>
      <w:r w:rsidR="00622519">
        <w:rPr>
          <w:rFonts w:ascii="Garamond" w:hAnsi="Garamond" w:cs="Times New Roman"/>
          <w:sz w:val="24"/>
          <w:szCs w:val="24"/>
        </w:rPr>
        <w:t xml:space="preserve">, </w:t>
      </w:r>
      <w:r w:rsidR="00185BC4">
        <w:rPr>
          <w:rFonts w:ascii="Garamond" w:hAnsi="Garamond" w:cs="Times New Roman"/>
          <w:sz w:val="24"/>
          <w:szCs w:val="24"/>
        </w:rPr>
        <w:t>some agencies focus on providing federal resources to key constituencies through grants, contracts, and other distributive actions</w:t>
      </w:r>
      <w:r w:rsidR="00B2520D">
        <w:rPr>
          <w:rFonts w:ascii="Garamond" w:hAnsi="Garamond" w:cs="Times New Roman"/>
          <w:sz w:val="24"/>
          <w:szCs w:val="24"/>
        </w:rPr>
        <w:t>. This</w:t>
      </w:r>
      <w:r w:rsidR="00185BC4">
        <w:rPr>
          <w:rFonts w:ascii="Garamond" w:hAnsi="Garamond" w:cs="Times New Roman"/>
          <w:sz w:val="24"/>
          <w:szCs w:val="24"/>
        </w:rPr>
        <w:t xml:space="preserve"> can create opportunities for </w:t>
      </w:r>
      <w:r w:rsidR="00F3498C">
        <w:rPr>
          <w:rFonts w:ascii="Garamond" w:hAnsi="Garamond" w:cs="Times New Roman"/>
          <w:sz w:val="24"/>
          <w:szCs w:val="24"/>
        </w:rPr>
        <w:t>members of Congress</w:t>
      </w:r>
      <w:r w:rsidR="00185BC4">
        <w:rPr>
          <w:rFonts w:ascii="Garamond" w:hAnsi="Garamond" w:cs="Times New Roman"/>
          <w:sz w:val="24"/>
          <w:szCs w:val="24"/>
        </w:rPr>
        <w:t xml:space="preserve"> to secure and claim credit for goods directed to their states (</w:t>
      </w:r>
      <w:r w:rsidR="00CF57C1">
        <w:rPr>
          <w:rFonts w:ascii="Garamond" w:hAnsi="Garamond" w:cs="Times New Roman"/>
          <w:sz w:val="24"/>
          <w:szCs w:val="24"/>
        </w:rPr>
        <w:t xml:space="preserve">Fenno 1978; </w:t>
      </w:r>
      <w:r w:rsidR="0054038A">
        <w:rPr>
          <w:rFonts w:ascii="Garamond" w:hAnsi="Garamond" w:cs="Times New Roman"/>
          <w:sz w:val="24"/>
          <w:szCs w:val="24"/>
        </w:rPr>
        <w:t>Mayhew 1974</w:t>
      </w:r>
      <w:r w:rsidR="00185BC4">
        <w:rPr>
          <w:rFonts w:ascii="Garamond" w:hAnsi="Garamond" w:cs="Times New Roman"/>
          <w:sz w:val="24"/>
          <w:szCs w:val="24"/>
        </w:rPr>
        <w:t xml:space="preserve">). While Democratic legislators </w:t>
      </w:r>
      <w:r w:rsidR="00580820">
        <w:rPr>
          <w:rFonts w:ascii="Garamond" w:hAnsi="Garamond" w:cs="Times New Roman"/>
          <w:sz w:val="24"/>
          <w:szCs w:val="24"/>
        </w:rPr>
        <w:t>may support the administrative state</w:t>
      </w:r>
      <w:r w:rsidR="00BB1A42">
        <w:rPr>
          <w:rFonts w:ascii="Garamond" w:hAnsi="Garamond" w:cs="Times New Roman"/>
          <w:sz w:val="24"/>
          <w:szCs w:val="24"/>
        </w:rPr>
        <w:t xml:space="preserve"> even when distributive goods are not at play</w:t>
      </w:r>
      <w:r w:rsidR="00185BC4">
        <w:rPr>
          <w:rFonts w:ascii="Garamond" w:hAnsi="Garamond" w:cs="Times New Roman"/>
          <w:sz w:val="24"/>
          <w:szCs w:val="24"/>
        </w:rPr>
        <w:t xml:space="preserve">, the potential to extract electorally beneficial federal resources from agencies may </w:t>
      </w:r>
      <w:r w:rsidR="0092097E">
        <w:rPr>
          <w:rFonts w:ascii="Garamond" w:hAnsi="Garamond" w:cs="Times New Roman"/>
          <w:sz w:val="24"/>
          <w:szCs w:val="24"/>
        </w:rPr>
        <w:t>reduce the differences in party support for administrative agencies</w:t>
      </w:r>
      <w:r w:rsidR="00185BC4">
        <w:rPr>
          <w:rFonts w:ascii="Garamond" w:hAnsi="Garamond" w:cs="Times New Roman"/>
          <w:sz w:val="24"/>
          <w:szCs w:val="24"/>
        </w:rPr>
        <w:t xml:space="preserve"> (H3).</w:t>
      </w:r>
    </w:p>
    <w:p w14:paraId="77DCF585" w14:textId="77777777" w:rsidR="00484A59" w:rsidRPr="00176338" w:rsidRDefault="00484A59" w:rsidP="00D1181F">
      <w:pPr>
        <w:spacing w:after="0" w:line="480" w:lineRule="auto"/>
        <w:rPr>
          <w:rFonts w:ascii="Garamond" w:hAnsi="Garamond" w:cs="Times New Roman"/>
          <w:sz w:val="24"/>
          <w:szCs w:val="24"/>
        </w:rPr>
      </w:pPr>
      <w:r>
        <w:rPr>
          <w:rFonts w:ascii="Garamond" w:hAnsi="Garamond" w:cs="Times New Roman"/>
          <w:b/>
          <w:bCs/>
          <w:sz w:val="24"/>
          <w:szCs w:val="24"/>
        </w:rPr>
        <w:t>Data, Variables, and Methods</w:t>
      </w:r>
    </w:p>
    <w:p w14:paraId="76419467" w14:textId="1F90D18A" w:rsidR="00994A19" w:rsidRDefault="005E60DA" w:rsidP="00994A19">
      <w:pPr>
        <w:spacing w:after="0" w:line="480" w:lineRule="auto"/>
        <w:ind w:firstLine="720"/>
        <w:rPr>
          <w:rFonts w:ascii="Garamond" w:hAnsi="Garamond"/>
          <w:sz w:val="24"/>
          <w:szCs w:val="24"/>
        </w:rPr>
      </w:pPr>
      <w:r>
        <w:rPr>
          <w:rFonts w:ascii="Garamond" w:hAnsi="Garamond"/>
          <w:sz w:val="24"/>
          <w:szCs w:val="24"/>
        </w:rPr>
        <w:t>E</w:t>
      </w:r>
      <w:r w:rsidR="00484A59">
        <w:rPr>
          <w:rFonts w:ascii="Garamond" w:hAnsi="Garamond"/>
          <w:sz w:val="24"/>
          <w:szCs w:val="24"/>
        </w:rPr>
        <w:t xml:space="preserve">valuating the time and effort </w:t>
      </w:r>
      <w:r w:rsidR="00484A59" w:rsidRPr="001441BE">
        <w:rPr>
          <w:rFonts w:ascii="Garamond" w:hAnsi="Garamond"/>
          <w:sz w:val="24"/>
          <w:szCs w:val="24"/>
        </w:rPr>
        <w:t>individual legislators</w:t>
      </w:r>
      <w:r w:rsidR="008335AE">
        <w:rPr>
          <w:rFonts w:ascii="Garamond" w:hAnsi="Garamond"/>
          <w:sz w:val="24"/>
          <w:szCs w:val="24"/>
        </w:rPr>
        <w:t xml:space="preserve"> and their staffs</w:t>
      </w:r>
      <w:r w:rsidR="00484A59" w:rsidRPr="001441BE">
        <w:rPr>
          <w:rFonts w:ascii="Garamond" w:hAnsi="Garamond"/>
          <w:sz w:val="24"/>
          <w:szCs w:val="24"/>
        </w:rPr>
        <w:t xml:space="preserve"> allocate to </w:t>
      </w:r>
      <w:r w:rsidR="00A43AE4" w:rsidRPr="001441BE">
        <w:rPr>
          <w:rFonts w:ascii="Garamond" w:hAnsi="Garamond"/>
          <w:sz w:val="24"/>
          <w:szCs w:val="24"/>
        </w:rPr>
        <w:t>make sure</w:t>
      </w:r>
      <w:r w:rsidR="00484A59" w:rsidRPr="001441BE">
        <w:rPr>
          <w:rFonts w:ascii="Garamond" w:hAnsi="Garamond"/>
          <w:sz w:val="24"/>
          <w:szCs w:val="24"/>
        </w:rPr>
        <w:t xml:space="preserve"> federal agencies</w:t>
      </w:r>
      <w:r w:rsidR="00A43AE4" w:rsidRPr="001441BE">
        <w:rPr>
          <w:rFonts w:ascii="Garamond" w:hAnsi="Garamond"/>
          <w:sz w:val="24"/>
          <w:szCs w:val="24"/>
        </w:rPr>
        <w:t xml:space="preserve"> are effective</w:t>
      </w:r>
      <w:r w:rsidR="00484A59" w:rsidRPr="001441BE">
        <w:rPr>
          <w:rFonts w:ascii="Garamond" w:hAnsi="Garamond"/>
          <w:sz w:val="24"/>
          <w:szCs w:val="24"/>
        </w:rPr>
        <w:t xml:space="preserve"> is </w:t>
      </w:r>
      <w:r w:rsidRPr="001441BE">
        <w:rPr>
          <w:rFonts w:ascii="Garamond" w:hAnsi="Garamond"/>
          <w:sz w:val="24"/>
          <w:szCs w:val="24"/>
        </w:rPr>
        <w:t xml:space="preserve">difficult because </w:t>
      </w:r>
      <w:r w:rsidR="00484A59" w:rsidRPr="001441BE">
        <w:rPr>
          <w:rFonts w:ascii="Garamond" w:hAnsi="Garamond"/>
          <w:sz w:val="24"/>
          <w:szCs w:val="24"/>
        </w:rPr>
        <w:t xml:space="preserve">much oversight activity is </w:t>
      </w:r>
      <w:r w:rsidR="001441BE">
        <w:rPr>
          <w:rFonts w:ascii="Garamond" w:hAnsi="Garamond"/>
          <w:sz w:val="24"/>
          <w:szCs w:val="24"/>
        </w:rPr>
        <w:t>hard to observe</w:t>
      </w:r>
      <w:r w:rsidR="001441BE" w:rsidRPr="001441BE">
        <w:rPr>
          <w:rFonts w:ascii="Garamond" w:hAnsi="Garamond"/>
          <w:sz w:val="24"/>
          <w:szCs w:val="24"/>
        </w:rPr>
        <w:t xml:space="preserve"> (Lowande </w:t>
      </w:r>
      <w:r w:rsidR="001441BE" w:rsidRPr="001441BE">
        <w:rPr>
          <w:rFonts w:ascii="Garamond" w:hAnsi="Garamond"/>
          <w:sz w:val="24"/>
          <w:szCs w:val="24"/>
        </w:rPr>
        <w:lastRenderedPageBreak/>
        <w:t>2018; Lowande, Ritchie, and Lauterbach 2019)</w:t>
      </w:r>
      <w:r w:rsidR="00484A59" w:rsidRPr="001441BE">
        <w:rPr>
          <w:rFonts w:ascii="Garamond" w:hAnsi="Garamond"/>
          <w:sz w:val="24"/>
          <w:szCs w:val="24"/>
        </w:rPr>
        <w:t xml:space="preserve">. </w:t>
      </w:r>
      <w:r w:rsidR="00D52A24">
        <w:rPr>
          <w:rFonts w:ascii="Garamond" w:hAnsi="Garamond"/>
          <w:sz w:val="24"/>
          <w:szCs w:val="24"/>
        </w:rPr>
        <w:t>Some</w:t>
      </w:r>
      <w:r w:rsidRPr="001441BE">
        <w:rPr>
          <w:rFonts w:ascii="Garamond" w:hAnsi="Garamond"/>
          <w:sz w:val="24"/>
          <w:szCs w:val="24"/>
        </w:rPr>
        <w:t xml:space="preserve"> oversight activities</w:t>
      </w:r>
      <w:r>
        <w:rPr>
          <w:rFonts w:ascii="Garamond" w:hAnsi="Garamond"/>
          <w:sz w:val="24"/>
          <w:szCs w:val="24"/>
        </w:rPr>
        <w:t xml:space="preserve"> occur in public view</w:t>
      </w:r>
      <w:r w:rsidR="00D52A24">
        <w:rPr>
          <w:rFonts w:ascii="Garamond" w:hAnsi="Garamond"/>
          <w:sz w:val="24"/>
          <w:szCs w:val="24"/>
        </w:rPr>
        <w:t xml:space="preserve"> and are easy to measure</w:t>
      </w:r>
      <w:r>
        <w:rPr>
          <w:rFonts w:ascii="Garamond" w:hAnsi="Garamond"/>
          <w:sz w:val="24"/>
          <w:szCs w:val="24"/>
        </w:rPr>
        <w:t>, such as committee hearings</w:t>
      </w:r>
      <w:r w:rsidR="00D52A24">
        <w:rPr>
          <w:rFonts w:ascii="Garamond" w:hAnsi="Garamond"/>
          <w:sz w:val="24"/>
          <w:szCs w:val="24"/>
        </w:rPr>
        <w:t>.  However,</w:t>
      </w:r>
      <w:r w:rsidR="00484A59">
        <w:rPr>
          <w:rFonts w:ascii="Garamond" w:hAnsi="Garamond"/>
          <w:sz w:val="24"/>
          <w:szCs w:val="24"/>
        </w:rPr>
        <w:t xml:space="preserve"> </w:t>
      </w:r>
      <w:r w:rsidR="00D52A24">
        <w:rPr>
          <w:rFonts w:ascii="Garamond" w:hAnsi="Garamond"/>
          <w:sz w:val="24"/>
          <w:szCs w:val="24"/>
        </w:rPr>
        <w:t>effective oversight requires extensive work behind</w:t>
      </w:r>
      <w:r w:rsidR="004F166D">
        <w:rPr>
          <w:rFonts w:ascii="Garamond" w:hAnsi="Garamond"/>
          <w:sz w:val="24"/>
          <w:szCs w:val="24"/>
        </w:rPr>
        <w:t xml:space="preserve"> closed doors</w:t>
      </w:r>
      <w:r w:rsidR="00D52A24">
        <w:rPr>
          <w:rFonts w:ascii="Garamond" w:hAnsi="Garamond"/>
          <w:sz w:val="24"/>
          <w:szCs w:val="24"/>
        </w:rPr>
        <w:t>, including</w:t>
      </w:r>
      <w:r w:rsidR="00484A59">
        <w:rPr>
          <w:rFonts w:ascii="Garamond" w:hAnsi="Garamond"/>
          <w:sz w:val="24"/>
          <w:szCs w:val="24"/>
        </w:rPr>
        <w:t xml:space="preserve"> reading materials, holding meetings, making telephone calls, and conducting site visits</w:t>
      </w:r>
      <w:r w:rsidR="004F4E91">
        <w:rPr>
          <w:rFonts w:ascii="Garamond" w:hAnsi="Garamond"/>
          <w:sz w:val="24"/>
          <w:szCs w:val="24"/>
        </w:rPr>
        <w:t xml:space="preserve"> (Zegart 2011)</w:t>
      </w:r>
      <w:r w:rsidR="00D52A24">
        <w:rPr>
          <w:rFonts w:ascii="Garamond" w:hAnsi="Garamond"/>
          <w:sz w:val="24"/>
          <w:szCs w:val="24"/>
        </w:rPr>
        <w:t>, and these activities are difficult to systematically catalog</w:t>
      </w:r>
      <w:r w:rsidR="00484A59">
        <w:rPr>
          <w:rFonts w:ascii="Garamond" w:hAnsi="Garamond"/>
          <w:sz w:val="24"/>
          <w:szCs w:val="24"/>
        </w:rPr>
        <w:t>.</w:t>
      </w:r>
      <w:r w:rsidR="00C03F9F">
        <w:rPr>
          <w:rStyle w:val="FootnoteReference"/>
          <w:rFonts w:ascii="Garamond" w:hAnsi="Garamond"/>
          <w:sz w:val="24"/>
          <w:szCs w:val="24"/>
        </w:rPr>
        <w:footnoteReference w:id="1"/>
      </w:r>
      <w:r w:rsidR="00DD542A">
        <w:rPr>
          <w:rFonts w:ascii="Garamond" w:hAnsi="Garamond"/>
          <w:sz w:val="24"/>
          <w:szCs w:val="24"/>
        </w:rPr>
        <w:t xml:space="preserve"> </w:t>
      </w:r>
      <w:r w:rsidR="0011539E">
        <w:rPr>
          <w:rFonts w:ascii="Garamond" w:hAnsi="Garamond"/>
          <w:sz w:val="24"/>
          <w:szCs w:val="24"/>
        </w:rPr>
        <w:t>To measure the</w:t>
      </w:r>
      <w:r w:rsidR="001441BE">
        <w:rPr>
          <w:rFonts w:ascii="Garamond" w:hAnsi="Garamond"/>
          <w:sz w:val="24"/>
          <w:szCs w:val="24"/>
        </w:rPr>
        <w:t xml:space="preserve"> overall</w:t>
      </w:r>
      <w:r w:rsidR="0011539E">
        <w:rPr>
          <w:rFonts w:ascii="Garamond" w:hAnsi="Garamond"/>
          <w:sz w:val="24"/>
          <w:szCs w:val="24"/>
        </w:rPr>
        <w:t xml:space="preserve"> effort legislators put into oversight</w:t>
      </w:r>
      <w:r w:rsidR="001441BE">
        <w:rPr>
          <w:rFonts w:ascii="Garamond" w:hAnsi="Garamond"/>
          <w:sz w:val="24"/>
          <w:szCs w:val="24"/>
        </w:rPr>
        <w:t>,</w:t>
      </w:r>
      <w:r w:rsidR="0011539E">
        <w:rPr>
          <w:rFonts w:ascii="Garamond" w:hAnsi="Garamond"/>
          <w:sz w:val="24"/>
          <w:szCs w:val="24"/>
        </w:rPr>
        <w:t xml:space="preserve"> w</w:t>
      </w:r>
      <w:r w:rsidR="00DD542A">
        <w:rPr>
          <w:rFonts w:ascii="Garamond" w:hAnsi="Garamond"/>
          <w:sz w:val="24"/>
          <w:szCs w:val="24"/>
        </w:rPr>
        <w:t xml:space="preserve">e </w:t>
      </w:r>
      <w:r w:rsidR="0011539E">
        <w:rPr>
          <w:rFonts w:ascii="Garamond" w:hAnsi="Garamond"/>
          <w:sz w:val="24"/>
          <w:szCs w:val="24"/>
        </w:rPr>
        <w:t>utilize</w:t>
      </w:r>
      <w:r w:rsidR="007D3673">
        <w:rPr>
          <w:rFonts w:ascii="Garamond" w:hAnsi="Garamond"/>
          <w:sz w:val="24"/>
          <w:szCs w:val="24"/>
        </w:rPr>
        <w:t xml:space="preserve"> federal executives’</w:t>
      </w:r>
      <w:r w:rsidR="00484A59">
        <w:rPr>
          <w:rFonts w:ascii="Garamond" w:hAnsi="Garamond"/>
          <w:sz w:val="24"/>
          <w:szCs w:val="24"/>
        </w:rPr>
        <w:t xml:space="preserve"> perceptions of senator</w:t>
      </w:r>
      <w:r w:rsidR="007D3673">
        <w:rPr>
          <w:rFonts w:ascii="Garamond" w:hAnsi="Garamond"/>
          <w:sz w:val="24"/>
          <w:szCs w:val="24"/>
        </w:rPr>
        <w:t>ial</w:t>
      </w:r>
      <w:r w:rsidR="00484A59">
        <w:rPr>
          <w:rFonts w:ascii="Garamond" w:hAnsi="Garamond"/>
          <w:sz w:val="24"/>
          <w:szCs w:val="24"/>
        </w:rPr>
        <w:t xml:space="preserve"> </w:t>
      </w:r>
      <w:r w:rsidR="007D3673">
        <w:rPr>
          <w:rFonts w:ascii="Garamond" w:hAnsi="Garamond"/>
          <w:sz w:val="24"/>
          <w:szCs w:val="24"/>
        </w:rPr>
        <w:t>oversight</w:t>
      </w:r>
      <w:r w:rsidR="00C14E58">
        <w:rPr>
          <w:rFonts w:ascii="Garamond" w:hAnsi="Garamond"/>
          <w:sz w:val="24"/>
          <w:szCs w:val="24"/>
        </w:rPr>
        <w:t>.</w:t>
      </w:r>
      <w:r w:rsidR="00DD542A">
        <w:rPr>
          <w:rFonts w:ascii="Garamond" w:hAnsi="Garamond"/>
          <w:sz w:val="24"/>
          <w:szCs w:val="24"/>
        </w:rPr>
        <w:t xml:space="preserve"> As the targets of legislators’ collective public and private oversight, these </w:t>
      </w:r>
      <w:r w:rsidR="00B02FB1">
        <w:rPr>
          <w:rFonts w:ascii="Garamond" w:hAnsi="Garamond"/>
          <w:sz w:val="24"/>
          <w:szCs w:val="24"/>
        </w:rPr>
        <w:t>agency leaders</w:t>
      </w:r>
      <w:r w:rsidR="00DD542A">
        <w:rPr>
          <w:rFonts w:ascii="Garamond" w:hAnsi="Garamond"/>
          <w:sz w:val="24"/>
          <w:szCs w:val="24"/>
        </w:rPr>
        <w:t xml:space="preserve"> possess unique knowledge of the time and effort </w:t>
      </w:r>
      <w:r w:rsidR="00E3778A">
        <w:rPr>
          <w:rFonts w:ascii="Garamond" w:hAnsi="Garamond"/>
          <w:sz w:val="24"/>
          <w:szCs w:val="24"/>
        </w:rPr>
        <w:t>legislators</w:t>
      </w:r>
      <w:r w:rsidR="00DD542A">
        <w:rPr>
          <w:rFonts w:ascii="Garamond" w:hAnsi="Garamond"/>
          <w:sz w:val="24"/>
          <w:szCs w:val="24"/>
        </w:rPr>
        <w:t xml:space="preserve"> allocate to making sure their agencies are well-run across the myriad</w:t>
      </w:r>
      <w:r w:rsidR="00642A10">
        <w:rPr>
          <w:rFonts w:ascii="Garamond" w:hAnsi="Garamond"/>
          <w:sz w:val="24"/>
          <w:szCs w:val="24"/>
        </w:rPr>
        <w:t xml:space="preserve"> types of oversight activities in which </w:t>
      </w:r>
      <w:r w:rsidR="00E3778A">
        <w:rPr>
          <w:rFonts w:ascii="Garamond" w:hAnsi="Garamond"/>
          <w:sz w:val="24"/>
          <w:szCs w:val="24"/>
        </w:rPr>
        <w:t>they</w:t>
      </w:r>
      <w:r w:rsidR="00642A10">
        <w:rPr>
          <w:rFonts w:ascii="Garamond" w:hAnsi="Garamond"/>
          <w:sz w:val="24"/>
          <w:szCs w:val="24"/>
        </w:rPr>
        <w:t xml:space="preserve"> engage.</w:t>
      </w:r>
      <w:r w:rsidR="00484A59">
        <w:rPr>
          <w:rFonts w:ascii="Garamond" w:hAnsi="Garamond"/>
          <w:sz w:val="24"/>
          <w:szCs w:val="24"/>
        </w:rPr>
        <w:t xml:space="preserve"> </w:t>
      </w:r>
    </w:p>
    <w:p w14:paraId="605775D6" w14:textId="77777777" w:rsidR="004A4357" w:rsidRDefault="00642A10" w:rsidP="00E3778A">
      <w:pPr>
        <w:spacing w:after="0" w:line="480" w:lineRule="auto"/>
        <w:ind w:firstLine="720"/>
        <w:rPr>
          <w:rFonts w:ascii="Garamond" w:hAnsi="Garamond" w:cs="LMSans12-Regular"/>
          <w:sz w:val="24"/>
          <w:szCs w:val="24"/>
        </w:rPr>
      </w:pPr>
      <w:r>
        <w:rPr>
          <w:rFonts w:ascii="Garamond" w:hAnsi="Garamond"/>
          <w:sz w:val="24"/>
          <w:szCs w:val="24"/>
        </w:rPr>
        <w:t>We obtained these perceptions of senators’ supportive oversight using responses to</w:t>
      </w:r>
      <w:r w:rsidR="00647016">
        <w:rPr>
          <w:rFonts w:ascii="Garamond" w:hAnsi="Garamond"/>
          <w:sz w:val="24"/>
          <w:szCs w:val="24"/>
        </w:rPr>
        <w:t xml:space="preserve"> questions on</w:t>
      </w:r>
      <w:r>
        <w:rPr>
          <w:rFonts w:ascii="Garamond" w:hAnsi="Garamond"/>
          <w:sz w:val="24"/>
          <w:szCs w:val="24"/>
        </w:rPr>
        <w:t xml:space="preserve"> the</w:t>
      </w:r>
      <w:r w:rsidR="00C14E58">
        <w:rPr>
          <w:rFonts w:ascii="Garamond" w:hAnsi="Garamond"/>
          <w:sz w:val="24"/>
          <w:szCs w:val="24"/>
        </w:rPr>
        <w:t xml:space="preserve"> 2020 Survey on the Future of Government Service</w:t>
      </w:r>
      <w:r w:rsidR="00C764EE">
        <w:rPr>
          <w:rFonts w:ascii="Garamond" w:hAnsi="Garamond"/>
          <w:sz w:val="24"/>
          <w:szCs w:val="24"/>
        </w:rPr>
        <w:t xml:space="preserve"> (SFGS)</w:t>
      </w:r>
      <w:r w:rsidR="0042733C">
        <w:rPr>
          <w:rFonts w:ascii="Garamond" w:hAnsi="Garamond"/>
          <w:sz w:val="24"/>
          <w:szCs w:val="24"/>
        </w:rPr>
        <w:t>, a survey of career and appointed federal executives</w:t>
      </w:r>
      <w:r w:rsidR="00C14E58">
        <w:rPr>
          <w:rFonts w:ascii="Garamond" w:hAnsi="Garamond"/>
          <w:sz w:val="24"/>
          <w:szCs w:val="24"/>
        </w:rPr>
        <w:t>.</w:t>
      </w:r>
      <w:r w:rsidR="00C14E58">
        <w:rPr>
          <w:rStyle w:val="FootnoteReference"/>
          <w:rFonts w:ascii="Garamond" w:hAnsi="Garamond"/>
          <w:sz w:val="24"/>
          <w:szCs w:val="24"/>
        </w:rPr>
        <w:footnoteReference w:id="2"/>
      </w:r>
      <w:r w:rsidR="00C14E58">
        <w:rPr>
          <w:rFonts w:ascii="Garamond" w:hAnsi="Garamond"/>
          <w:sz w:val="24"/>
          <w:szCs w:val="24"/>
        </w:rPr>
        <w:t xml:space="preserve"> </w:t>
      </w:r>
      <w:r w:rsidR="00647016">
        <w:rPr>
          <w:rFonts w:ascii="Garamond" w:hAnsi="Garamond"/>
          <w:sz w:val="24"/>
          <w:szCs w:val="24"/>
        </w:rPr>
        <w:t xml:space="preserve">Within the survey, </w:t>
      </w:r>
      <w:r w:rsidR="007D3673">
        <w:rPr>
          <w:rFonts w:ascii="Garamond" w:hAnsi="Garamond"/>
          <w:sz w:val="24"/>
          <w:szCs w:val="24"/>
        </w:rPr>
        <w:t xml:space="preserve">researchers asked </w:t>
      </w:r>
      <w:r w:rsidR="005B2147">
        <w:rPr>
          <w:rFonts w:ascii="Garamond" w:hAnsi="Garamond"/>
          <w:sz w:val="24"/>
          <w:szCs w:val="24"/>
        </w:rPr>
        <w:t>federal executives</w:t>
      </w:r>
      <w:r w:rsidR="00647016">
        <w:rPr>
          <w:rFonts w:ascii="Garamond" w:hAnsi="Garamond"/>
          <w:sz w:val="24"/>
          <w:szCs w:val="24"/>
        </w:rPr>
        <w:t xml:space="preserve"> which Senate </w:t>
      </w:r>
      <w:r w:rsidR="005F3A00">
        <w:rPr>
          <w:rFonts w:ascii="Garamond" w:hAnsi="Garamond"/>
          <w:sz w:val="24"/>
          <w:szCs w:val="24"/>
        </w:rPr>
        <w:t xml:space="preserve">“committee’s jurisdiction overlaps most with the work of [your agency].” </w:t>
      </w:r>
      <w:r w:rsidR="007D3673">
        <w:rPr>
          <w:rFonts w:ascii="Garamond" w:hAnsi="Garamond"/>
          <w:sz w:val="24"/>
          <w:szCs w:val="24"/>
        </w:rPr>
        <w:t>Researchers</w:t>
      </w:r>
      <w:r w:rsidR="00E2486C">
        <w:rPr>
          <w:rFonts w:ascii="Garamond" w:hAnsi="Garamond"/>
          <w:sz w:val="24"/>
          <w:szCs w:val="24"/>
        </w:rPr>
        <w:t xml:space="preserve"> then</w:t>
      </w:r>
      <w:r w:rsidR="007D3673">
        <w:rPr>
          <w:rFonts w:ascii="Garamond" w:hAnsi="Garamond"/>
          <w:sz w:val="24"/>
          <w:szCs w:val="24"/>
        </w:rPr>
        <w:t xml:space="preserve"> presented</w:t>
      </w:r>
      <w:r w:rsidR="005F3A00">
        <w:rPr>
          <w:rFonts w:ascii="Garamond" w:hAnsi="Garamond"/>
          <w:sz w:val="24"/>
          <w:szCs w:val="24"/>
        </w:rPr>
        <w:t xml:space="preserve"> </w:t>
      </w:r>
      <w:r w:rsidR="005B2147">
        <w:rPr>
          <w:rFonts w:ascii="Garamond" w:hAnsi="Garamond"/>
          <w:sz w:val="24"/>
          <w:szCs w:val="24"/>
        </w:rPr>
        <w:t>executives</w:t>
      </w:r>
      <w:r w:rsidR="005F3A00">
        <w:rPr>
          <w:rFonts w:ascii="Garamond" w:hAnsi="Garamond"/>
          <w:sz w:val="24"/>
          <w:szCs w:val="24"/>
        </w:rPr>
        <w:t xml:space="preserve"> with a</w:t>
      </w:r>
      <w:r w:rsidR="00B30EE5">
        <w:rPr>
          <w:rFonts w:ascii="Garamond" w:hAnsi="Garamond"/>
          <w:sz w:val="24"/>
          <w:szCs w:val="24"/>
        </w:rPr>
        <w:t xml:space="preserve"> set of 5</w:t>
      </w:r>
      <w:r w:rsidR="005F3A00">
        <w:rPr>
          <w:rFonts w:ascii="Garamond" w:hAnsi="Garamond"/>
          <w:sz w:val="24"/>
          <w:szCs w:val="24"/>
        </w:rPr>
        <w:t xml:space="preserve"> </w:t>
      </w:r>
      <w:r w:rsidR="00E2486C">
        <w:rPr>
          <w:rFonts w:ascii="Garamond" w:hAnsi="Garamond"/>
          <w:sz w:val="24"/>
          <w:szCs w:val="24"/>
        </w:rPr>
        <w:t>randomly selected</w:t>
      </w:r>
      <w:r w:rsidR="005F3A00">
        <w:rPr>
          <w:rFonts w:ascii="Garamond" w:hAnsi="Garamond"/>
          <w:sz w:val="24"/>
          <w:szCs w:val="24"/>
        </w:rPr>
        <w:t xml:space="preserve"> senators sitting on the committee they </w:t>
      </w:r>
      <w:r w:rsidR="00E2486C">
        <w:rPr>
          <w:rFonts w:ascii="Garamond" w:hAnsi="Garamond"/>
          <w:sz w:val="24"/>
          <w:szCs w:val="24"/>
        </w:rPr>
        <w:t>chose</w:t>
      </w:r>
      <w:r w:rsidR="00B30EE5">
        <w:rPr>
          <w:rFonts w:ascii="Garamond" w:hAnsi="Garamond"/>
          <w:sz w:val="24"/>
          <w:szCs w:val="24"/>
        </w:rPr>
        <w:t>.</w:t>
      </w:r>
      <w:r w:rsidR="00E3778A">
        <w:rPr>
          <w:rStyle w:val="FootnoteReference"/>
          <w:rFonts w:ascii="Garamond" w:hAnsi="Garamond"/>
          <w:sz w:val="24"/>
          <w:szCs w:val="24"/>
        </w:rPr>
        <w:footnoteReference w:id="3"/>
      </w:r>
      <w:r w:rsidR="00B30EE5">
        <w:rPr>
          <w:rFonts w:ascii="Garamond" w:hAnsi="Garamond"/>
          <w:sz w:val="24"/>
          <w:szCs w:val="24"/>
        </w:rPr>
        <w:t xml:space="preserve"> The survey</w:t>
      </w:r>
      <w:r w:rsidR="005F3A00">
        <w:rPr>
          <w:rFonts w:ascii="Garamond" w:hAnsi="Garamond"/>
          <w:sz w:val="24"/>
          <w:szCs w:val="24"/>
        </w:rPr>
        <w:t xml:space="preserve"> asked </w:t>
      </w:r>
      <w:r w:rsidR="00B30EE5">
        <w:rPr>
          <w:rFonts w:ascii="Garamond" w:hAnsi="Garamond"/>
          <w:sz w:val="24"/>
          <w:szCs w:val="24"/>
        </w:rPr>
        <w:t xml:space="preserve">them </w:t>
      </w:r>
      <w:r w:rsidR="005F3A00">
        <w:rPr>
          <w:rFonts w:ascii="Garamond" w:hAnsi="Garamond"/>
          <w:sz w:val="24"/>
          <w:szCs w:val="24"/>
        </w:rPr>
        <w:t>to indicate the extent to which each senator prioritizes</w:t>
      </w:r>
      <w:r w:rsidR="00647016">
        <w:rPr>
          <w:rFonts w:ascii="Garamond" w:hAnsi="Garamond"/>
          <w:sz w:val="24"/>
          <w:szCs w:val="24"/>
        </w:rPr>
        <w:t xml:space="preserve"> </w:t>
      </w:r>
      <w:r w:rsidR="00484A59">
        <w:rPr>
          <w:rFonts w:ascii="Garamond" w:hAnsi="Garamond"/>
          <w:sz w:val="24"/>
          <w:szCs w:val="24"/>
        </w:rPr>
        <w:t xml:space="preserve">“making sure [your agency] is an effectively managed, well-run organization” </w:t>
      </w:r>
      <w:r w:rsidR="00484A59">
        <w:rPr>
          <w:rFonts w:ascii="Garamond" w:hAnsi="Garamond" w:cs="LMSans12-Regular"/>
          <w:sz w:val="24"/>
          <w:szCs w:val="24"/>
        </w:rPr>
        <w:t>using a slider that allowed them to choose a continuous value</w:t>
      </w:r>
      <w:r w:rsidR="00484A59" w:rsidRPr="00240F47">
        <w:rPr>
          <w:rFonts w:ascii="Garamond" w:hAnsi="Garamond" w:cs="LMSans12-Regular"/>
          <w:sz w:val="24"/>
          <w:szCs w:val="24"/>
        </w:rPr>
        <w:t xml:space="preserve"> from 1</w:t>
      </w:r>
      <w:r w:rsidR="00484A59">
        <w:rPr>
          <w:rFonts w:ascii="Garamond" w:hAnsi="Garamond" w:cs="LMSans12-Regular"/>
          <w:sz w:val="24"/>
          <w:szCs w:val="24"/>
        </w:rPr>
        <w:t xml:space="preserve"> (“</w:t>
      </w:r>
      <w:r w:rsidR="00484A59" w:rsidRPr="00240F47">
        <w:rPr>
          <w:rFonts w:ascii="Garamond" w:hAnsi="Garamond" w:cs="LMSans12-Regular"/>
          <w:sz w:val="24"/>
          <w:szCs w:val="24"/>
        </w:rPr>
        <w:t>No priority</w:t>
      </w:r>
      <w:r w:rsidR="00484A59">
        <w:rPr>
          <w:rFonts w:ascii="Garamond" w:hAnsi="Garamond" w:cs="LMSans12-Regular"/>
          <w:sz w:val="24"/>
          <w:szCs w:val="24"/>
        </w:rPr>
        <w:t>”)</w:t>
      </w:r>
      <w:r w:rsidR="00484A59" w:rsidRPr="00240F47">
        <w:rPr>
          <w:rFonts w:ascii="Garamond" w:hAnsi="Garamond" w:cs="LMSans12-Regular"/>
          <w:sz w:val="24"/>
          <w:szCs w:val="24"/>
        </w:rPr>
        <w:t xml:space="preserve"> to 5</w:t>
      </w:r>
      <w:r w:rsidR="00484A59">
        <w:rPr>
          <w:rFonts w:ascii="Garamond" w:hAnsi="Garamond" w:cs="LMSans12-Regular"/>
          <w:sz w:val="24"/>
          <w:szCs w:val="24"/>
        </w:rPr>
        <w:t xml:space="preserve"> (“</w:t>
      </w:r>
      <w:r w:rsidR="00484A59" w:rsidRPr="00240F47">
        <w:rPr>
          <w:rFonts w:ascii="Garamond" w:hAnsi="Garamond" w:cs="LMSans12-Regular"/>
          <w:sz w:val="24"/>
          <w:szCs w:val="24"/>
        </w:rPr>
        <w:t>High priority</w:t>
      </w:r>
      <w:r w:rsidR="00484A59">
        <w:rPr>
          <w:rFonts w:ascii="Garamond" w:hAnsi="Garamond" w:cs="LMSans12-Regular"/>
          <w:sz w:val="24"/>
          <w:szCs w:val="24"/>
        </w:rPr>
        <w:t>”).</w:t>
      </w:r>
      <w:r w:rsidR="00B30EE5">
        <w:rPr>
          <w:rFonts w:ascii="Garamond" w:hAnsi="Garamond" w:cs="LMSans12-Regular"/>
          <w:sz w:val="24"/>
          <w:szCs w:val="24"/>
        </w:rPr>
        <w:t xml:space="preserve"> In total,</w:t>
      </w:r>
      <w:r w:rsidR="00C73F08">
        <w:rPr>
          <w:rFonts w:ascii="Garamond" w:hAnsi="Garamond" w:cs="LMSans12-Regular"/>
          <w:sz w:val="24"/>
          <w:szCs w:val="24"/>
        </w:rPr>
        <w:t xml:space="preserve"> </w:t>
      </w:r>
      <w:r w:rsidR="00A81086">
        <w:rPr>
          <w:rFonts w:ascii="Garamond" w:hAnsi="Garamond" w:cs="LMSans12-Regular"/>
          <w:sz w:val="24"/>
          <w:szCs w:val="24"/>
        </w:rPr>
        <w:t>660 r</w:t>
      </w:r>
      <w:r w:rsidR="007F0E31">
        <w:rPr>
          <w:rFonts w:ascii="Garamond" w:hAnsi="Garamond" w:cs="LMSans12-Regular"/>
          <w:sz w:val="24"/>
          <w:szCs w:val="24"/>
        </w:rPr>
        <w:t>espondents provided 2,000</w:t>
      </w:r>
      <w:r w:rsidR="00484A59">
        <w:rPr>
          <w:rFonts w:ascii="Garamond" w:hAnsi="Garamond" w:cs="LMSans12-Regular"/>
          <w:sz w:val="24"/>
          <w:szCs w:val="24"/>
        </w:rPr>
        <w:t xml:space="preserve"> ratings for 98 senators, and the mean and standard deviation of those ratings were 2.96 and </w:t>
      </w:r>
      <w:r w:rsidR="00E3778A">
        <w:rPr>
          <w:rFonts w:ascii="Garamond" w:hAnsi="Garamond" w:cs="LMSans12-Regular"/>
          <w:sz w:val="24"/>
          <w:szCs w:val="24"/>
        </w:rPr>
        <w:t>1.26, respectively.</w:t>
      </w:r>
      <w:r w:rsidR="00E3778A">
        <w:rPr>
          <w:rStyle w:val="FootnoteReference"/>
          <w:rFonts w:ascii="Garamond" w:hAnsi="Garamond" w:cs="LMSans12-Regular"/>
          <w:sz w:val="24"/>
          <w:szCs w:val="24"/>
        </w:rPr>
        <w:footnoteReference w:id="4"/>
      </w:r>
      <w:r w:rsidR="00E3778A">
        <w:rPr>
          <w:rFonts w:ascii="Garamond" w:hAnsi="Garamond" w:cs="LMSans12-Regular"/>
          <w:sz w:val="24"/>
          <w:szCs w:val="24"/>
        </w:rPr>
        <w:t xml:space="preserve">  </w:t>
      </w:r>
      <w:r w:rsidR="004A4357">
        <w:rPr>
          <w:rFonts w:ascii="Garamond" w:hAnsi="Garamond" w:cs="LMSans12-Regular"/>
          <w:sz w:val="24"/>
          <w:szCs w:val="24"/>
        </w:rPr>
        <w:t>Notably, these ratings reveal that most federal executives perceive senators exert</w:t>
      </w:r>
    </w:p>
    <w:p w14:paraId="009D1112" w14:textId="77777777" w:rsidR="004A4357" w:rsidRDefault="004A4357" w:rsidP="004A4357">
      <w:pPr>
        <w:spacing w:after="0" w:line="480" w:lineRule="auto"/>
        <w:jc w:val="center"/>
        <w:rPr>
          <w:rFonts w:ascii="Garamond" w:hAnsi="Garamond" w:cs="Times New Roman"/>
          <w:b/>
          <w:bCs/>
          <w:sz w:val="24"/>
          <w:szCs w:val="24"/>
        </w:rPr>
      </w:pPr>
      <w:r>
        <w:rPr>
          <w:rFonts w:ascii="Garamond" w:hAnsi="Garamond" w:cs="Times New Roman"/>
          <w:b/>
          <w:bCs/>
          <w:sz w:val="24"/>
          <w:szCs w:val="24"/>
        </w:rPr>
        <w:object w:dxaOrig="9720" w:dyaOrig="19440" w14:anchorId="778D3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600.75pt" o:ole="">
            <v:imagedata r:id="rId8" o:title=""/>
          </v:shape>
          <o:OLEObject Type="Embed" ProgID="Acrobat.Document.DC" ShapeID="_x0000_i1025" DrawAspect="Content" ObjectID="_1717829087" r:id="rId9"/>
        </w:object>
      </w:r>
    </w:p>
    <w:p w14:paraId="24A494AA" w14:textId="77777777" w:rsidR="004A4357" w:rsidRDefault="004A4357" w:rsidP="004A4357">
      <w:pPr>
        <w:spacing w:after="0" w:line="480" w:lineRule="auto"/>
        <w:jc w:val="center"/>
        <w:rPr>
          <w:rFonts w:ascii="Garamond" w:hAnsi="Garamond" w:cs="Times New Roman"/>
          <w:b/>
          <w:bCs/>
          <w:sz w:val="24"/>
          <w:szCs w:val="24"/>
        </w:rPr>
      </w:pPr>
      <w:r>
        <w:rPr>
          <w:rFonts w:ascii="Garamond" w:hAnsi="Garamond" w:cs="Times New Roman"/>
          <w:b/>
          <w:bCs/>
          <w:sz w:val="24"/>
          <w:szCs w:val="24"/>
        </w:rPr>
        <w:t>Figure 1.  IRT Estimates of Senators’ Supportive Oversight of Agencies, 2020</w:t>
      </w:r>
    </w:p>
    <w:p w14:paraId="72C3F117" w14:textId="28A4F691" w:rsidR="00484A59" w:rsidRPr="004A4357" w:rsidRDefault="004A4357" w:rsidP="00C702D8">
      <w:pPr>
        <w:spacing w:after="0" w:line="480" w:lineRule="auto"/>
        <w:rPr>
          <w:rFonts w:ascii="Garamond" w:hAnsi="Garamond" w:cs="LMSans12-Regular"/>
          <w:sz w:val="24"/>
          <w:szCs w:val="24"/>
        </w:rPr>
      </w:pPr>
      <w:r>
        <w:rPr>
          <w:rFonts w:ascii="Garamond" w:hAnsi="Garamond" w:cs="LMSans12-Regular"/>
          <w:sz w:val="24"/>
          <w:szCs w:val="24"/>
        </w:rPr>
        <w:lastRenderedPageBreak/>
        <w:t xml:space="preserve">moderate effort on oversight but with substantial variation, suggesting that electoral or partisan incentives may push legislators to allocate their effort in different ways.  </w:t>
      </w:r>
      <w:r w:rsidR="00E3778A">
        <w:rPr>
          <w:rFonts w:ascii="Garamond" w:hAnsi="Garamond" w:cs="LMSans12-Regular"/>
          <w:sz w:val="24"/>
          <w:szCs w:val="24"/>
        </w:rPr>
        <w:t>In Figure 1, we use our respondents’ ratings to calculate Bayesian item response</w:t>
      </w:r>
      <w:r>
        <w:rPr>
          <w:rFonts w:ascii="Garamond" w:hAnsi="Garamond" w:cs="LMSans12-Regular"/>
          <w:sz w:val="24"/>
          <w:szCs w:val="24"/>
        </w:rPr>
        <w:t xml:space="preserve"> </w:t>
      </w:r>
      <w:r w:rsidR="00AB7EEF">
        <w:rPr>
          <w:rFonts w:ascii="Garamond" w:hAnsi="Garamond" w:cs="LMSans12-Regular"/>
          <w:sz w:val="24"/>
          <w:szCs w:val="24"/>
        </w:rPr>
        <w:t>theory (IRT) estimates of each senators’ oversight effort.</w:t>
      </w:r>
      <w:r w:rsidR="00C702D8">
        <w:rPr>
          <w:rStyle w:val="FootnoteReference"/>
          <w:rFonts w:ascii="Garamond" w:hAnsi="Garamond" w:cs="LMSans12-Regular"/>
          <w:sz w:val="24"/>
          <w:szCs w:val="24"/>
        </w:rPr>
        <w:footnoteReference w:id="5"/>
      </w:r>
      <w:r w:rsidR="00AB7EEF">
        <w:rPr>
          <w:rFonts w:ascii="Garamond" w:hAnsi="Garamond" w:cs="LMSans12-Regular"/>
          <w:sz w:val="24"/>
          <w:szCs w:val="24"/>
        </w:rPr>
        <w:t xml:space="preserve">  These estimates provide preliminary support for H1, as Democratic senators (in blue) </w:t>
      </w:r>
      <w:r w:rsidR="00AB075F">
        <w:rPr>
          <w:rFonts w:ascii="Garamond" w:hAnsi="Garamond" w:cs="LMSans12-Regular"/>
          <w:sz w:val="24"/>
          <w:szCs w:val="24"/>
        </w:rPr>
        <w:t xml:space="preserve">tend to </w:t>
      </w:r>
      <w:r w:rsidR="00AB7EEF">
        <w:rPr>
          <w:rFonts w:ascii="Garamond" w:hAnsi="Garamond" w:cs="LMSans12-Regular"/>
          <w:sz w:val="24"/>
          <w:szCs w:val="24"/>
        </w:rPr>
        <w:t>have higher estimates than Republican senators (in red).</w:t>
      </w:r>
      <w:r w:rsidR="006311B3">
        <w:rPr>
          <w:rStyle w:val="FootnoteReference"/>
          <w:rFonts w:ascii="Garamond" w:hAnsi="Garamond" w:cs="LMSans12-Regular"/>
          <w:sz w:val="24"/>
          <w:szCs w:val="24"/>
        </w:rPr>
        <w:footnoteReference w:id="6"/>
      </w:r>
      <w:r w:rsidR="00AB7EEF">
        <w:rPr>
          <w:rFonts w:ascii="Garamond" w:hAnsi="Garamond" w:cs="LMSans12-Regular"/>
          <w:sz w:val="24"/>
          <w:szCs w:val="24"/>
        </w:rPr>
        <w:t xml:space="preserve">  </w:t>
      </w:r>
      <w:r w:rsidR="008F09F9">
        <w:rPr>
          <w:rFonts w:ascii="Garamond" w:hAnsi="Garamond" w:cs="LMSans12-Regular"/>
          <w:sz w:val="24"/>
          <w:szCs w:val="24"/>
        </w:rPr>
        <w:t>These ratings, measured at the respondent-senator-committee level, constitute our measure of senators’ supportive oversight.</w:t>
      </w:r>
      <w:r w:rsidR="00D93DF2">
        <w:rPr>
          <w:rFonts w:ascii="Garamond" w:hAnsi="Garamond" w:cs="LMSans12-Regular"/>
          <w:sz w:val="24"/>
          <w:szCs w:val="24"/>
        </w:rPr>
        <w:t xml:space="preserve"> </w:t>
      </w:r>
    </w:p>
    <w:p w14:paraId="6204F045" w14:textId="7A221CA2" w:rsidR="00484A59" w:rsidRDefault="00484A59" w:rsidP="00D1181F">
      <w:pPr>
        <w:spacing w:after="0" w:line="480" w:lineRule="auto"/>
        <w:ind w:firstLine="720"/>
        <w:rPr>
          <w:rFonts w:ascii="Garamond" w:hAnsi="Garamond" w:cs="LMSans12-Regular"/>
          <w:sz w:val="24"/>
          <w:szCs w:val="24"/>
        </w:rPr>
      </w:pPr>
      <w:r>
        <w:rPr>
          <w:rFonts w:ascii="Garamond" w:hAnsi="Garamond" w:cs="LMSans12-Regular"/>
          <w:sz w:val="24"/>
          <w:szCs w:val="24"/>
        </w:rPr>
        <w:t xml:space="preserve">Given the strong theoretical and empirical correlation between party affiliation and ideology in the </w:t>
      </w:r>
      <w:r w:rsidR="003B39C2">
        <w:rPr>
          <w:rFonts w:ascii="Garamond" w:hAnsi="Garamond" w:cs="LMSans12-Regular"/>
          <w:sz w:val="24"/>
          <w:szCs w:val="24"/>
        </w:rPr>
        <w:t>modern</w:t>
      </w:r>
      <w:r>
        <w:rPr>
          <w:rFonts w:ascii="Garamond" w:hAnsi="Garamond" w:cs="LMSans12-Regular"/>
          <w:sz w:val="24"/>
          <w:szCs w:val="24"/>
        </w:rPr>
        <w:t xml:space="preserve"> Congress, especially concerning legislators’ perspectives </w:t>
      </w:r>
      <w:r w:rsidR="00AB075F">
        <w:rPr>
          <w:rFonts w:ascii="Garamond" w:hAnsi="Garamond" w:cs="LMSans12-Regular"/>
          <w:sz w:val="24"/>
          <w:szCs w:val="24"/>
        </w:rPr>
        <w:t>on</w:t>
      </w:r>
      <w:r>
        <w:rPr>
          <w:rFonts w:ascii="Garamond" w:hAnsi="Garamond" w:cs="LMSans12-Regular"/>
          <w:sz w:val="24"/>
          <w:szCs w:val="24"/>
        </w:rPr>
        <w:t xml:space="preserve"> the administrative state, we</w:t>
      </w:r>
      <w:r w:rsidRPr="00240F47">
        <w:rPr>
          <w:rFonts w:ascii="Garamond" w:hAnsi="Garamond" w:cs="LMSans12-Regular"/>
          <w:sz w:val="24"/>
          <w:szCs w:val="24"/>
        </w:rPr>
        <w:t xml:space="preserve"> measure senator</w:t>
      </w:r>
      <w:r>
        <w:rPr>
          <w:rFonts w:ascii="Garamond" w:hAnsi="Garamond" w:cs="LMSans12-Regular"/>
          <w:sz w:val="24"/>
          <w:szCs w:val="24"/>
        </w:rPr>
        <w:t>s’</w:t>
      </w:r>
      <w:r w:rsidRPr="00240F47">
        <w:rPr>
          <w:rFonts w:ascii="Garamond" w:hAnsi="Garamond" w:cs="LMSans12-Regular"/>
          <w:sz w:val="24"/>
          <w:szCs w:val="24"/>
        </w:rPr>
        <w:t xml:space="preserve"> </w:t>
      </w:r>
      <w:r>
        <w:rPr>
          <w:rFonts w:ascii="Garamond" w:hAnsi="Garamond" w:cs="LMSans12-Regular"/>
          <w:sz w:val="24"/>
          <w:szCs w:val="24"/>
        </w:rPr>
        <w:t>preferences using a binary</w:t>
      </w:r>
      <w:r w:rsidRPr="00240F47">
        <w:rPr>
          <w:rFonts w:ascii="Garamond" w:hAnsi="Garamond" w:cs="LMSans12-Regular"/>
          <w:sz w:val="24"/>
          <w:szCs w:val="24"/>
        </w:rPr>
        <w:t xml:space="preserve"> indicator for </w:t>
      </w:r>
      <w:r>
        <w:rPr>
          <w:rFonts w:ascii="Garamond" w:hAnsi="Garamond" w:cs="LMSans12-Regular"/>
          <w:sz w:val="24"/>
          <w:szCs w:val="24"/>
        </w:rPr>
        <w:t>whether a senator caucuses with the D</w:t>
      </w:r>
      <w:r w:rsidR="009703E4">
        <w:rPr>
          <w:rFonts w:ascii="Garamond" w:hAnsi="Garamond" w:cs="LMSans12-Regular"/>
          <w:sz w:val="24"/>
          <w:szCs w:val="24"/>
        </w:rPr>
        <w:t>emocrats (0) or Republicans (1).</w:t>
      </w:r>
      <w:r>
        <w:rPr>
          <w:rStyle w:val="FootnoteReference"/>
          <w:rFonts w:ascii="Garamond" w:hAnsi="Garamond" w:cs="LMSans12-Regular"/>
          <w:sz w:val="24"/>
          <w:szCs w:val="24"/>
        </w:rPr>
        <w:footnoteReference w:id="7"/>
      </w:r>
      <w:r>
        <w:rPr>
          <w:rFonts w:ascii="Garamond" w:hAnsi="Garamond" w:cs="LMSans12-Regular"/>
          <w:sz w:val="24"/>
          <w:szCs w:val="24"/>
        </w:rPr>
        <w:t xml:space="preserve"> We measure agency ideology </w:t>
      </w:r>
      <w:r w:rsidR="003B39C2">
        <w:rPr>
          <w:rFonts w:ascii="Garamond" w:hAnsi="Garamond" w:cs="LMSans12-Regular"/>
          <w:sz w:val="24"/>
          <w:szCs w:val="24"/>
        </w:rPr>
        <w:t>with</w:t>
      </w:r>
      <w:r>
        <w:rPr>
          <w:rFonts w:ascii="Garamond" w:hAnsi="Garamond" w:cs="LMSans12-Regular"/>
          <w:sz w:val="24"/>
          <w:szCs w:val="24"/>
        </w:rPr>
        <w:t xml:space="preserve"> estimates </w:t>
      </w:r>
      <w:r w:rsidR="003B39C2">
        <w:rPr>
          <w:rFonts w:ascii="Garamond" w:hAnsi="Garamond" w:cs="LMSans12-Regular"/>
          <w:sz w:val="24"/>
          <w:szCs w:val="24"/>
        </w:rPr>
        <w:t>from</w:t>
      </w:r>
      <w:r>
        <w:rPr>
          <w:rFonts w:ascii="Garamond" w:hAnsi="Garamond" w:cs="LMSans12-Regular"/>
          <w:sz w:val="24"/>
          <w:szCs w:val="24"/>
        </w:rPr>
        <w:t xml:space="preserve"> Richardson et al. (2018), which drew on federal executives’ ideological placement of other agencies in a 2014 survey.</w:t>
      </w:r>
      <w:r w:rsidR="00F449F2">
        <w:rPr>
          <w:rStyle w:val="FootnoteReference"/>
          <w:rFonts w:ascii="Garamond" w:hAnsi="Garamond" w:cs="LMSans12-Regular"/>
          <w:sz w:val="24"/>
          <w:szCs w:val="24"/>
        </w:rPr>
        <w:footnoteReference w:id="8"/>
      </w:r>
      <w:r>
        <w:rPr>
          <w:rFonts w:ascii="Garamond" w:hAnsi="Garamond" w:cs="LMSans12-Regular"/>
          <w:sz w:val="24"/>
          <w:szCs w:val="24"/>
        </w:rPr>
        <w:t xml:space="preserve"> </w:t>
      </w:r>
      <w:r w:rsidR="00AB075F">
        <w:rPr>
          <w:rFonts w:ascii="Garamond" w:hAnsi="Garamond" w:cs="LMSans12-Regular"/>
          <w:sz w:val="24"/>
          <w:szCs w:val="24"/>
        </w:rPr>
        <w:t>The</w:t>
      </w:r>
      <w:r>
        <w:rPr>
          <w:rFonts w:ascii="Garamond" w:hAnsi="Garamond" w:cs="LMSans12-Regular"/>
          <w:sz w:val="24"/>
          <w:szCs w:val="24"/>
        </w:rPr>
        <w:t xml:space="preserve"> coefficients on these variables and their interaction </w:t>
      </w:r>
      <w:r w:rsidR="00AB075F">
        <w:rPr>
          <w:rFonts w:ascii="Garamond" w:hAnsi="Garamond" w:cs="LMSans12-Regular"/>
          <w:sz w:val="24"/>
          <w:szCs w:val="24"/>
        </w:rPr>
        <w:t xml:space="preserve">allow us </w:t>
      </w:r>
      <w:r>
        <w:rPr>
          <w:rFonts w:ascii="Garamond" w:hAnsi="Garamond" w:cs="LMSans12-Regular"/>
          <w:sz w:val="24"/>
          <w:szCs w:val="24"/>
        </w:rPr>
        <w:t>to evaluate H1 and H2.</w:t>
      </w:r>
      <w:r w:rsidR="009703E4">
        <w:rPr>
          <w:rFonts w:ascii="Garamond" w:hAnsi="Garamond" w:cs="LMSans12-Regular"/>
          <w:sz w:val="24"/>
          <w:szCs w:val="24"/>
        </w:rPr>
        <w:t xml:space="preserve"> We use the logged number of federal project grants </w:t>
      </w:r>
      <w:r w:rsidR="00554831">
        <w:rPr>
          <w:rFonts w:ascii="Garamond" w:hAnsi="Garamond" w:cs="LMSans12-Regular"/>
          <w:sz w:val="24"/>
          <w:szCs w:val="24"/>
        </w:rPr>
        <w:t>agencies</w:t>
      </w:r>
      <w:r w:rsidR="009703E4">
        <w:rPr>
          <w:rFonts w:ascii="Garamond" w:hAnsi="Garamond" w:cs="LMSans12-Regular"/>
          <w:sz w:val="24"/>
          <w:szCs w:val="24"/>
        </w:rPr>
        <w:t xml:space="preserve"> awarded in the year prior to the survey </w:t>
      </w:r>
      <w:r w:rsidR="009703E4" w:rsidRPr="00061F7A">
        <w:rPr>
          <w:rFonts w:ascii="Garamond" w:hAnsi="Garamond" w:cs="LMSans12-Regular"/>
          <w:sz w:val="24"/>
          <w:szCs w:val="24"/>
        </w:rPr>
        <w:t>(i.e., June 15, 2019 to June 14, 2020)</w:t>
      </w:r>
      <w:r w:rsidR="00554831">
        <w:rPr>
          <w:rFonts w:ascii="Garamond" w:hAnsi="Garamond" w:cs="LMSans12-Regular"/>
          <w:sz w:val="24"/>
          <w:szCs w:val="24"/>
        </w:rPr>
        <w:t xml:space="preserve"> to </w:t>
      </w:r>
      <w:r w:rsidR="009703E4">
        <w:rPr>
          <w:rFonts w:ascii="Garamond" w:hAnsi="Garamond" w:cs="LMSans12-Regular"/>
          <w:sz w:val="24"/>
          <w:szCs w:val="24"/>
        </w:rPr>
        <w:t>measure agencies’ capacity to provide distributive goods</w:t>
      </w:r>
      <w:r w:rsidR="00D50278">
        <w:rPr>
          <w:rFonts w:ascii="Garamond" w:hAnsi="Garamond" w:cs="LMSans12-Regular"/>
          <w:sz w:val="24"/>
          <w:szCs w:val="24"/>
        </w:rPr>
        <w:t xml:space="preserve">, and we </w:t>
      </w:r>
      <w:r w:rsidR="00554831">
        <w:rPr>
          <w:rFonts w:ascii="Garamond" w:hAnsi="Garamond" w:cs="LMSans12-Regular"/>
          <w:sz w:val="24"/>
          <w:szCs w:val="24"/>
        </w:rPr>
        <w:t xml:space="preserve">interact this with senator partisanship </w:t>
      </w:r>
      <w:r w:rsidR="00256FD8">
        <w:rPr>
          <w:rFonts w:ascii="Garamond" w:hAnsi="Garamond" w:cs="LMSans12-Regular"/>
          <w:sz w:val="24"/>
          <w:szCs w:val="24"/>
        </w:rPr>
        <w:t xml:space="preserve">and use </w:t>
      </w:r>
      <w:r w:rsidR="00AB075F">
        <w:rPr>
          <w:rFonts w:ascii="Garamond" w:hAnsi="Garamond" w:cs="LMSans12-Regular"/>
          <w:sz w:val="24"/>
          <w:szCs w:val="24"/>
        </w:rPr>
        <w:t xml:space="preserve">that </w:t>
      </w:r>
      <w:r w:rsidR="00256FD8">
        <w:rPr>
          <w:rFonts w:ascii="Garamond" w:hAnsi="Garamond" w:cs="LMSans12-Regular"/>
          <w:sz w:val="24"/>
          <w:szCs w:val="24"/>
        </w:rPr>
        <w:t>interaction term</w:t>
      </w:r>
      <w:r w:rsidR="00AB075F">
        <w:rPr>
          <w:rFonts w:ascii="Garamond" w:hAnsi="Garamond" w:cs="LMSans12-Regular"/>
          <w:sz w:val="24"/>
          <w:szCs w:val="24"/>
        </w:rPr>
        <w:t>’s coefficient</w:t>
      </w:r>
      <w:r w:rsidR="00256FD8">
        <w:rPr>
          <w:rFonts w:ascii="Garamond" w:hAnsi="Garamond" w:cs="LMSans12-Regular"/>
          <w:sz w:val="24"/>
          <w:szCs w:val="24"/>
        </w:rPr>
        <w:t xml:space="preserve"> to evaluate </w:t>
      </w:r>
      <w:r w:rsidR="009703E4">
        <w:rPr>
          <w:rFonts w:ascii="Garamond" w:hAnsi="Garamond" w:cs="LMSans12-Regular"/>
          <w:sz w:val="24"/>
          <w:szCs w:val="24"/>
        </w:rPr>
        <w:t>H3.</w:t>
      </w:r>
      <w:r w:rsidR="009703E4">
        <w:rPr>
          <w:rStyle w:val="FootnoteReference"/>
          <w:rFonts w:ascii="Garamond" w:hAnsi="Garamond" w:cs="LMSans12-Regular"/>
          <w:sz w:val="24"/>
          <w:szCs w:val="24"/>
        </w:rPr>
        <w:footnoteReference w:id="9"/>
      </w:r>
    </w:p>
    <w:p w14:paraId="72827D13" w14:textId="1D74F497" w:rsidR="00035279" w:rsidRPr="00C50E78" w:rsidRDefault="00D9220A" w:rsidP="00D1181F">
      <w:pPr>
        <w:spacing w:after="0" w:line="480" w:lineRule="auto"/>
        <w:ind w:firstLine="720"/>
        <w:rPr>
          <w:rFonts w:ascii="Garamond" w:hAnsi="Garamond" w:cs="LMSans12-Regular"/>
          <w:sz w:val="24"/>
          <w:szCs w:val="24"/>
        </w:rPr>
      </w:pPr>
      <w:r>
        <w:rPr>
          <w:rFonts w:ascii="Garamond" w:hAnsi="Garamond" w:cs="LMSans12-Regular"/>
          <w:sz w:val="24"/>
          <w:szCs w:val="24"/>
        </w:rPr>
        <w:t>Because o</w:t>
      </w:r>
      <w:r w:rsidR="008E1F13">
        <w:rPr>
          <w:rFonts w:ascii="Garamond" w:hAnsi="Garamond" w:cs="LMSans12-Regular"/>
          <w:sz w:val="24"/>
          <w:szCs w:val="24"/>
        </w:rPr>
        <w:t>ther factors</w:t>
      </w:r>
      <w:r w:rsidR="00D50278">
        <w:rPr>
          <w:rFonts w:ascii="Garamond" w:hAnsi="Garamond" w:cs="LMSans12-Regular"/>
          <w:sz w:val="24"/>
          <w:szCs w:val="24"/>
        </w:rPr>
        <w:t xml:space="preserve"> can</w:t>
      </w:r>
      <w:r w:rsidR="008E1F13">
        <w:rPr>
          <w:rFonts w:ascii="Garamond" w:hAnsi="Garamond" w:cs="LMSans12-Regular"/>
          <w:sz w:val="24"/>
          <w:szCs w:val="24"/>
        </w:rPr>
        <w:t xml:space="preserve"> influence</w:t>
      </w:r>
      <w:r w:rsidR="005A31F6">
        <w:rPr>
          <w:rFonts w:ascii="Garamond" w:hAnsi="Garamond" w:cs="LMSans12-Regular"/>
          <w:sz w:val="24"/>
          <w:szCs w:val="24"/>
        </w:rPr>
        <w:t xml:space="preserve"> both</w:t>
      </w:r>
      <w:r w:rsidR="008E1F13">
        <w:rPr>
          <w:rFonts w:ascii="Garamond" w:hAnsi="Garamond" w:cs="LMSans12-Regular"/>
          <w:sz w:val="24"/>
          <w:szCs w:val="24"/>
        </w:rPr>
        <w:t xml:space="preserve"> </w:t>
      </w:r>
      <w:r w:rsidR="005A31F6">
        <w:rPr>
          <w:rFonts w:ascii="Garamond" w:hAnsi="Garamond" w:cs="LMSans12-Regular"/>
          <w:sz w:val="24"/>
          <w:szCs w:val="24"/>
        </w:rPr>
        <w:t>how much effort</w:t>
      </w:r>
      <w:r w:rsidR="008E1F13">
        <w:rPr>
          <w:rFonts w:ascii="Garamond" w:hAnsi="Garamond" w:cs="LMSans12-Regular"/>
          <w:sz w:val="24"/>
          <w:szCs w:val="24"/>
        </w:rPr>
        <w:t xml:space="preserve"> senators </w:t>
      </w:r>
      <w:r w:rsidR="005A31F6">
        <w:rPr>
          <w:rFonts w:ascii="Garamond" w:hAnsi="Garamond" w:cs="LMSans12-Regular"/>
          <w:sz w:val="24"/>
          <w:szCs w:val="24"/>
        </w:rPr>
        <w:t>allocate to</w:t>
      </w:r>
      <w:r w:rsidR="008E1F13">
        <w:rPr>
          <w:rFonts w:ascii="Garamond" w:hAnsi="Garamond" w:cs="LMSans12-Regular"/>
          <w:sz w:val="24"/>
          <w:szCs w:val="24"/>
        </w:rPr>
        <w:t xml:space="preserve"> oversight</w:t>
      </w:r>
      <w:r w:rsidR="00D50278">
        <w:rPr>
          <w:rFonts w:ascii="Garamond" w:hAnsi="Garamond" w:cs="LMSans12-Regular"/>
          <w:sz w:val="24"/>
          <w:szCs w:val="24"/>
        </w:rPr>
        <w:t xml:space="preserve"> and the senator- and agency-level characteristics implicated by our expectations</w:t>
      </w:r>
      <w:r>
        <w:rPr>
          <w:rFonts w:ascii="Garamond" w:hAnsi="Garamond" w:cs="LMSans12-Regular"/>
          <w:sz w:val="24"/>
          <w:szCs w:val="24"/>
        </w:rPr>
        <w:t xml:space="preserve">, </w:t>
      </w:r>
      <w:r w:rsidR="00D50278">
        <w:rPr>
          <w:rFonts w:ascii="Garamond" w:hAnsi="Garamond" w:cs="LMSans12-Regular"/>
          <w:sz w:val="24"/>
          <w:szCs w:val="24"/>
        </w:rPr>
        <w:t>we include a series of control variables</w:t>
      </w:r>
      <w:r w:rsidR="00857096">
        <w:rPr>
          <w:rFonts w:ascii="Garamond" w:hAnsi="Garamond" w:cs="LMSans12-Regular"/>
          <w:sz w:val="24"/>
          <w:szCs w:val="24"/>
        </w:rPr>
        <w:t xml:space="preserve"> to account for important sources of confounding.</w:t>
      </w:r>
      <w:r w:rsidR="005F3A00">
        <w:rPr>
          <w:rStyle w:val="FootnoteReference"/>
          <w:rFonts w:ascii="Garamond" w:hAnsi="Garamond" w:cs="LMSans12-Regular"/>
          <w:sz w:val="24"/>
          <w:szCs w:val="24"/>
        </w:rPr>
        <w:footnoteReference w:id="10"/>
      </w:r>
      <w:r w:rsidR="008E1F13">
        <w:rPr>
          <w:rFonts w:ascii="Garamond" w:hAnsi="Garamond" w:cs="LMSans12-Regular"/>
          <w:sz w:val="24"/>
          <w:szCs w:val="24"/>
        </w:rPr>
        <w:t xml:space="preserve">  </w:t>
      </w:r>
      <w:r>
        <w:rPr>
          <w:rFonts w:ascii="Garamond" w:hAnsi="Garamond" w:cs="LMSans12-Regular"/>
          <w:sz w:val="24"/>
          <w:szCs w:val="24"/>
        </w:rPr>
        <w:t>Since</w:t>
      </w:r>
      <w:r w:rsidR="00857096">
        <w:rPr>
          <w:rFonts w:ascii="Garamond" w:hAnsi="Garamond" w:cs="LMSans12-Regular"/>
          <w:sz w:val="24"/>
          <w:szCs w:val="24"/>
        </w:rPr>
        <w:t xml:space="preserve"> senators up for </w:t>
      </w:r>
      <w:r w:rsidR="005F3A00">
        <w:rPr>
          <w:rFonts w:ascii="Garamond" w:hAnsi="Garamond" w:cs="LMSans12-Regular"/>
          <w:sz w:val="24"/>
          <w:szCs w:val="24"/>
        </w:rPr>
        <w:lastRenderedPageBreak/>
        <w:t>reelection</w:t>
      </w:r>
      <w:r w:rsidR="00857096">
        <w:rPr>
          <w:rFonts w:ascii="Garamond" w:hAnsi="Garamond" w:cs="LMSans12-Regular"/>
          <w:sz w:val="24"/>
          <w:szCs w:val="24"/>
        </w:rPr>
        <w:t>, and particularly those up for reelection in competitive states, may focus their effort on campaigning rather than oversight, w</w:t>
      </w:r>
      <w:r w:rsidR="00035279">
        <w:rPr>
          <w:rFonts w:ascii="Garamond" w:hAnsi="Garamond" w:cs="LMSans12-Regular"/>
          <w:sz w:val="24"/>
          <w:szCs w:val="24"/>
        </w:rPr>
        <w:t xml:space="preserve">e account for senators’ electoral environments </w:t>
      </w:r>
      <w:r w:rsidR="00552DE7">
        <w:rPr>
          <w:rFonts w:ascii="Garamond" w:hAnsi="Garamond" w:cs="LMSans12-Regular"/>
          <w:sz w:val="24"/>
          <w:szCs w:val="24"/>
        </w:rPr>
        <w:t>with</w:t>
      </w:r>
      <w:r w:rsidR="00035279">
        <w:rPr>
          <w:rFonts w:ascii="Garamond" w:hAnsi="Garamond" w:cs="LMSans12-Regular"/>
          <w:sz w:val="24"/>
          <w:szCs w:val="24"/>
        </w:rPr>
        <w:t xml:space="preserve"> a binary indicator for whether the senator </w:t>
      </w:r>
      <w:r w:rsidR="005A31F6">
        <w:rPr>
          <w:rFonts w:ascii="Garamond" w:hAnsi="Garamond" w:cs="LMSans12-Regular"/>
          <w:sz w:val="24"/>
          <w:szCs w:val="24"/>
        </w:rPr>
        <w:t>ran</w:t>
      </w:r>
      <w:r w:rsidR="00035279">
        <w:rPr>
          <w:rFonts w:ascii="Garamond" w:hAnsi="Garamond" w:cs="LMSans12-Regular"/>
          <w:sz w:val="24"/>
          <w:szCs w:val="24"/>
        </w:rPr>
        <w:t xml:space="preserve"> for re-election in 2020, the proportion of the two-party vote share the senator received in her last election, and </w:t>
      </w:r>
      <w:r w:rsidR="00552DE7">
        <w:rPr>
          <w:rFonts w:ascii="Garamond" w:hAnsi="Garamond" w:cs="LMSans12-Regular"/>
          <w:sz w:val="24"/>
          <w:szCs w:val="24"/>
        </w:rPr>
        <w:t>the</w:t>
      </w:r>
      <w:r w:rsidR="00035279">
        <w:rPr>
          <w:rFonts w:ascii="Garamond" w:hAnsi="Garamond" w:cs="LMSans12-Regular"/>
          <w:sz w:val="24"/>
          <w:szCs w:val="24"/>
        </w:rPr>
        <w:t xml:space="preserve"> interaction of these two measures</w:t>
      </w:r>
      <w:r w:rsidR="008E1F13">
        <w:rPr>
          <w:rFonts w:ascii="Garamond" w:hAnsi="Garamond" w:cs="LMSans12-Regular"/>
          <w:sz w:val="24"/>
          <w:szCs w:val="24"/>
        </w:rPr>
        <w:t>.</w:t>
      </w:r>
      <w:r w:rsidR="00F449F2">
        <w:rPr>
          <w:rStyle w:val="FootnoteReference"/>
          <w:rFonts w:ascii="Garamond" w:hAnsi="Garamond" w:cs="LMSans12-Regular"/>
          <w:sz w:val="24"/>
          <w:szCs w:val="24"/>
        </w:rPr>
        <w:footnoteReference w:id="11"/>
      </w:r>
      <w:r w:rsidR="008E1F13">
        <w:rPr>
          <w:rFonts w:ascii="Garamond" w:hAnsi="Garamond" w:cs="LMSans12-Regular"/>
          <w:sz w:val="24"/>
          <w:szCs w:val="24"/>
        </w:rPr>
        <w:t xml:space="preserve"> </w:t>
      </w:r>
      <w:r w:rsidR="00857096">
        <w:rPr>
          <w:rFonts w:ascii="Garamond" w:hAnsi="Garamond" w:cs="LMSans12-Regular"/>
          <w:sz w:val="24"/>
          <w:szCs w:val="24"/>
        </w:rPr>
        <w:t xml:space="preserve">Further, </w:t>
      </w:r>
      <w:r>
        <w:rPr>
          <w:rFonts w:ascii="Garamond" w:hAnsi="Garamond" w:cs="LMSans12-Regular"/>
          <w:sz w:val="24"/>
          <w:szCs w:val="24"/>
        </w:rPr>
        <w:t>given that</w:t>
      </w:r>
      <w:r w:rsidR="00857096">
        <w:rPr>
          <w:rFonts w:ascii="Garamond" w:hAnsi="Garamond" w:cs="LMSans12-Regular"/>
          <w:sz w:val="24"/>
          <w:szCs w:val="24"/>
        </w:rPr>
        <w:t xml:space="preserve"> senators with more institutional influence and knowledge, such as more senior members and </w:t>
      </w:r>
      <w:r w:rsidR="00647016">
        <w:rPr>
          <w:rFonts w:ascii="Garamond" w:hAnsi="Garamond" w:cs="LMSans12-Regular"/>
          <w:sz w:val="24"/>
          <w:szCs w:val="24"/>
        </w:rPr>
        <w:t>committee chairs</w:t>
      </w:r>
      <w:r w:rsidR="00857096">
        <w:rPr>
          <w:rFonts w:ascii="Garamond" w:hAnsi="Garamond" w:cs="LMSans12-Regular"/>
          <w:sz w:val="24"/>
          <w:szCs w:val="24"/>
        </w:rPr>
        <w:t xml:space="preserve">, have more resources with which to </w:t>
      </w:r>
      <w:r w:rsidR="00857096" w:rsidRPr="00C50E78">
        <w:rPr>
          <w:rFonts w:ascii="Garamond" w:hAnsi="Garamond" w:cs="LMSans12-Regular"/>
          <w:sz w:val="24"/>
          <w:szCs w:val="24"/>
        </w:rPr>
        <w:t>conduct oversight, w</w:t>
      </w:r>
      <w:r w:rsidR="00035279" w:rsidRPr="00C50E78">
        <w:rPr>
          <w:rFonts w:ascii="Garamond" w:hAnsi="Garamond" w:cs="LMSans12-Regular"/>
          <w:sz w:val="24"/>
          <w:szCs w:val="24"/>
        </w:rPr>
        <w:t xml:space="preserve">e account for senators’ institutional standing </w:t>
      </w:r>
      <w:r w:rsidR="005F4BD0">
        <w:rPr>
          <w:rFonts w:ascii="Garamond" w:hAnsi="Garamond" w:cs="LMSans12-Regular"/>
          <w:sz w:val="24"/>
          <w:szCs w:val="24"/>
        </w:rPr>
        <w:t>with</w:t>
      </w:r>
      <w:r w:rsidR="00857096" w:rsidRPr="00C50E78">
        <w:rPr>
          <w:rFonts w:ascii="Garamond" w:hAnsi="Garamond" w:cs="LMSans12-Regular"/>
          <w:sz w:val="24"/>
          <w:szCs w:val="24"/>
        </w:rPr>
        <w:t xml:space="preserve"> binary indicators</w:t>
      </w:r>
      <w:r w:rsidR="00035279" w:rsidRPr="00C50E78">
        <w:rPr>
          <w:rFonts w:ascii="Garamond" w:hAnsi="Garamond" w:cs="LMSans12-Regular"/>
          <w:sz w:val="24"/>
          <w:szCs w:val="24"/>
        </w:rPr>
        <w:t xml:space="preserve"> for whether the senator chairs a standing committee and the number of congresses the senator has served</w:t>
      </w:r>
      <w:r w:rsidR="008E1F13" w:rsidRPr="00C50E78">
        <w:rPr>
          <w:rFonts w:ascii="Garamond" w:hAnsi="Garamond" w:cs="LMSans12-Regular"/>
          <w:sz w:val="24"/>
          <w:szCs w:val="24"/>
        </w:rPr>
        <w:t>.</w:t>
      </w:r>
      <w:r w:rsidR="00C50E78" w:rsidRPr="00C50E78">
        <w:rPr>
          <w:rFonts w:ascii="Garamond" w:hAnsi="Garamond" w:cs="LMSans12-Regular"/>
          <w:sz w:val="24"/>
          <w:szCs w:val="24"/>
        </w:rPr>
        <w:t xml:space="preserve"> </w:t>
      </w:r>
      <w:r w:rsidR="00C50E78" w:rsidRPr="00C50E78">
        <w:rPr>
          <w:rFonts w:ascii="Garamond" w:hAnsi="Garamond"/>
          <w:sz w:val="24"/>
          <w:szCs w:val="24"/>
        </w:rPr>
        <w:t xml:space="preserve">We also account for the possibility that respondents’ own partisan predilections influenced their perceptions of senators’ </w:t>
      </w:r>
      <w:r w:rsidR="005F4BD0">
        <w:rPr>
          <w:rFonts w:ascii="Garamond" w:hAnsi="Garamond"/>
          <w:sz w:val="24"/>
          <w:szCs w:val="24"/>
        </w:rPr>
        <w:t>oversight effort</w:t>
      </w:r>
      <w:r w:rsidR="00C50E78" w:rsidRPr="00C50E78">
        <w:rPr>
          <w:rFonts w:ascii="Garamond" w:hAnsi="Garamond"/>
          <w:sz w:val="24"/>
          <w:szCs w:val="24"/>
        </w:rPr>
        <w:t xml:space="preserve"> by interacting the respondents’ self-reported party affiliation with that of the senator rated.</w:t>
      </w:r>
    </w:p>
    <w:p w14:paraId="13054554" w14:textId="77777777" w:rsidR="00683D77" w:rsidRDefault="00683D77" w:rsidP="00D1181F">
      <w:pPr>
        <w:spacing w:after="0" w:line="480" w:lineRule="auto"/>
        <w:rPr>
          <w:rFonts w:ascii="Garamond" w:hAnsi="Garamond" w:cs="LMSans12-Regular"/>
          <w:sz w:val="24"/>
          <w:szCs w:val="24"/>
        </w:rPr>
      </w:pPr>
      <w:r>
        <w:rPr>
          <w:rFonts w:ascii="Garamond" w:hAnsi="Garamond" w:cs="LMSans12-Regular"/>
          <w:b/>
          <w:bCs/>
          <w:sz w:val="24"/>
          <w:szCs w:val="24"/>
        </w:rPr>
        <w:t>Results</w:t>
      </w:r>
    </w:p>
    <w:p w14:paraId="42799836" w14:textId="77777777" w:rsidR="00AB075F" w:rsidRDefault="00683D77" w:rsidP="002120D0">
      <w:pPr>
        <w:spacing w:after="0" w:line="480" w:lineRule="auto"/>
        <w:rPr>
          <w:rFonts w:ascii="Garamond" w:hAnsi="Garamond" w:cs="LMSans12-Regular"/>
          <w:sz w:val="24"/>
          <w:szCs w:val="24"/>
        </w:rPr>
      </w:pPr>
      <w:r>
        <w:rPr>
          <w:rFonts w:ascii="Garamond" w:hAnsi="Garamond" w:cs="LMSans12-Regular"/>
          <w:sz w:val="24"/>
          <w:szCs w:val="24"/>
        </w:rPr>
        <w:tab/>
        <w:t xml:space="preserve">We assess the relationships between respondents’ perceptions of senators’ oversight </w:t>
      </w:r>
      <w:r w:rsidR="002F0799">
        <w:rPr>
          <w:rFonts w:ascii="Garamond" w:hAnsi="Garamond" w:cs="LMSans12-Regular"/>
          <w:sz w:val="24"/>
          <w:szCs w:val="24"/>
        </w:rPr>
        <w:t>effort</w:t>
      </w:r>
      <w:r>
        <w:rPr>
          <w:rFonts w:ascii="Garamond" w:hAnsi="Garamond" w:cs="LMSans12-Regular"/>
          <w:sz w:val="24"/>
          <w:szCs w:val="24"/>
        </w:rPr>
        <w:t xml:space="preserve"> and the partisan </w:t>
      </w:r>
      <w:r w:rsidR="00647016">
        <w:rPr>
          <w:rFonts w:ascii="Garamond" w:hAnsi="Garamond" w:cs="LMSans12-Regular"/>
          <w:sz w:val="24"/>
          <w:szCs w:val="24"/>
        </w:rPr>
        <w:t>dynamics</w:t>
      </w:r>
      <w:r>
        <w:rPr>
          <w:rFonts w:ascii="Garamond" w:hAnsi="Garamond" w:cs="LMSans12-Regular"/>
          <w:sz w:val="24"/>
          <w:szCs w:val="24"/>
        </w:rPr>
        <w:t xml:space="preserve"> </w:t>
      </w:r>
      <w:r w:rsidR="00440F04">
        <w:rPr>
          <w:rFonts w:ascii="Garamond" w:hAnsi="Garamond" w:cs="LMSans12-Regular"/>
          <w:sz w:val="24"/>
          <w:szCs w:val="24"/>
        </w:rPr>
        <w:t xml:space="preserve">we </w:t>
      </w:r>
      <w:r>
        <w:rPr>
          <w:rFonts w:ascii="Garamond" w:hAnsi="Garamond" w:cs="LMSans12-Regular"/>
          <w:sz w:val="24"/>
          <w:szCs w:val="24"/>
        </w:rPr>
        <w:t>described using Bayesian multilevel linear regression.</w:t>
      </w:r>
      <w:r>
        <w:rPr>
          <w:rStyle w:val="FootnoteReference"/>
          <w:rFonts w:ascii="Garamond" w:hAnsi="Garamond" w:cs="LMSans12-Regular"/>
          <w:sz w:val="24"/>
          <w:szCs w:val="24"/>
        </w:rPr>
        <w:footnoteReference w:id="12"/>
      </w:r>
      <w:r>
        <w:rPr>
          <w:rFonts w:ascii="Garamond" w:hAnsi="Garamond" w:cs="LMSans12-Regular"/>
          <w:sz w:val="24"/>
          <w:szCs w:val="24"/>
        </w:rPr>
        <w:t xml:space="preserve">  Unfortunately, </w:t>
      </w:r>
    </w:p>
    <w:p w14:paraId="63F68238" w14:textId="77777777" w:rsidR="00480E11" w:rsidRDefault="00440F04" w:rsidP="00480E11">
      <w:pPr>
        <w:spacing w:after="0" w:line="480" w:lineRule="auto"/>
        <w:rPr>
          <w:rFonts w:ascii="Garamond" w:hAnsi="Garamond" w:cs="LMSans12-Regular"/>
          <w:sz w:val="24"/>
          <w:szCs w:val="24"/>
        </w:rPr>
      </w:pPr>
      <w:r>
        <w:rPr>
          <w:rFonts w:ascii="Garamond" w:hAnsi="Garamond" w:cs="LMSans12-Regular"/>
          <w:sz w:val="24"/>
          <w:szCs w:val="24"/>
        </w:rPr>
        <w:t xml:space="preserve">since </w:t>
      </w:r>
      <w:r w:rsidR="00683D77">
        <w:rPr>
          <w:rFonts w:ascii="Garamond" w:hAnsi="Garamond" w:cs="LMSans12-Regular"/>
          <w:sz w:val="24"/>
          <w:szCs w:val="24"/>
        </w:rPr>
        <w:t xml:space="preserve">the federal government does not report project grants for some agencies, such as government corporations (e.g., Tennessee Valley Authority) and those in smaller units of large departments, </w:t>
      </w:r>
      <w:r w:rsidR="00471447">
        <w:rPr>
          <w:rFonts w:ascii="Garamond" w:hAnsi="Garamond" w:cs="LMSans12-Regular"/>
          <w:sz w:val="24"/>
          <w:szCs w:val="24"/>
        </w:rPr>
        <w:t xml:space="preserve">including our grants measure drops some observations from our analysis.  Consequently, we present 6 models, some of which include our grants measure and interactions and some which do not. </w:t>
      </w:r>
    </w:p>
    <w:p w14:paraId="17F92F06" w14:textId="5CDEA1EA" w:rsidR="00471447" w:rsidRDefault="00943CA4" w:rsidP="00480E11">
      <w:pPr>
        <w:spacing w:after="0" w:line="480" w:lineRule="auto"/>
        <w:ind w:firstLine="720"/>
        <w:rPr>
          <w:rFonts w:ascii="Garamond" w:hAnsi="Garamond" w:cs="LMSans12-Regular"/>
          <w:sz w:val="24"/>
          <w:szCs w:val="24"/>
        </w:rPr>
      </w:pPr>
      <w:r>
        <w:rPr>
          <w:rFonts w:ascii="Garamond" w:hAnsi="Garamond" w:cs="LMSans12-Regular"/>
          <w:sz w:val="24"/>
          <w:szCs w:val="24"/>
        </w:rPr>
        <w:lastRenderedPageBreak/>
        <w:t>O</w:t>
      </w:r>
      <w:r w:rsidR="00471447">
        <w:rPr>
          <w:rFonts w:ascii="Garamond" w:hAnsi="Garamond" w:cs="LMSans12-Regular"/>
          <w:sz w:val="24"/>
          <w:szCs w:val="24"/>
        </w:rPr>
        <w:t xml:space="preserve">ur estimates indicate partisanship influences the oversight effort senators </w:t>
      </w:r>
      <w:r>
        <w:rPr>
          <w:rFonts w:ascii="Garamond" w:hAnsi="Garamond" w:cs="LMSans12-Regular"/>
          <w:sz w:val="24"/>
          <w:szCs w:val="24"/>
        </w:rPr>
        <w:t>put forth.</w:t>
      </w:r>
      <w:r w:rsidR="00471447">
        <w:rPr>
          <w:rFonts w:ascii="Garamond" w:hAnsi="Garamond" w:cs="LMSans12-Regular"/>
          <w:sz w:val="24"/>
          <w:szCs w:val="24"/>
        </w:rPr>
        <w:t xml:space="preserve"> </w:t>
      </w:r>
      <w:r>
        <w:rPr>
          <w:rFonts w:ascii="Garamond" w:hAnsi="Garamond" w:cs="LMSans12-Regular"/>
          <w:sz w:val="24"/>
          <w:szCs w:val="24"/>
        </w:rPr>
        <w:t xml:space="preserve"> First,</w:t>
      </w:r>
      <w:r w:rsidR="00480E11">
        <w:rPr>
          <w:rFonts w:ascii="Garamond" w:hAnsi="Garamond" w:cs="LMSans12-Regular"/>
          <w:sz w:val="24"/>
          <w:szCs w:val="24"/>
        </w:rPr>
        <w:t xml:space="preserve"> </w:t>
      </w:r>
      <w:r w:rsidR="00480E11">
        <w:rPr>
          <w:rFonts w:ascii="Garamond" w:hAnsi="Garamond" w:cs="LMSans12-Regular"/>
          <w:sz w:val="24"/>
          <w:szCs w:val="24"/>
        </w:rPr>
        <w:t>we find in Model 1 that Republican senators offer less supportive oversight than Democrats, with the average Republican senator estimated to be 0.42 units lower on the five-point oversight scale</w:t>
      </w:r>
    </w:p>
    <w:p w14:paraId="1C4B0AA5" w14:textId="77777777" w:rsidR="00D9220A" w:rsidRPr="00647016" w:rsidRDefault="00D9220A" w:rsidP="00D9220A">
      <w:pPr>
        <w:autoSpaceDE w:val="0"/>
        <w:autoSpaceDN w:val="0"/>
        <w:adjustRightInd w:val="0"/>
        <w:spacing w:after="0" w:line="240" w:lineRule="auto"/>
        <w:jc w:val="center"/>
        <w:rPr>
          <w:rFonts w:ascii="Garamond" w:hAnsi="Garamond" w:cs="LMSans12-Regular"/>
          <w:b/>
          <w:bCs/>
          <w:sz w:val="24"/>
          <w:szCs w:val="24"/>
        </w:rPr>
      </w:pPr>
      <w:r>
        <w:rPr>
          <w:rFonts w:ascii="Garamond" w:hAnsi="Garamond" w:cs="LMSans12-Regular"/>
          <w:b/>
          <w:bCs/>
          <w:sz w:val="24"/>
          <w:szCs w:val="24"/>
        </w:rPr>
        <w:t>Table 1. Bayesian Multilevel Models of Senators’ Oversight Effort, 2020</w:t>
      </w:r>
    </w:p>
    <w:tbl>
      <w:tblPr>
        <w:tblW w:w="5485" w:type="pct"/>
        <w:jc w:val="center"/>
        <w:tblLook w:val="04A0" w:firstRow="1" w:lastRow="0" w:firstColumn="1" w:lastColumn="0" w:noHBand="0" w:noVBand="1"/>
      </w:tblPr>
      <w:tblGrid>
        <w:gridCol w:w="3356"/>
        <w:gridCol w:w="1152"/>
        <w:gridCol w:w="1152"/>
        <w:gridCol w:w="1152"/>
        <w:gridCol w:w="1152"/>
        <w:gridCol w:w="1152"/>
        <w:gridCol w:w="1152"/>
      </w:tblGrid>
      <w:tr w:rsidR="00D9220A" w:rsidRPr="005803D4" w14:paraId="0D225117" w14:textId="77777777" w:rsidTr="00461AE2">
        <w:trPr>
          <w:trHeight w:val="300"/>
          <w:jc w:val="center"/>
        </w:trPr>
        <w:tc>
          <w:tcPr>
            <w:tcW w:w="1634" w:type="pct"/>
            <w:tcBorders>
              <w:top w:val="single" w:sz="4" w:space="0" w:color="auto"/>
              <w:left w:val="nil"/>
              <w:bottom w:val="nil"/>
              <w:right w:val="nil"/>
            </w:tcBorders>
            <w:shd w:val="clear" w:color="auto" w:fill="auto"/>
            <w:noWrap/>
            <w:vAlign w:val="bottom"/>
          </w:tcPr>
          <w:p w14:paraId="05E42F7E" w14:textId="77777777" w:rsidR="00D9220A" w:rsidRPr="005803D4" w:rsidRDefault="00D9220A" w:rsidP="00461AE2">
            <w:pPr>
              <w:spacing w:after="0" w:line="240" w:lineRule="auto"/>
              <w:jc w:val="right"/>
              <w:rPr>
                <w:rFonts w:ascii="Garamond" w:eastAsia="Times New Roman" w:hAnsi="Garamond" w:cs="Times New Roman"/>
              </w:rPr>
            </w:pPr>
          </w:p>
        </w:tc>
        <w:tc>
          <w:tcPr>
            <w:tcW w:w="561" w:type="pct"/>
            <w:tcBorders>
              <w:top w:val="single" w:sz="4" w:space="0" w:color="auto"/>
              <w:left w:val="nil"/>
              <w:bottom w:val="nil"/>
              <w:right w:val="nil"/>
            </w:tcBorders>
            <w:shd w:val="clear" w:color="auto" w:fill="auto"/>
            <w:noWrap/>
            <w:vAlign w:val="center"/>
          </w:tcPr>
          <w:p w14:paraId="1DFE9632" w14:textId="77777777" w:rsidR="00D9220A" w:rsidRPr="00D01950" w:rsidRDefault="00D9220A" w:rsidP="00461AE2">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(1)</w:t>
            </w:r>
          </w:p>
        </w:tc>
        <w:tc>
          <w:tcPr>
            <w:tcW w:w="561" w:type="pct"/>
            <w:tcBorders>
              <w:top w:val="single" w:sz="4" w:space="0" w:color="auto"/>
              <w:left w:val="nil"/>
              <w:bottom w:val="nil"/>
              <w:right w:val="nil"/>
            </w:tcBorders>
            <w:shd w:val="clear" w:color="auto" w:fill="auto"/>
            <w:noWrap/>
            <w:vAlign w:val="center"/>
          </w:tcPr>
          <w:p w14:paraId="4AD4B017" w14:textId="77777777" w:rsidR="00D9220A" w:rsidRPr="00D01950" w:rsidRDefault="00D9220A" w:rsidP="00461AE2">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(2)</w:t>
            </w:r>
          </w:p>
        </w:tc>
        <w:tc>
          <w:tcPr>
            <w:tcW w:w="561" w:type="pct"/>
            <w:tcBorders>
              <w:top w:val="single" w:sz="4" w:space="0" w:color="auto"/>
              <w:left w:val="nil"/>
              <w:bottom w:val="nil"/>
              <w:right w:val="nil"/>
            </w:tcBorders>
            <w:vAlign w:val="center"/>
          </w:tcPr>
          <w:p w14:paraId="5C743779" w14:textId="77777777" w:rsidR="00D9220A" w:rsidRPr="00D01950" w:rsidRDefault="00D9220A" w:rsidP="00461AE2">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(3)</w:t>
            </w:r>
          </w:p>
        </w:tc>
        <w:tc>
          <w:tcPr>
            <w:tcW w:w="561" w:type="pct"/>
            <w:tcBorders>
              <w:top w:val="single" w:sz="4" w:space="0" w:color="auto"/>
              <w:left w:val="nil"/>
              <w:bottom w:val="nil"/>
              <w:right w:val="nil"/>
            </w:tcBorders>
            <w:vAlign w:val="center"/>
          </w:tcPr>
          <w:p w14:paraId="718103FB" w14:textId="77777777" w:rsidR="00D9220A" w:rsidRPr="00D01950" w:rsidRDefault="00D9220A" w:rsidP="00461AE2">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(4)</w:t>
            </w:r>
          </w:p>
        </w:tc>
        <w:tc>
          <w:tcPr>
            <w:tcW w:w="561" w:type="pct"/>
            <w:tcBorders>
              <w:top w:val="single" w:sz="4" w:space="0" w:color="auto"/>
              <w:left w:val="nil"/>
              <w:bottom w:val="nil"/>
              <w:right w:val="nil"/>
            </w:tcBorders>
            <w:vAlign w:val="center"/>
          </w:tcPr>
          <w:p w14:paraId="7D82AB04" w14:textId="77777777" w:rsidR="00D9220A" w:rsidRPr="00D01950" w:rsidRDefault="00D9220A" w:rsidP="00461AE2">
            <w:pPr>
              <w:spacing w:after="0" w:line="240" w:lineRule="auto"/>
              <w:jc w:val="center"/>
              <w:rPr>
                <w:rFonts w:ascii="Garamond" w:eastAsia="Times New Roman" w:hAnsi="Garamond" w:cs="Calibri"/>
                <w:b/>
                <w:bCs/>
                <w:color w:val="000000"/>
              </w:rPr>
            </w:pPr>
            <w:r w:rsidRPr="00D01950">
              <w:rPr>
                <w:rFonts w:ascii="Garamond" w:eastAsia="Times New Roman" w:hAnsi="Garamond" w:cs="Calibri"/>
                <w:b/>
                <w:bCs/>
                <w:color w:val="000000"/>
              </w:rPr>
              <w:t>(5)</w:t>
            </w:r>
          </w:p>
        </w:tc>
        <w:tc>
          <w:tcPr>
            <w:tcW w:w="561" w:type="pct"/>
            <w:tcBorders>
              <w:top w:val="single" w:sz="4" w:space="0" w:color="auto"/>
              <w:left w:val="nil"/>
              <w:bottom w:val="nil"/>
              <w:right w:val="nil"/>
            </w:tcBorders>
          </w:tcPr>
          <w:p w14:paraId="18E7BBF4" w14:textId="77777777" w:rsidR="00D9220A" w:rsidRPr="00D01950" w:rsidRDefault="00D9220A" w:rsidP="00461AE2">
            <w:pPr>
              <w:spacing w:after="0" w:line="240" w:lineRule="auto"/>
              <w:jc w:val="center"/>
              <w:rPr>
                <w:rFonts w:ascii="Garamond" w:eastAsia="Times New Roman" w:hAnsi="Garamond" w:cs="Calibri"/>
                <w:b/>
                <w:bCs/>
                <w:color w:val="000000"/>
              </w:rPr>
            </w:pPr>
            <w:r>
              <w:rPr>
                <w:rFonts w:ascii="Garamond" w:eastAsia="Times New Roman" w:hAnsi="Garamond" w:cs="Calibri"/>
                <w:b/>
                <w:bCs/>
                <w:color w:val="000000"/>
              </w:rPr>
              <w:t>(6)</w:t>
            </w:r>
          </w:p>
        </w:tc>
      </w:tr>
      <w:tr w:rsidR="00D9220A" w:rsidRPr="005803D4" w14:paraId="3B5FAD0C" w14:textId="77777777" w:rsidTr="00461AE2">
        <w:trPr>
          <w:trHeight w:val="300"/>
          <w:jc w:val="center"/>
        </w:trPr>
        <w:tc>
          <w:tcPr>
            <w:tcW w:w="1634" w:type="pct"/>
            <w:tcBorders>
              <w:top w:val="single" w:sz="4" w:space="0" w:color="auto"/>
              <w:left w:val="nil"/>
              <w:bottom w:val="nil"/>
              <w:right w:val="nil"/>
            </w:tcBorders>
            <w:shd w:val="clear" w:color="auto" w:fill="auto"/>
            <w:noWrap/>
            <w:vAlign w:val="center"/>
            <w:hideMark/>
          </w:tcPr>
          <w:p w14:paraId="788DA3D6" w14:textId="77777777" w:rsidR="00D9220A" w:rsidRPr="00810343" w:rsidRDefault="00D9220A" w:rsidP="00461AE2">
            <w:pPr>
              <w:spacing w:after="0" w:line="240" w:lineRule="auto"/>
              <w:rPr>
                <w:rFonts w:ascii="Garamond" w:eastAsia="Times New Roman" w:hAnsi="Garamond" w:cs="Calibri"/>
                <w:i/>
                <w:iCs/>
                <w:color w:val="000000"/>
              </w:rPr>
            </w:pPr>
            <w:r>
              <w:rPr>
                <w:rFonts w:ascii="Garamond" w:eastAsia="Times New Roman" w:hAnsi="Garamond" w:cs="Calibri"/>
                <w:i/>
                <w:iCs/>
                <w:color w:val="000000"/>
              </w:rPr>
              <w:t>Key Explanatory Factors</w:t>
            </w:r>
          </w:p>
        </w:tc>
        <w:tc>
          <w:tcPr>
            <w:tcW w:w="561" w:type="pct"/>
            <w:tcBorders>
              <w:top w:val="single" w:sz="4" w:space="0" w:color="auto"/>
              <w:left w:val="nil"/>
              <w:bottom w:val="nil"/>
              <w:right w:val="nil"/>
            </w:tcBorders>
            <w:shd w:val="clear" w:color="auto" w:fill="auto"/>
            <w:noWrap/>
            <w:vAlign w:val="center"/>
          </w:tcPr>
          <w:p w14:paraId="6CD349B1" w14:textId="77777777" w:rsidR="00D9220A" w:rsidRPr="00810343" w:rsidRDefault="00D9220A" w:rsidP="00461AE2">
            <w:pPr>
              <w:spacing w:after="0" w:line="240" w:lineRule="auto"/>
              <w:jc w:val="center"/>
              <w:rPr>
                <w:rFonts w:ascii="Garamond" w:eastAsia="Times New Roman" w:hAnsi="Garamond" w:cs="Calibri"/>
                <w:color w:val="000000"/>
              </w:rPr>
            </w:pPr>
          </w:p>
        </w:tc>
        <w:tc>
          <w:tcPr>
            <w:tcW w:w="561" w:type="pct"/>
            <w:tcBorders>
              <w:top w:val="single" w:sz="4" w:space="0" w:color="auto"/>
              <w:left w:val="nil"/>
              <w:bottom w:val="nil"/>
              <w:right w:val="nil"/>
            </w:tcBorders>
            <w:shd w:val="clear" w:color="auto" w:fill="auto"/>
            <w:noWrap/>
            <w:vAlign w:val="center"/>
          </w:tcPr>
          <w:p w14:paraId="00BEFC5F" w14:textId="77777777" w:rsidR="00D9220A" w:rsidRPr="00810343" w:rsidRDefault="00D9220A" w:rsidP="00461AE2">
            <w:pPr>
              <w:spacing w:after="0" w:line="240" w:lineRule="auto"/>
              <w:jc w:val="center"/>
              <w:rPr>
                <w:rFonts w:ascii="Garamond" w:eastAsia="Times New Roman" w:hAnsi="Garamond" w:cs="Times New Roman"/>
              </w:rPr>
            </w:pPr>
          </w:p>
        </w:tc>
        <w:tc>
          <w:tcPr>
            <w:tcW w:w="561" w:type="pct"/>
            <w:tcBorders>
              <w:top w:val="single" w:sz="4" w:space="0" w:color="auto"/>
              <w:left w:val="nil"/>
              <w:bottom w:val="nil"/>
              <w:right w:val="nil"/>
            </w:tcBorders>
            <w:shd w:val="clear" w:color="auto" w:fill="auto"/>
            <w:noWrap/>
            <w:vAlign w:val="center"/>
            <w:hideMark/>
          </w:tcPr>
          <w:p w14:paraId="39E47FBC" w14:textId="77777777" w:rsidR="00D9220A" w:rsidRPr="00810343" w:rsidRDefault="00D9220A" w:rsidP="00461AE2">
            <w:pPr>
              <w:spacing w:after="0" w:line="240" w:lineRule="auto"/>
              <w:jc w:val="center"/>
              <w:rPr>
                <w:rFonts w:ascii="Garamond" w:eastAsia="Times New Roman" w:hAnsi="Garamond" w:cs="Times New Roman"/>
              </w:rPr>
            </w:pPr>
          </w:p>
        </w:tc>
        <w:tc>
          <w:tcPr>
            <w:tcW w:w="561" w:type="pct"/>
            <w:tcBorders>
              <w:top w:val="single" w:sz="4" w:space="0" w:color="auto"/>
              <w:left w:val="nil"/>
              <w:bottom w:val="nil"/>
              <w:right w:val="nil"/>
            </w:tcBorders>
            <w:shd w:val="clear" w:color="auto" w:fill="auto"/>
            <w:noWrap/>
            <w:vAlign w:val="center"/>
            <w:hideMark/>
          </w:tcPr>
          <w:p w14:paraId="0E05241F" w14:textId="77777777" w:rsidR="00D9220A" w:rsidRPr="00810343" w:rsidRDefault="00D9220A" w:rsidP="00461AE2">
            <w:pPr>
              <w:spacing w:after="0" w:line="240" w:lineRule="auto"/>
              <w:jc w:val="center"/>
              <w:rPr>
                <w:rFonts w:ascii="Garamond" w:eastAsia="Times New Roman" w:hAnsi="Garamond" w:cs="Times New Roman"/>
              </w:rPr>
            </w:pPr>
          </w:p>
        </w:tc>
        <w:tc>
          <w:tcPr>
            <w:tcW w:w="561" w:type="pct"/>
            <w:tcBorders>
              <w:top w:val="single" w:sz="4" w:space="0" w:color="auto"/>
              <w:left w:val="nil"/>
              <w:bottom w:val="nil"/>
              <w:right w:val="nil"/>
            </w:tcBorders>
            <w:vAlign w:val="center"/>
          </w:tcPr>
          <w:p w14:paraId="76476983" w14:textId="77777777" w:rsidR="00D9220A" w:rsidRPr="00810343" w:rsidRDefault="00D9220A" w:rsidP="00461AE2">
            <w:pPr>
              <w:spacing w:after="0" w:line="240" w:lineRule="auto"/>
              <w:jc w:val="center"/>
              <w:rPr>
                <w:rFonts w:ascii="Garamond" w:eastAsia="Times New Roman" w:hAnsi="Garamond" w:cs="Times New Roman"/>
              </w:rPr>
            </w:pPr>
          </w:p>
        </w:tc>
        <w:tc>
          <w:tcPr>
            <w:tcW w:w="561" w:type="pct"/>
            <w:tcBorders>
              <w:top w:val="single" w:sz="4" w:space="0" w:color="auto"/>
              <w:left w:val="nil"/>
              <w:bottom w:val="nil"/>
              <w:right w:val="nil"/>
            </w:tcBorders>
            <w:vAlign w:val="center"/>
          </w:tcPr>
          <w:p w14:paraId="2CA7C5E5" w14:textId="77777777" w:rsidR="00D9220A" w:rsidRPr="00810343" w:rsidRDefault="00D9220A" w:rsidP="00461AE2">
            <w:pPr>
              <w:spacing w:after="0" w:line="240" w:lineRule="auto"/>
              <w:jc w:val="center"/>
              <w:rPr>
                <w:rFonts w:ascii="Garamond" w:eastAsia="Times New Roman" w:hAnsi="Garamond" w:cs="Times New Roman"/>
              </w:rPr>
            </w:pPr>
          </w:p>
        </w:tc>
      </w:tr>
      <w:tr w:rsidR="00D9220A" w:rsidRPr="005803D4" w14:paraId="0241FAF3" w14:textId="77777777" w:rsidTr="00461AE2">
        <w:trPr>
          <w:trHeight w:val="300"/>
          <w:jc w:val="center"/>
        </w:trPr>
        <w:tc>
          <w:tcPr>
            <w:tcW w:w="1634" w:type="pct"/>
            <w:tcBorders>
              <w:top w:val="nil"/>
              <w:left w:val="nil"/>
              <w:bottom w:val="nil"/>
              <w:right w:val="nil"/>
            </w:tcBorders>
            <w:shd w:val="clear" w:color="auto" w:fill="auto"/>
            <w:noWrap/>
            <w:vAlign w:val="center"/>
            <w:hideMark/>
          </w:tcPr>
          <w:p w14:paraId="607E6A71" w14:textId="77777777" w:rsidR="00D9220A" w:rsidRPr="00810343" w:rsidRDefault="00D9220A" w:rsidP="00461AE2">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GOP Senator (0,1)</w:t>
            </w:r>
          </w:p>
        </w:tc>
        <w:tc>
          <w:tcPr>
            <w:tcW w:w="561" w:type="pct"/>
            <w:tcBorders>
              <w:top w:val="nil"/>
              <w:left w:val="nil"/>
              <w:bottom w:val="nil"/>
              <w:right w:val="nil"/>
            </w:tcBorders>
            <w:shd w:val="clear" w:color="auto" w:fill="auto"/>
            <w:noWrap/>
            <w:vAlign w:val="center"/>
          </w:tcPr>
          <w:p w14:paraId="6CC65D05" w14:textId="77777777" w:rsidR="00D9220A" w:rsidRPr="0058048B" w:rsidRDefault="00D9220A" w:rsidP="00461AE2">
            <w:pPr>
              <w:spacing w:after="0" w:line="240" w:lineRule="auto"/>
              <w:jc w:val="center"/>
              <w:rPr>
                <w:rFonts w:ascii="Garamond" w:eastAsia="Times New Roman" w:hAnsi="Garamond" w:cs="Calibri"/>
                <w:color w:val="000000"/>
                <w:vertAlign w:val="superscript"/>
              </w:rPr>
            </w:pPr>
            <w:r w:rsidRPr="0058048B">
              <w:rPr>
                <w:rFonts w:ascii="Garamond" w:eastAsia="Times New Roman" w:hAnsi="Garamond" w:cs="Calibri"/>
                <w:color w:val="000000"/>
              </w:rPr>
              <w:t>-</w:t>
            </w:r>
            <w:r>
              <w:rPr>
                <w:rFonts w:ascii="Garamond" w:eastAsia="Times New Roman" w:hAnsi="Garamond" w:cs="Calibri"/>
                <w:color w:val="000000"/>
              </w:rPr>
              <w:t>0.42*</w:t>
            </w:r>
          </w:p>
          <w:p w14:paraId="10EB7F35" w14:textId="77777777" w:rsidR="00D9220A" w:rsidRPr="0058048B" w:rsidRDefault="00D9220A" w:rsidP="00461AE2">
            <w:pPr>
              <w:spacing w:after="0" w:line="240" w:lineRule="auto"/>
              <w:jc w:val="center"/>
              <w:rPr>
                <w:rFonts w:ascii="Garamond" w:eastAsia="Times New Roman" w:hAnsi="Garamond" w:cs="Calibri"/>
                <w:color w:val="000000"/>
              </w:rPr>
            </w:pPr>
            <w:r>
              <w:rPr>
                <w:rFonts w:ascii="Garamond" w:eastAsia="Times New Roman" w:hAnsi="Garamond" w:cs="Times New Roman"/>
              </w:rPr>
              <w:t>(</w:t>
            </w:r>
            <w:r w:rsidRPr="0058048B">
              <w:rPr>
                <w:rFonts w:ascii="Garamond" w:eastAsia="Times New Roman" w:hAnsi="Garamond" w:cs="Times New Roman"/>
              </w:rPr>
              <w:t>0.10</w:t>
            </w:r>
            <w:r>
              <w:rPr>
                <w:rFonts w:ascii="Garamond" w:eastAsia="Times New Roman" w:hAnsi="Garamond" w:cs="Times New Roman"/>
              </w:rPr>
              <w:t>)</w:t>
            </w:r>
          </w:p>
        </w:tc>
        <w:tc>
          <w:tcPr>
            <w:tcW w:w="561" w:type="pct"/>
            <w:tcBorders>
              <w:top w:val="nil"/>
              <w:left w:val="nil"/>
              <w:bottom w:val="nil"/>
              <w:right w:val="nil"/>
            </w:tcBorders>
            <w:shd w:val="clear" w:color="auto" w:fill="auto"/>
            <w:noWrap/>
            <w:vAlign w:val="center"/>
          </w:tcPr>
          <w:p w14:paraId="357BC76E"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-0.38*</w:t>
            </w:r>
          </w:p>
          <w:p w14:paraId="689EA31F"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(0.10)</w:t>
            </w:r>
          </w:p>
        </w:tc>
        <w:tc>
          <w:tcPr>
            <w:tcW w:w="561" w:type="pct"/>
            <w:tcBorders>
              <w:top w:val="nil"/>
              <w:left w:val="nil"/>
              <w:bottom w:val="nil"/>
              <w:right w:val="nil"/>
            </w:tcBorders>
            <w:vAlign w:val="center"/>
          </w:tcPr>
          <w:p w14:paraId="28E4C62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-0.33* (0.11)</w:t>
            </w:r>
          </w:p>
        </w:tc>
        <w:tc>
          <w:tcPr>
            <w:tcW w:w="561" w:type="pct"/>
            <w:tcBorders>
              <w:top w:val="nil"/>
              <w:left w:val="nil"/>
              <w:bottom w:val="nil"/>
              <w:right w:val="nil"/>
            </w:tcBorders>
            <w:vAlign w:val="center"/>
          </w:tcPr>
          <w:p w14:paraId="6B91F970"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-0.30*</w:t>
            </w:r>
          </w:p>
          <w:p w14:paraId="5A1B3DE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(0.11)</w:t>
            </w:r>
          </w:p>
        </w:tc>
        <w:tc>
          <w:tcPr>
            <w:tcW w:w="561" w:type="pct"/>
            <w:tcBorders>
              <w:top w:val="nil"/>
              <w:left w:val="nil"/>
              <w:bottom w:val="nil"/>
              <w:right w:val="nil"/>
            </w:tcBorders>
            <w:vAlign w:val="center"/>
          </w:tcPr>
          <w:p w14:paraId="6222259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-0.22 (0.13)</w:t>
            </w:r>
          </w:p>
        </w:tc>
        <w:tc>
          <w:tcPr>
            <w:tcW w:w="561" w:type="pct"/>
            <w:tcBorders>
              <w:top w:val="nil"/>
              <w:left w:val="nil"/>
              <w:bottom w:val="nil"/>
              <w:right w:val="nil"/>
            </w:tcBorders>
            <w:vAlign w:val="center"/>
          </w:tcPr>
          <w:p w14:paraId="530858C2"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-0.28* (0.13)</w:t>
            </w:r>
          </w:p>
        </w:tc>
      </w:tr>
      <w:tr w:rsidR="00D9220A" w:rsidRPr="005803D4" w14:paraId="06129C90" w14:textId="77777777" w:rsidTr="00461AE2">
        <w:trPr>
          <w:trHeight w:val="300"/>
          <w:jc w:val="center"/>
        </w:trPr>
        <w:tc>
          <w:tcPr>
            <w:tcW w:w="1634" w:type="pct"/>
            <w:tcBorders>
              <w:top w:val="nil"/>
              <w:left w:val="nil"/>
              <w:bottom w:val="nil"/>
              <w:right w:val="nil"/>
            </w:tcBorders>
            <w:shd w:val="clear" w:color="auto" w:fill="auto"/>
            <w:noWrap/>
            <w:vAlign w:val="center"/>
            <w:hideMark/>
          </w:tcPr>
          <w:p w14:paraId="3844E20B" w14:textId="77777777" w:rsidR="00D9220A" w:rsidRPr="00810343" w:rsidRDefault="00D9220A" w:rsidP="00461AE2">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Agency Ideology (L, C)</w:t>
            </w:r>
          </w:p>
        </w:tc>
        <w:tc>
          <w:tcPr>
            <w:tcW w:w="561" w:type="pct"/>
            <w:tcBorders>
              <w:top w:val="nil"/>
              <w:left w:val="nil"/>
              <w:bottom w:val="nil"/>
              <w:right w:val="nil"/>
            </w:tcBorders>
            <w:shd w:val="clear" w:color="auto" w:fill="auto"/>
            <w:noWrap/>
            <w:vAlign w:val="center"/>
          </w:tcPr>
          <w:p w14:paraId="45A08874" w14:textId="77777777" w:rsidR="00D9220A" w:rsidRPr="0058048B"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0.09</w:t>
            </w:r>
          </w:p>
          <w:p w14:paraId="3A9FAD6C" w14:textId="77777777" w:rsidR="00D9220A" w:rsidRPr="0058048B"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r w:rsidRPr="0058048B">
              <w:rPr>
                <w:rFonts w:ascii="Garamond" w:eastAsia="Times New Roman" w:hAnsi="Garamond" w:cs="Calibri"/>
                <w:color w:val="000000"/>
              </w:rPr>
              <w:t>0.0</w:t>
            </w:r>
            <w:r>
              <w:rPr>
                <w:rFonts w:ascii="Garamond" w:eastAsia="Times New Roman" w:hAnsi="Garamond" w:cs="Calibri"/>
                <w:color w:val="000000"/>
              </w:rPr>
              <w:t>6)</w:t>
            </w:r>
          </w:p>
        </w:tc>
        <w:tc>
          <w:tcPr>
            <w:tcW w:w="561" w:type="pct"/>
            <w:tcBorders>
              <w:top w:val="nil"/>
              <w:left w:val="nil"/>
              <w:bottom w:val="nil"/>
              <w:right w:val="nil"/>
            </w:tcBorders>
            <w:shd w:val="clear" w:color="auto" w:fill="auto"/>
            <w:noWrap/>
            <w:vAlign w:val="center"/>
          </w:tcPr>
          <w:p w14:paraId="1ACCD590"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-0.04</w:t>
            </w:r>
          </w:p>
          <w:p w14:paraId="3F29BA2C"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561" w:type="pct"/>
            <w:tcBorders>
              <w:top w:val="nil"/>
              <w:left w:val="nil"/>
              <w:bottom w:val="nil"/>
              <w:right w:val="nil"/>
            </w:tcBorders>
            <w:vAlign w:val="center"/>
          </w:tcPr>
          <w:p w14:paraId="3ED8010D"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0.12 </w:t>
            </w:r>
          </w:p>
          <w:p w14:paraId="7FAD2C1B"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561" w:type="pct"/>
            <w:tcBorders>
              <w:top w:val="nil"/>
              <w:left w:val="nil"/>
              <w:bottom w:val="nil"/>
              <w:right w:val="nil"/>
            </w:tcBorders>
            <w:vAlign w:val="center"/>
          </w:tcPr>
          <w:p w14:paraId="31820697"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-0.03</w:t>
            </w:r>
          </w:p>
          <w:p w14:paraId="64438F38"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561" w:type="pct"/>
            <w:tcBorders>
              <w:top w:val="nil"/>
              <w:left w:val="nil"/>
              <w:bottom w:val="nil"/>
              <w:right w:val="nil"/>
            </w:tcBorders>
            <w:vAlign w:val="center"/>
          </w:tcPr>
          <w:p w14:paraId="0EDA324F"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0.11 </w:t>
            </w:r>
          </w:p>
          <w:p w14:paraId="63C8C7CE"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(0.07)</w:t>
            </w:r>
          </w:p>
        </w:tc>
        <w:tc>
          <w:tcPr>
            <w:tcW w:w="561" w:type="pct"/>
            <w:tcBorders>
              <w:top w:val="nil"/>
              <w:left w:val="nil"/>
              <w:bottom w:val="nil"/>
              <w:right w:val="nil"/>
            </w:tcBorders>
            <w:vAlign w:val="center"/>
          </w:tcPr>
          <w:p w14:paraId="28A6122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-0.03 (0.07)</w:t>
            </w:r>
          </w:p>
        </w:tc>
      </w:tr>
      <w:tr w:rsidR="00D9220A" w:rsidRPr="005803D4" w14:paraId="0C3EBE63" w14:textId="77777777" w:rsidTr="00461AE2">
        <w:trPr>
          <w:trHeight w:val="300"/>
          <w:jc w:val="center"/>
        </w:trPr>
        <w:tc>
          <w:tcPr>
            <w:tcW w:w="1634" w:type="pct"/>
            <w:tcBorders>
              <w:top w:val="nil"/>
              <w:left w:val="nil"/>
              <w:bottom w:val="nil"/>
              <w:right w:val="nil"/>
            </w:tcBorders>
            <w:shd w:val="clear" w:color="auto" w:fill="auto"/>
            <w:noWrap/>
            <w:vAlign w:val="center"/>
            <w:hideMark/>
          </w:tcPr>
          <w:p w14:paraId="130CFD9B" w14:textId="77777777" w:rsidR="00D9220A" w:rsidRPr="00810343" w:rsidRDefault="00D9220A" w:rsidP="00461AE2">
            <w:pPr>
              <w:spacing w:after="0" w:line="240" w:lineRule="auto"/>
              <w:ind w:firstLine="157"/>
              <w:rPr>
                <w:rFonts w:ascii="Garamond" w:eastAsia="Times New Roman" w:hAnsi="Garamond" w:cs="Calibri"/>
                <w:color w:val="000000"/>
              </w:rPr>
            </w:pPr>
            <w:r>
              <w:rPr>
                <w:rFonts w:ascii="Garamond" w:eastAsia="Times New Roman" w:hAnsi="Garamond" w:cs="Calibri"/>
                <w:color w:val="000000"/>
              </w:rPr>
              <w:t>GOP Sen</w:t>
            </w:r>
            <w:r w:rsidRPr="00810343">
              <w:rPr>
                <w:rFonts w:ascii="Garamond" w:eastAsia="Times New Roman" w:hAnsi="Garamond" w:cs="Calibri"/>
                <w:color w:val="000000"/>
              </w:rPr>
              <w:t>*Agency Ideology</w:t>
            </w:r>
          </w:p>
        </w:tc>
        <w:tc>
          <w:tcPr>
            <w:tcW w:w="561" w:type="pct"/>
            <w:tcBorders>
              <w:top w:val="nil"/>
              <w:left w:val="nil"/>
              <w:bottom w:val="nil"/>
              <w:right w:val="nil"/>
            </w:tcBorders>
            <w:shd w:val="clear" w:color="auto" w:fill="auto"/>
            <w:noWrap/>
            <w:vAlign w:val="center"/>
          </w:tcPr>
          <w:p w14:paraId="7469ED1C" w14:textId="77777777" w:rsidR="00D9220A" w:rsidRPr="0058048B"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561" w:type="pct"/>
            <w:tcBorders>
              <w:top w:val="nil"/>
              <w:left w:val="nil"/>
              <w:bottom w:val="nil"/>
              <w:right w:val="nil"/>
            </w:tcBorders>
            <w:shd w:val="clear" w:color="auto" w:fill="auto"/>
            <w:noWrap/>
            <w:vAlign w:val="center"/>
          </w:tcPr>
          <w:p w14:paraId="1EBA4828"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0.28*</w:t>
            </w:r>
          </w:p>
          <w:p w14:paraId="6B6ED91B"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(0.05)</w:t>
            </w:r>
          </w:p>
        </w:tc>
        <w:tc>
          <w:tcPr>
            <w:tcW w:w="561" w:type="pct"/>
            <w:tcBorders>
              <w:top w:val="nil"/>
              <w:left w:val="nil"/>
              <w:bottom w:val="nil"/>
              <w:right w:val="nil"/>
            </w:tcBorders>
            <w:vAlign w:val="center"/>
          </w:tcPr>
          <w:p w14:paraId="168BD1F4"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561" w:type="pct"/>
            <w:tcBorders>
              <w:top w:val="nil"/>
              <w:left w:val="nil"/>
              <w:bottom w:val="nil"/>
              <w:right w:val="nil"/>
            </w:tcBorders>
            <w:vAlign w:val="center"/>
          </w:tcPr>
          <w:p w14:paraId="0D023BE9"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0.32* (0.06)</w:t>
            </w:r>
          </w:p>
        </w:tc>
        <w:tc>
          <w:tcPr>
            <w:tcW w:w="561" w:type="pct"/>
            <w:tcBorders>
              <w:top w:val="nil"/>
              <w:left w:val="nil"/>
              <w:bottom w:val="nil"/>
              <w:right w:val="nil"/>
            </w:tcBorders>
            <w:vAlign w:val="center"/>
          </w:tcPr>
          <w:p w14:paraId="29C10AF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561" w:type="pct"/>
            <w:tcBorders>
              <w:top w:val="nil"/>
              <w:left w:val="nil"/>
              <w:bottom w:val="nil"/>
              <w:right w:val="nil"/>
            </w:tcBorders>
            <w:vAlign w:val="center"/>
          </w:tcPr>
          <w:p w14:paraId="6DCDD3AE"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0.32* (0.06)</w:t>
            </w:r>
          </w:p>
        </w:tc>
      </w:tr>
      <w:tr w:rsidR="00D9220A" w14:paraId="130E3906" w14:textId="77777777" w:rsidTr="00461AE2">
        <w:trPr>
          <w:trHeight w:val="300"/>
          <w:jc w:val="center"/>
        </w:trPr>
        <w:tc>
          <w:tcPr>
            <w:tcW w:w="1634" w:type="pct"/>
            <w:tcBorders>
              <w:top w:val="nil"/>
              <w:left w:val="nil"/>
              <w:right w:val="nil"/>
            </w:tcBorders>
            <w:shd w:val="clear" w:color="auto" w:fill="auto"/>
            <w:noWrap/>
            <w:vAlign w:val="center"/>
            <w:hideMark/>
          </w:tcPr>
          <w:p w14:paraId="5E1A9F53" w14:textId="77777777" w:rsidR="00D9220A" w:rsidRPr="00810343" w:rsidRDefault="00D9220A" w:rsidP="00461AE2">
            <w:pPr>
              <w:spacing w:after="0" w:line="240" w:lineRule="auto"/>
              <w:ind w:firstLine="157"/>
              <w:rPr>
                <w:rFonts w:ascii="Garamond" w:eastAsia="Times New Roman" w:hAnsi="Garamond" w:cs="Calibri"/>
                <w:color w:val="000000"/>
              </w:rPr>
            </w:pPr>
            <w:r w:rsidRPr="00810343">
              <w:rPr>
                <w:rFonts w:ascii="Garamond" w:eastAsia="Times New Roman" w:hAnsi="Garamond" w:cs="Calibri"/>
                <w:color w:val="000000"/>
              </w:rPr>
              <w:t>Ln(# of Project Grants)</w:t>
            </w:r>
          </w:p>
        </w:tc>
        <w:tc>
          <w:tcPr>
            <w:tcW w:w="561" w:type="pct"/>
            <w:tcBorders>
              <w:top w:val="nil"/>
              <w:left w:val="nil"/>
              <w:right w:val="nil"/>
            </w:tcBorders>
            <w:shd w:val="clear" w:color="auto" w:fill="auto"/>
            <w:noWrap/>
            <w:vAlign w:val="center"/>
          </w:tcPr>
          <w:p w14:paraId="3E5F184E" w14:textId="77777777" w:rsidR="00D9220A" w:rsidRPr="00810343" w:rsidRDefault="00D9220A" w:rsidP="00461AE2">
            <w:pPr>
              <w:spacing w:after="0" w:line="240" w:lineRule="auto"/>
              <w:jc w:val="center"/>
              <w:rPr>
                <w:rFonts w:ascii="Garamond" w:eastAsia="Times New Roman" w:hAnsi="Garamond" w:cs="Times New Roman"/>
              </w:rPr>
            </w:pPr>
            <w:r>
              <w:rPr>
                <w:rFonts w:ascii="Garamond" w:eastAsia="Times New Roman" w:hAnsi="Garamond" w:cs="Times New Roman"/>
              </w:rPr>
              <w:t>-</w:t>
            </w:r>
          </w:p>
        </w:tc>
        <w:tc>
          <w:tcPr>
            <w:tcW w:w="561" w:type="pct"/>
            <w:tcBorders>
              <w:top w:val="nil"/>
              <w:left w:val="nil"/>
              <w:right w:val="nil"/>
            </w:tcBorders>
            <w:shd w:val="clear" w:color="auto" w:fill="auto"/>
            <w:noWrap/>
            <w:vAlign w:val="center"/>
          </w:tcPr>
          <w:p w14:paraId="61344A6A"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561" w:type="pct"/>
            <w:tcBorders>
              <w:top w:val="nil"/>
              <w:left w:val="nil"/>
              <w:right w:val="nil"/>
            </w:tcBorders>
            <w:vAlign w:val="center"/>
          </w:tcPr>
          <w:p w14:paraId="2E17BBCC"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5F8C3B2D"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561" w:type="pct"/>
            <w:tcBorders>
              <w:top w:val="nil"/>
              <w:left w:val="nil"/>
              <w:right w:val="nil"/>
            </w:tcBorders>
            <w:vAlign w:val="center"/>
          </w:tcPr>
          <w:p w14:paraId="21C724C9"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6FDAFB06"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561" w:type="pct"/>
            <w:tcBorders>
              <w:top w:val="nil"/>
              <w:left w:val="nil"/>
              <w:right w:val="nil"/>
            </w:tcBorders>
            <w:vAlign w:val="center"/>
          </w:tcPr>
          <w:p w14:paraId="3EDD0460"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0.02 </w:t>
            </w:r>
          </w:p>
          <w:p w14:paraId="3FFD9FA1"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c>
          <w:tcPr>
            <w:tcW w:w="561" w:type="pct"/>
            <w:tcBorders>
              <w:top w:val="nil"/>
              <w:left w:val="nil"/>
              <w:right w:val="nil"/>
            </w:tcBorders>
            <w:vAlign w:val="center"/>
          </w:tcPr>
          <w:p w14:paraId="7FE1CBA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 xml:space="preserve">0.01 </w:t>
            </w:r>
          </w:p>
          <w:p w14:paraId="144E187D"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(0.02)</w:t>
            </w:r>
          </w:p>
        </w:tc>
      </w:tr>
      <w:tr w:rsidR="00D9220A" w14:paraId="71BEAAFF" w14:textId="77777777" w:rsidTr="00461AE2">
        <w:trPr>
          <w:trHeight w:val="300"/>
          <w:jc w:val="center"/>
        </w:trPr>
        <w:tc>
          <w:tcPr>
            <w:tcW w:w="1634" w:type="pct"/>
            <w:tcBorders>
              <w:top w:val="nil"/>
              <w:left w:val="nil"/>
              <w:right w:val="nil"/>
            </w:tcBorders>
            <w:shd w:val="clear" w:color="auto" w:fill="auto"/>
            <w:noWrap/>
            <w:vAlign w:val="center"/>
          </w:tcPr>
          <w:p w14:paraId="23AE44D8" w14:textId="77777777" w:rsidR="00D9220A" w:rsidRPr="00810343" w:rsidRDefault="00D9220A" w:rsidP="00461AE2">
            <w:pPr>
              <w:spacing w:after="0" w:line="240" w:lineRule="auto"/>
              <w:ind w:firstLine="157"/>
              <w:rPr>
                <w:rFonts w:ascii="Garamond" w:eastAsia="Times New Roman" w:hAnsi="Garamond" w:cs="Calibri"/>
                <w:color w:val="000000"/>
              </w:rPr>
            </w:pPr>
            <w:r>
              <w:rPr>
                <w:rFonts w:ascii="Garamond" w:eastAsia="Times New Roman" w:hAnsi="Garamond" w:cs="Calibri"/>
                <w:color w:val="000000"/>
              </w:rPr>
              <w:t>GOP Sen*</w:t>
            </w:r>
            <w:r w:rsidRPr="00810343">
              <w:rPr>
                <w:rFonts w:ascii="Garamond" w:eastAsia="Times New Roman" w:hAnsi="Garamond" w:cs="Calibri"/>
                <w:color w:val="000000"/>
              </w:rPr>
              <w:t>Ln(# of Project Grants)</w:t>
            </w:r>
          </w:p>
        </w:tc>
        <w:tc>
          <w:tcPr>
            <w:tcW w:w="561" w:type="pct"/>
            <w:tcBorders>
              <w:top w:val="nil"/>
              <w:left w:val="nil"/>
              <w:right w:val="nil"/>
            </w:tcBorders>
            <w:shd w:val="clear" w:color="auto" w:fill="auto"/>
            <w:noWrap/>
            <w:vAlign w:val="center"/>
          </w:tcPr>
          <w:p w14:paraId="6F93C5A4" w14:textId="77777777" w:rsidR="00D9220A" w:rsidRPr="00810343" w:rsidRDefault="00D9220A" w:rsidP="00461AE2">
            <w:pPr>
              <w:spacing w:after="0" w:line="240" w:lineRule="auto"/>
              <w:jc w:val="center"/>
              <w:rPr>
                <w:rFonts w:ascii="Garamond" w:eastAsia="Times New Roman" w:hAnsi="Garamond" w:cs="Times New Roman"/>
              </w:rPr>
            </w:pPr>
            <w:r>
              <w:rPr>
                <w:rFonts w:ascii="Garamond" w:eastAsia="Times New Roman" w:hAnsi="Garamond" w:cs="Times New Roman"/>
              </w:rPr>
              <w:t>-</w:t>
            </w:r>
          </w:p>
        </w:tc>
        <w:tc>
          <w:tcPr>
            <w:tcW w:w="561" w:type="pct"/>
            <w:tcBorders>
              <w:top w:val="nil"/>
              <w:left w:val="nil"/>
              <w:right w:val="nil"/>
            </w:tcBorders>
            <w:shd w:val="clear" w:color="auto" w:fill="auto"/>
            <w:noWrap/>
            <w:vAlign w:val="center"/>
          </w:tcPr>
          <w:p w14:paraId="1312271B"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561" w:type="pct"/>
            <w:tcBorders>
              <w:top w:val="nil"/>
              <w:left w:val="nil"/>
              <w:right w:val="nil"/>
            </w:tcBorders>
            <w:vAlign w:val="center"/>
          </w:tcPr>
          <w:p w14:paraId="3A72FA78"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561" w:type="pct"/>
            <w:tcBorders>
              <w:top w:val="nil"/>
              <w:left w:val="nil"/>
              <w:right w:val="nil"/>
            </w:tcBorders>
            <w:vAlign w:val="center"/>
          </w:tcPr>
          <w:p w14:paraId="67FFA841"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w:t>
            </w:r>
          </w:p>
        </w:tc>
        <w:tc>
          <w:tcPr>
            <w:tcW w:w="561" w:type="pct"/>
            <w:tcBorders>
              <w:top w:val="nil"/>
              <w:left w:val="nil"/>
              <w:right w:val="nil"/>
            </w:tcBorders>
            <w:vAlign w:val="center"/>
          </w:tcPr>
          <w:p w14:paraId="55E6BD9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-0.02 (0.01)</w:t>
            </w:r>
          </w:p>
        </w:tc>
        <w:tc>
          <w:tcPr>
            <w:tcW w:w="561" w:type="pct"/>
            <w:tcBorders>
              <w:top w:val="nil"/>
              <w:left w:val="nil"/>
              <w:right w:val="nil"/>
            </w:tcBorders>
            <w:vAlign w:val="center"/>
          </w:tcPr>
          <w:p w14:paraId="100382D4"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-0.00 (0.01)</w:t>
            </w:r>
          </w:p>
        </w:tc>
      </w:tr>
      <w:tr w:rsidR="00D9220A" w:rsidRPr="005803D4" w14:paraId="2C82C0EF" w14:textId="77777777" w:rsidTr="00461AE2">
        <w:trPr>
          <w:trHeight w:val="300"/>
          <w:jc w:val="center"/>
        </w:trPr>
        <w:tc>
          <w:tcPr>
            <w:tcW w:w="1634" w:type="pct"/>
            <w:tcBorders>
              <w:left w:val="nil"/>
              <w:bottom w:val="single" w:sz="4" w:space="0" w:color="auto"/>
              <w:right w:val="nil"/>
            </w:tcBorders>
            <w:shd w:val="clear" w:color="auto" w:fill="auto"/>
            <w:noWrap/>
            <w:vAlign w:val="center"/>
          </w:tcPr>
          <w:p w14:paraId="3AB2EA61" w14:textId="77777777" w:rsidR="00D9220A" w:rsidRPr="00A31ECC" w:rsidRDefault="00D9220A" w:rsidP="00461AE2">
            <w:pPr>
              <w:spacing w:after="0" w:line="240" w:lineRule="auto"/>
              <w:rPr>
                <w:rFonts w:ascii="Garamond" w:eastAsiaTheme="minorEastAsia" w:hAnsi="Garamond"/>
                <w:i/>
                <w:iCs/>
                <w:color w:val="000000"/>
              </w:rPr>
            </w:pPr>
            <w:r>
              <w:rPr>
                <w:rFonts w:ascii="Garamond" w:eastAsiaTheme="minorEastAsia" w:hAnsi="Garamond"/>
                <w:i/>
                <w:iCs/>
                <w:color w:val="000000"/>
              </w:rPr>
              <w:t>Controls?</w:t>
            </w:r>
          </w:p>
        </w:tc>
        <w:tc>
          <w:tcPr>
            <w:tcW w:w="561" w:type="pct"/>
            <w:tcBorders>
              <w:left w:val="nil"/>
              <w:bottom w:val="single" w:sz="4" w:space="0" w:color="auto"/>
              <w:right w:val="nil"/>
            </w:tcBorders>
            <w:shd w:val="clear" w:color="auto" w:fill="auto"/>
            <w:noWrap/>
            <w:vAlign w:val="center"/>
          </w:tcPr>
          <w:p w14:paraId="7CD65AE2"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Y</w:t>
            </w:r>
          </w:p>
        </w:tc>
        <w:tc>
          <w:tcPr>
            <w:tcW w:w="561" w:type="pct"/>
            <w:tcBorders>
              <w:left w:val="nil"/>
              <w:bottom w:val="single" w:sz="4" w:space="0" w:color="auto"/>
              <w:right w:val="nil"/>
            </w:tcBorders>
            <w:shd w:val="clear" w:color="auto" w:fill="auto"/>
            <w:noWrap/>
            <w:vAlign w:val="center"/>
          </w:tcPr>
          <w:p w14:paraId="46699387"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Y</w:t>
            </w:r>
          </w:p>
        </w:tc>
        <w:tc>
          <w:tcPr>
            <w:tcW w:w="561" w:type="pct"/>
            <w:tcBorders>
              <w:left w:val="nil"/>
              <w:bottom w:val="single" w:sz="4" w:space="0" w:color="auto"/>
              <w:right w:val="nil"/>
            </w:tcBorders>
            <w:vAlign w:val="center"/>
          </w:tcPr>
          <w:p w14:paraId="5B4D6C98"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Y</w:t>
            </w:r>
          </w:p>
        </w:tc>
        <w:tc>
          <w:tcPr>
            <w:tcW w:w="561" w:type="pct"/>
            <w:tcBorders>
              <w:left w:val="nil"/>
              <w:bottom w:val="single" w:sz="4" w:space="0" w:color="auto"/>
              <w:right w:val="nil"/>
            </w:tcBorders>
            <w:vAlign w:val="center"/>
          </w:tcPr>
          <w:p w14:paraId="444BF928"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Y</w:t>
            </w:r>
          </w:p>
        </w:tc>
        <w:tc>
          <w:tcPr>
            <w:tcW w:w="561" w:type="pct"/>
            <w:tcBorders>
              <w:left w:val="nil"/>
              <w:bottom w:val="single" w:sz="4" w:space="0" w:color="auto"/>
              <w:right w:val="nil"/>
            </w:tcBorders>
            <w:vAlign w:val="center"/>
          </w:tcPr>
          <w:p w14:paraId="31A249A0"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Y</w:t>
            </w:r>
          </w:p>
        </w:tc>
        <w:tc>
          <w:tcPr>
            <w:tcW w:w="561" w:type="pct"/>
            <w:tcBorders>
              <w:left w:val="nil"/>
              <w:bottom w:val="single" w:sz="4" w:space="0" w:color="auto"/>
              <w:right w:val="nil"/>
            </w:tcBorders>
            <w:vAlign w:val="center"/>
          </w:tcPr>
          <w:p w14:paraId="39EF4DA7"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Y</w:t>
            </w:r>
          </w:p>
        </w:tc>
      </w:tr>
      <w:tr w:rsidR="00D9220A" w:rsidRPr="005803D4" w14:paraId="7906D17E" w14:textId="77777777" w:rsidTr="00461AE2">
        <w:trPr>
          <w:trHeight w:val="300"/>
          <w:jc w:val="center"/>
        </w:trPr>
        <w:tc>
          <w:tcPr>
            <w:tcW w:w="1634" w:type="pct"/>
            <w:tcBorders>
              <w:top w:val="single" w:sz="4" w:space="0" w:color="auto"/>
              <w:left w:val="nil"/>
              <w:bottom w:val="nil"/>
              <w:right w:val="nil"/>
            </w:tcBorders>
            <w:shd w:val="clear" w:color="auto" w:fill="auto"/>
            <w:noWrap/>
            <w:vAlign w:val="center"/>
            <w:hideMark/>
          </w:tcPr>
          <w:p w14:paraId="2F304C52" w14:textId="77777777" w:rsidR="00D9220A" w:rsidRPr="00810343" w:rsidRDefault="00D9220A" w:rsidP="00461AE2">
            <w:pPr>
              <w:spacing w:after="0" w:line="240" w:lineRule="auto"/>
              <w:rPr>
                <w:rFonts w:ascii="Garamond" w:eastAsia="Times New Roman" w:hAnsi="Garamond" w:cs="Calibri"/>
                <w:color w:val="000000"/>
              </w:rPr>
            </w:pPr>
            <w:r>
              <w:rPr>
                <w:rFonts w:ascii="Garamond" w:eastAsiaTheme="minorEastAsia" w:hAnsi="Garamond"/>
                <w:color w:val="000000"/>
              </w:rPr>
              <w:t>Respondents (N,</w:t>
            </w:r>
            <m:oMath>
              <m:r>
                <w:rPr>
                  <w:rFonts w:ascii="Cambria Math" w:eastAsia="Times New Roman" w:hAnsi="Cambria Math" w:cs="Calibri"/>
                  <w:color w:val="000000"/>
                </w:rPr>
                <m:t>σ</m:t>
              </m:r>
            </m:oMath>
            <w:r>
              <w:rPr>
                <w:rFonts w:ascii="Garamond" w:eastAsiaTheme="minorEastAsia" w:hAnsi="Garamond"/>
                <w:color w:val="000000"/>
              </w:rPr>
              <w:t>)</w:t>
            </w:r>
          </w:p>
        </w:tc>
        <w:tc>
          <w:tcPr>
            <w:tcW w:w="561" w:type="pct"/>
            <w:tcBorders>
              <w:top w:val="single" w:sz="4" w:space="0" w:color="auto"/>
              <w:left w:val="nil"/>
              <w:bottom w:val="nil"/>
              <w:right w:val="nil"/>
            </w:tcBorders>
            <w:shd w:val="clear" w:color="auto" w:fill="auto"/>
            <w:noWrap/>
            <w:vAlign w:val="center"/>
            <w:hideMark/>
          </w:tcPr>
          <w:p w14:paraId="6AECA1CE"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(599, 0.79)</w:t>
            </w:r>
          </w:p>
        </w:tc>
        <w:tc>
          <w:tcPr>
            <w:tcW w:w="561" w:type="pct"/>
            <w:tcBorders>
              <w:top w:val="single" w:sz="4" w:space="0" w:color="auto"/>
              <w:left w:val="nil"/>
              <w:bottom w:val="nil"/>
              <w:right w:val="nil"/>
            </w:tcBorders>
            <w:shd w:val="clear" w:color="auto" w:fill="auto"/>
            <w:noWrap/>
            <w:vAlign w:val="center"/>
          </w:tcPr>
          <w:p w14:paraId="130848A3"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(599, 0.79)</w:t>
            </w:r>
          </w:p>
        </w:tc>
        <w:tc>
          <w:tcPr>
            <w:tcW w:w="561" w:type="pct"/>
            <w:tcBorders>
              <w:top w:val="single" w:sz="4" w:space="0" w:color="auto"/>
              <w:left w:val="nil"/>
              <w:bottom w:val="nil"/>
              <w:right w:val="nil"/>
            </w:tcBorders>
            <w:vAlign w:val="center"/>
          </w:tcPr>
          <w:p w14:paraId="3FD73ECD"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c>
          <w:tcPr>
            <w:tcW w:w="561" w:type="pct"/>
            <w:tcBorders>
              <w:top w:val="single" w:sz="4" w:space="0" w:color="auto"/>
              <w:left w:val="nil"/>
              <w:bottom w:val="nil"/>
              <w:right w:val="nil"/>
            </w:tcBorders>
            <w:vAlign w:val="center"/>
          </w:tcPr>
          <w:p w14:paraId="3F91110B"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(438, 0.78)</w:t>
            </w:r>
          </w:p>
        </w:tc>
        <w:tc>
          <w:tcPr>
            <w:tcW w:w="561" w:type="pct"/>
            <w:tcBorders>
              <w:top w:val="single" w:sz="4" w:space="0" w:color="auto"/>
              <w:left w:val="nil"/>
              <w:bottom w:val="nil"/>
              <w:right w:val="nil"/>
            </w:tcBorders>
            <w:vAlign w:val="center"/>
          </w:tcPr>
          <w:p w14:paraId="3B47B348"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c>
          <w:tcPr>
            <w:tcW w:w="561" w:type="pct"/>
            <w:tcBorders>
              <w:top w:val="single" w:sz="4" w:space="0" w:color="auto"/>
              <w:left w:val="nil"/>
              <w:bottom w:val="nil"/>
              <w:right w:val="nil"/>
            </w:tcBorders>
            <w:vAlign w:val="center"/>
          </w:tcPr>
          <w:p w14:paraId="48B5944B"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(438, 0.79)</w:t>
            </w:r>
          </w:p>
        </w:tc>
      </w:tr>
      <w:tr w:rsidR="00D9220A" w:rsidRPr="005803D4" w14:paraId="7091B798" w14:textId="77777777" w:rsidTr="00461AE2">
        <w:trPr>
          <w:trHeight w:val="300"/>
          <w:jc w:val="center"/>
        </w:trPr>
        <w:tc>
          <w:tcPr>
            <w:tcW w:w="1634" w:type="pct"/>
            <w:tcBorders>
              <w:top w:val="nil"/>
              <w:left w:val="nil"/>
              <w:bottom w:val="nil"/>
              <w:right w:val="nil"/>
            </w:tcBorders>
            <w:shd w:val="clear" w:color="auto" w:fill="auto"/>
            <w:noWrap/>
            <w:vAlign w:val="center"/>
            <w:hideMark/>
          </w:tcPr>
          <w:p w14:paraId="159FBD38" w14:textId="77777777" w:rsidR="00D9220A" w:rsidRPr="00810343" w:rsidRDefault="00D9220A" w:rsidP="00461AE2">
            <w:pPr>
              <w:spacing w:after="0" w:line="240" w:lineRule="auto"/>
              <w:rPr>
                <w:rFonts w:ascii="Garamond" w:eastAsia="Times New Roman" w:hAnsi="Garamond" w:cs="Calibri"/>
                <w:color w:val="000000"/>
              </w:rPr>
            </w:pPr>
            <w:r>
              <w:rPr>
                <w:rFonts w:ascii="Garamond" w:eastAsiaTheme="minorEastAsia" w:hAnsi="Garamond"/>
                <w:color w:val="000000"/>
              </w:rPr>
              <w:t>Agencies (N,</w:t>
            </w:r>
            <m:oMath>
              <m:r>
                <w:rPr>
                  <w:rFonts w:ascii="Cambria Math" w:eastAsia="Times New Roman" w:hAnsi="Cambria Math" w:cs="Calibri"/>
                  <w:color w:val="000000"/>
                </w:rPr>
                <m:t>σ</m:t>
              </m:r>
            </m:oMath>
            <w:r>
              <w:rPr>
                <w:rFonts w:ascii="Garamond" w:eastAsiaTheme="minorEastAsia" w:hAnsi="Garamond"/>
                <w:color w:val="000000"/>
              </w:rPr>
              <w:t>)</w:t>
            </w:r>
          </w:p>
        </w:tc>
        <w:tc>
          <w:tcPr>
            <w:tcW w:w="561" w:type="pct"/>
            <w:tcBorders>
              <w:top w:val="nil"/>
              <w:left w:val="nil"/>
              <w:bottom w:val="nil"/>
              <w:right w:val="nil"/>
            </w:tcBorders>
            <w:shd w:val="clear" w:color="auto" w:fill="auto"/>
            <w:noWrap/>
            <w:vAlign w:val="center"/>
          </w:tcPr>
          <w:p w14:paraId="2C2ADD4B"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(130, 0.30)</w:t>
            </w:r>
          </w:p>
        </w:tc>
        <w:tc>
          <w:tcPr>
            <w:tcW w:w="561" w:type="pct"/>
            <w:tcBorders>
              <w:top w:val="nil"/>
              <w:left w:val="nil"/>
              <w:bottom w:val="nil"/>
              <w:right w:val="nil"/>
            </w:tcBorders>
            <w:shd w:val="clear" w:color="auto" w:fill="auto"/>
            <w:noWrap/>
            <w:vAlign w:val="center"/>
          </w:tcPr>
          <w:p w14:paraId="037858D2"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(130, 0.31)</w:t>
            </w:r>
          </w:p>
        </w:tc>
        <w:tc>
          <w:tcPr>
            <w:tcW w:w="561" w:type="pct"/>
            <w:tcBorders>
              <w:top w:val="nil"/>
              <w:left w:val="nil"/>
              <w:bottom w:val="nil"/>
              <w:right w:val="nil"/>
            </w:tcBorders>
            <w:vAlign w:val="center"/>
          </w:tcPr>
          <w:p w14:paraId="3AF42A36"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(105, 0.29)</w:t>
            </w:r>
          </w:p>
        </w:tc>
        <w:tc>
          <w:tcPr>
            <w:tcW w:w="561" w:type="pct"/>
            <w:tcBorders>
              <w:top w:val="nil"/>
              <w:left w:val="nil"/>
              <w:bottom w:val="nil"/>
              <w:right w:val="nil"/>
            </w:tcBorders>
            <w:vAlign w:val="center"/>
          </w:tcPr>
          <w:p w14:paraId="44041CC1"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(105, 0.31)</w:t>
            </w:r>
          </w:p>
        </w:tc>
        <w:tc>
          <w:tcPr>
            <w:tcW w:w="561" w:type="pct"/>
            <w:tcBorders>
              <w:top w:val="nil"/>
              <w:left w:val="nil"/>
              <w:bottom w:val="nil"/>
              <w:right w:val="nil"/>
            </w:tcBorders>
            <w:vAlign w:val="center"/>
          </w:tcPr>
          <w:p w14:paraId="6CCFE85C"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(105, 0.28)</w:t>
            </w:r>
          </w:p>
        </w:tc>
        <w:tc>
          <w:tcPr>
            <w:tcW w:w="561" w:type="pct"/>
            <w:tcBorders>
              <w:top w:val="nil"/>
              <w:left w:val="nil"/>
              <w:bottom w:val="nil"/>
              <w:right w:val="nil"/>
            </w:tcBorders>
            <w:vAlign w:val="center"/>
          </w:tcPr>
          <w:p w14:paraId="7F11FFDD"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(105, 0.30)</w:t>
            </w:r>
          </w:p>
        </w:tc>
      </w:tr>
      <w:tr w:rsidR="00D9220A" w:rsidRPr="005803D4" w14:paraId="55F62C01" w14:textId="77777777" w:rsidTr="00461AE2">
        <w:trPr>
          <w:trHeight w:val="300"/>
          <w:jc w:val="center"/>
        </w:trPr>
        <w:tc>
          <w:tcPr>
            <w:tcW w:w="1634" w:type="pct"/>
            <w:tcBorders>
              <w:top w:val="nil"/>
              <w:left w:val="nil"/>
              <w:bottom w:val="nil"/>
              <w:right w:val="nil"/>
            </w:tcBorders>
            <w:shd w:val="clear" w:color="auto" w:fill="auto"/>
            <w:noWrap/>
            <w:vAlign w:val="center"/>
            <w:hideMark/>
          </w:tcPr>
          <w:p w14:paraId="213D3B3B" w14:textId="77777777" w:rsidR="00D9220A" w:rsidRPr="00810343" w:rsidRDefault="00D9220A" w:rsidP="00461AE2">
            <w:pPr>
              <w:spacing w:after="0" w:line="240" w:lineRule="auto"/>
              <w:rPr>
                <w:rFonts w:ascii="Garamond" w:eastAsia="Times New Roman" w:hAnsi="Garamond" w:cs="Calibri"/>
                <w:color w:val="000000"/>
              </w:rPr>
            </w:pPr>
            <w:r>
              <w:rPr>
                <w:rFonts w:ascii="Garamond" w:eastAsiaTheme="minorEastAsia" w:hAnsi="Garamond"/>
                <w:color w:val="000000"/>
              </w:rPr>
              <w:t>Senator/Committee Dyads (N,</w:t>
            </w:r>
            <m:oMath>
              <m:r>
                <w:rPr>
                  <w:rFonts w:ascii="Cambria Math" w:eastAsia="Times New Roman" w:hAnsi="Cambria Math" w:cs="Calibri"/>
                  <w:color w:val="000000"/>
                </w:rPr>
                <m:t>σ</m:t>
              </m:r>
            </m:oMath>
            <w:r>
              <w:rPr>
                <w:rFonts w:ascii="Garamond" w:eastAsiaTheme="minorEastAsia" w:hAnsi="Garamond"/>
                <w:color w:val="000000"/>
              </w:rPr>
              <w:t>)</w:t>
            </w:r>
          </w:p>
        </w:tc>
        <w:tc>
          <w:tcPr>
            <w:tcW w:w="561" w:type="pct"/>
            <w:tcBorders>
              <w:top w:val="nil"/>
              <w:left w:val="nil"/>
              <w:bottom w:val="nil"/>
              <w:right w:val="nil"/>
            </w:tcBorders>
            <w:shd w:val="clear" w:color="auto" w:fill="auto"/>
            <w:noWrap/>
            <w:vAlign w:val="center"/>
          </w:tcPr>
          <w:p w14:paraId="45160765"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(299, 0.18)</w:t>
            </w:r>
          </w:p>
        </w:tc>
        <w:tc>
          <w:tcPr>
            <w:tcW w:w="561" w:type="pct"/>
            <w:tcBorders>
              <w:top w:val="nil"/>
              <w:left w:val="nil"/>
              <w:bottom w:val="nil"/>
              <w:right w:val="nil"/>
            </w:tcBorders>
            <w:shd w:val="clear" w:color="auto" w:fill="auto"/>
            <w:noWrap/>
            <w:vAlign w:val="center"/>
          </w:tcPr>
          <w:p w14:paraId="79269A09"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(299, 0.17)</w:t>
            </w:r>
          </w:p>
        </w:tc>
        <w:tc>
          <w:tcPr>
            <w:tcW w:w="561" w:type="pct"/>
            <w:tcBorders>
              <w:top w:val="nil"/>
              <w:left w:val="nil"/>
              <w:bottom w:val="nil"/>
              <w:right w:val="nil"/>
            </w:tcBorders>
            <w:vAlign w:val="center"/>
          </w:tcPr>
          <w:p w14:paraId="58F03E22"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(277, 0.22)</w:t>
            </w:r>
          </w:p>
        </w:tc>
        <w:tc>
          <w:tcPr>
            <w:tcW w:w="561" w:type="pct"/>
            <w:tcBorders>
              <w:top w:val="nil"/>
              <w:left w:val="nil"/>
              <w:bottom w:val="nil"/>
              <w:right w:val="nil"/>
            </w:tcBorders>
            <w:vAlign w:val="center"/>
          </w:tcPr>
          <w:p w14:paraId="138C89BA"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(277, 0.18)</w:t>
            </w:r>
          </w:p>
        </w:tc>
        <w:tc>
          <w:tcPr>
            <w:tcW w:w="561" w:type="pct"/>
            <w:tcBorders>
              <w:top w:val="nil"/>
              <w:left w:val="nil"/>
              <w:bottom w:val="nil"/>
              <w:right w:val="nil"/>
            </w:tcBorders>
            <w:vAlign w:val="center"/>
          </w:tcPr>
          <w:p w14:paraId="118C6337"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(277, 0.21)</w:t>
            </w:r>
          </w:p>
        </w:tc>
        <w:tc>
          <w:tcPr>
            <w:tcW w:w="561" w:type="pct"/>
            <w:tcBorders>
              <w:top w:val="nil"/>
              <w:left w:val="nil"/>
              <w:bottom w:val="nil"/>
              <w:right w:val="nil"/>
            </w:tcBorders>
            <w:vAlign w:val="center"/>
          </w:tcPr>
          <w:p w14:paraId="51C6E2C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(277, 0.18)</w:t>
            </w:r>
          </w:p>
        </w:tc>
      </w:tr>
      <w:tr w:rsidR="00D9220A" w:rsidRPr="005803D4" w14:paraId="796A710A" w14:textId="77777777" w:rsidTr="00461AE2">
        <w:trPr>
          <w:trHeight w:val="300"/>
          <w:jc w:val="center"/>
        </w:trPr>
        <w:tc>
          <w:tcPr>
            <w:tcW w:w="1634" w:type="pct"/>
            <w:tcBorders>
              <w:top w:val="nil"/>
              <w:left w:val="nil"/>
              <w:right w:val="nil"/>
            </w:tcBorders>
            <w:shd w:val="clear" w:color="auto" w:fill="auto"/>
            <w:noWrap/>
            <w:vAlign w:val="center"/>
            <w:hideMark/>
          </w:tcPr>
          <w:p w14:paraId="6003020C" w14:textId="77777777" w:rsidR="00D9220A" w:rsidRPr="00810343" w:rsidRDefault="00D9220A" w:rsidP="00461AE2">
            <w:pPr>
              <w:spacing w:after="0" w:line="240" w:lineRule="auto"/>
              <w:rPr>
                <w:rFonts w:ascii="Garamond" w:eastAsia="Times New Roman" w:hAnsi="Garamond" w:cs="Calibri"/>
                <w:color w:val="000000"/>
              </w:rPr>
            </w:pPr>
            <w:r>
              <w:rPr>
                <w:rFonts w:ascii="Garamond" w:eastAsiaTheme="minorEastAsia" w:hAnsi="Garamond"/>
                <w:color w:val="000000"/>
              </w:rPr>
              <w:t>Senators (N,</w:t>
            </w:r>
            <m:oMath>
              <m:r>
                <w:rPr>
                  <w:rFonts w:ascii="Cambria Math" w:eastAsia="Times New Roman" w:hAnsi="Cambria Math" w:cs="Calibri"/>
                  <w:color w:val="000000"/>
                </w:rPr>
                <m:t>σ</m:t>
              </m:r>
            </m:oMath>
            <w:r>
              <w:rPr>
                <w:rFonts w:ascii="Garamond" w:eastAsiaTheme="minorEastAsia" w:hAnsi="Garamond"/>
                <w:color w:val="000000"/>
              </w:rPr>
              <w:t>)</w:t>
            </w:r>
          </w:p>
        </w:tc>
        <w:tc>
          <w:tcPr>
            <w:tcW w:w="561" w:type="pct"/>
            <w:tcBorders>
              <w:top w:val="nil"/>
              <w:left w:val="nil"/>
              <w:right w:val="nil"/>
            </w:tcBorders>
            <w:shd w:val="clear" w:color="auto" w:fill="auto"/>
            <w:noWrap/>
            <w:vAlign w:val="center"/>
          </w:tcPr>
          <w:p w14:paraId="6E725E79"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(96, 0.22)</w:t>
            </w:r>
          </w:p>
        </w:tc>
        <w:tc>
          <w:tcPr>
            <w:tcW w:w="561" w:type="pct"/>
            <w:tcBorders>
              <w:top w:val="nil"/>
              <w:left w:val="nil"/>
              <w:right w:val="nil"/>
            </w:tcBorders>
            <w:shd w:val="clear" w:color="auto" w:fill="auto"/>
            <w:noWrap/>
            <w:vAlign w:val="center"/>
          </w:tcPr>
          <w:p w14:paraId="349F392D"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(96, 0.22)</w:t>
            </w:r>
          </w:p>
        </w:tc>
        <w:tc>
          <w:tcPr>
            <w:tcW w:w="561" w:type="pct"/>
            <w:tcBorders>
              <w:top w:val="nil"/>
              <w:left w:val="nil"/>
              <w:right w:val="nil"/>
            </w:tcBorders>
            <w:vAlign w:val="center"/>
          </w:tcPr>
          <w:p w14:paraId="5B613881"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c>
          <w:tcPr>
            <w:tcW w:w="561" w:type="pct"/>
            <w:tcBorders>
              <w:top w:val="nil"/>
              <w:left w:val="nil"/>
              <w:right w:val="nil"/>
            </w:tcBorders>
            <w:vAlign w:val="center"/>
          </w:tcPr>
          <w:p w14:paraId="3BC19FCE"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c>
          <w:tcPr>
            <w:tcW w:w="561" w:type="pct"/>
            <w:tcBorders>
              <w:top w:val="nil"/>
              <w:left w:val="nil"/>
              <w:right w:val="nil"/>
            </w:tcBorders>
            <w:vAlign w:val="center"/>
          </w:tcPr>
          <w:p w14:paraId="0E1C6DBE"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c>
          <w:tcPr>
            <w:tcW w:w="561" w:type="pct"/>
            <w:tcBorders>
              <w:top w:val="nil"/>
              <w:left w:val="nil"/>
              <w:right w:val="nil"/>
            </w:tcBorders>
            <w:vAlign w:val="center"/>
          </w:tcPr>
          <w:p w14:paraId="73AAC592"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(96, 0.23)</w:t>
            </w:r>
          </w:p>
        </w:tc>
      </w:tr>
      <w:tr w:rsidR="00D9220A" w:rsidRPr="005803D4" w14:paraId="1444FDBB" w14:textId="77777777" w:rsidTr="00461AE2">
        <w:trPr>
          <w:trHeight w:val="300"/>
          <w:jc w:val="center"/>
        </w:trPr>
        <w:tc>
          <w:tcPr>
            <w:tcW w:w="1634" w:type="pct"/>
            <w:tcBorders>
              <w:top w:val="nil"/>
              <w:left w:val="nil"/>
              <w:right w:val="nil"/>
            </w:tcBorders>
            <w:shd w:val="clear" w:color="auto" w:fill="auto"/>
            <w:noWrap/>
            <w:vAlign w:val="center"/>
          </w:tcPr>
          <w:p w14:paraId="037F8858" w14:textId="77777777" w:rsidR="00D9220A" w:rsidRDefault="00D9220A" w:rsidP="00461AE2">
            <w:pPr>
              <w:spacing w:after="0" w:line="240" w:lineRule="auto"/>
              <w:rPr>
                <w:rFonts w:ascii="Garamond" w:eastAsia="Times New Roman" w:hAnsi="Garamond" w:cs="Calibri"/>
                <w:color w:val="000000"/>
              </w:rPr>
            </w:pPr>
            <w:r>
              <w:rPr>
                <w:rFonts w:ascii="Garamond" w:eastAsiaTheme="minorEastAsia" w:hAnsi="Garamond"/>
                <w:color w:val="000000"/>
              </w:rPr>
              <w:t>Committees (N,</w:t>
            </w:r>
            <m:oMath>
              <m:r>
                <w:rPr>
                  <w:rFonts w:ascii="Cambria Math" w:eastAsia="Times New Roman" w:hAnsi="Cambria Math" w:cs="Calibri"/>
                  <w:color w:val="000000"/>
                </w:rPr>
                <m:t>σ</m:t>
              </m:r>
            </m:oMath>
            <w:r>
              <w:rPr>
                <w:rFonts w:ascii="Garamond" w:eastAsiaTheme="minorEastAsia" w:hAnsi="Garamond"/>
                <w:color w:val="000000"/>
              </w:rPr>
              <w:t>)</w:t>
            </w:r>
          </w:p>
        </w:tc>
        <w:tc>
          <w:tcPr>
            <w:tcW w:w="561" w:type="pct"/>
            <w:tcBorders>
              <w:top w:val="nil"/>
              <w:left w:val="nil"/>
              <w:right w:val="nil"/>
            </w:tcBorders>
            <w:shd w:val="clear" w:color="auto" w:fill="auto"/>
            <w:noWrap/>
            <w:vAlign w:val="center"/>
          </w:tcPr>
          <w:p w14:paraId="4E9E473F"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(16, 0.06)</w:t>
            </w:r>
          </w:p>
        </w:tc>
        <w:tc>
          <w:tcPr>
            <w:tcW w:w="561" w:type="pct"/>
            <w:tcBorders>
              <w:top w:val="nil"/>
              <w:left w:val="nil"/>
              <w:right w:val="nil"/>
            </w:tcBorders>
            <w:shd w:val="clear" w:color="auto" w:fill="auto"/>
            <w:noWrap/>
            <w:vAlign w:val="center"/>
          </w:tcPr>
          <w:p w14:paraId="29202D54"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(16, 0.07)</w:t>
            </w:r>
          </w:p>
        </w:tc>
        <w:tc>
          <w:tcPr>
            <w:tcW w:w="561" w:type="pct"/>
            <w:tcBorders>
              <w:top w:val="nil"/>
              <w:left w:val="nil"/>
              <w:right w:val="nil"/>
            </w:tcBorders>
            <w:vAlign w:val="center"/>
          </w:tcPr>
          <w:p w14:paraId="5277C981"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(15, 0.08)</w:t>
            </w:r>
          </w:p>
        </w:tc>
        <w:tc>
          <w:tcPr>
            <w:tcW w:w="561" w:type="pct"/>
            <w:tcBorders>
              <w:top w:val="nil"/>
              <w:left w:val="nil"/>
              <w:right w:val="nil"/>
            </w:tcBorders>
            <w:vAlign w:val="center"/>
          </w:tcPr>
          <w:p w14:paraId="587A3978"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(15, 0.08)</w:t>
            </w:r>
          </w:p>
        </w:tc>
        <w:tc>
          <w:tcPr>
            <w:tcW w:w="561" w:type="pct"/>
            <w:tcBorders>
              <w:top w:val="nil"/>
              <w:left w:val="nil"/>
              <w:right w:val="nil"/>
            </w:tcBorders>
            <w:vAlign w:val="center"/>
          </w:tcPr>
          <w:p w14:paraId="63FBA81A"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(15, 0.07)</w:t>
            </w:r>
          </w:p>
        </w:tc>
        <w:tc>
          <w:tcPr>
            <w:tcW w:w="561" w:type="pct"/>
            <w:tcBorders>
              <w:top w:val="nil"/>
              <w:left w:val="nil"/>
              <w:right w:val="nil"/>
            </w:tcBorders>
            <w:vAlign w:val="center"/>
          </w:tcPr>
          <w:p w14:paraId="486CE2C8"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(15, 0.07)</w:t>
            </w:r>
          </w:p>
        </w:tc>
      </w:tr>
      <w:tr w:rsidR="00D9220A" w:rsidRPr="005803D4" w14:paraId="54D86DFF" w14:textId="77777777" w:rsidTr="00461AE2">
        <w:trPr>
          <w:trHeight w:val="300"/>
          <w:jc w:val="center"/>
        </w:trPr>
        <w:tc>
          <w:tcPr>
            <w:tcW w:w="1634" w:type="pct"/>
            <w:tcBorders>
              <w:top w:val="nil"/>
              <w:left w:val="nil"/>
              <w:right w:val="nil"/>
            </w:tcBorders>
            <w:shd w:val="clear" w:color="auto" w:fill="auto"/>
            <w:noWrap/>
            <w:vAlign w:val="center"/>
          </w:tcPr>
          <w:p w14:paraId="35C6B811" w14:textId="77777777" w:rsidR="00D9220A" w:rsidRDefault="00D9220A" w:rsidP="00461AE2">
            <w:pPr>
              <w:spacing w:after="0" w:line="240" w:lineRule="auto"/>
              <w:rPr>
                <w:rFonts w:ascii="Garamond" w:eastAsia="Times New Roman" w:hAnsi="Garamond" w:cs="Calibri"/>
                <w:color w:val="000000"/>
              </w:rPr>
            </w:pPr>
            <w:r>
              <w:rPr>
                <w:rFonts w:ascii="Garamond" w:eastAsia="Times New Roman" w:hAnsi="Garamond" w:cs="Calibri"/>
                <w:color w:val="000000"/>
              </w:rPr>
              <w:t>Total N</w:t>
            </w:r>
          </w:p>
        </w:tc>
        <w:tc>
          <w:tcPr>
            <w:tcW w:w="561" w:type="pct"/>
            <w:tcBorders>
              <w:top w:val="nil"/>
              <w:left w:val="nil"/>
              <w:right w:val="nil"/>
            </w:tcBorders>
            <w:shd w:val="clear" w:color="auto" w:fill="auto"/>
            <w:noWrap/>
            <w:vAlign w:val="center"/>
          </w:tcPr>
          <w:p w14:paraId="23902271"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1771</w:t>
            </w:r>
          </w:p>
        </w:tc>
        <w:tc>
          <w:tcPr>
            <w:tcW w:w="561" w:type="pct"/>
            <w:tcBorders>
              <w:top w:val="nil"/>
              <w:left w:val="nil"/>
              <w:right w:val="nil"/>
            </w:tcBorders>
            <w:shd w:val="clear" w:color="auto" w:fill="auto"/>
            <w:noWrap/>
            <w:vAlign w:val="center"/>
          </w:tcPr>
          <w:p w14:paraId="6B8620B7"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1771</w:t>
            </w:r>
          </w:p>
        </w:tc>
        <w:tc>
          <w:tcPr>
            <w:tcW w:w="561" w:type="pct"/>
            <w:tcBorders>
              <w:top w:val="nil"/>
              <w:left w:val="nil"/>
              <w:right w:val="nil"/>
            </w:tcBorders>
            <w:vAlign w:val="center"/>
          </w:tcPr>
          <w:p w14:paraId="13A1FA41"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561" w:type="pct"/>
            <w:tcBorders>
              <w:top w:val="nil"/>
              <w:left w:val="nil"/>
              <w:right w:val="nil"/>
            </w:tcBorders>
            <w:vAlign w:val="center"/>
          </w:tcPr>
          <w:p w14:paraId="480A472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561" w:type="pct"/>
            <w:tcBorders>
              <w:top w:val="nil"/>
              <w:left w:val="nil"/>
              <w:right w:val="nil"/>
            </w:tcBorders>
            <w:vAlign w:val="center"/>
          </w:tcPr>
          <w:p w14:paraId="4D57D40B"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c>
          <w:tcPr>
            <w:tcW w:w="561" w:type="pct"/>
            <w:tcBorders>
              <w:top w:val="nil"/>
              <w:left w:val="nil"/>
              <w:right w:val="nil"/>
            </w:tcBorders>
            <w:vAlign w:val="center"/>
          </w:tcPr>
          <w:p w14:paraId="3D6E8B07"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1283</w:t>
            </w:r>
          </w:p>
        </w:tc>
      </w:tr>
      <w:tr w:rsidR="00D9220A" w:rsidRPr="005803D4" w14:paraId="5CC0DBB2" w14:textId="77777777" w:rsidTr="00461AE2">
        <w:trPr>
          <w:trHeight w:val="300"/>
          <w:jc w:val="center"/>
        </w:trPr>
        <w:tc>
          <w:tcPr>
            <w:tcW w:w="1634" w:type="pct"/>
            <w:tcBorders>
              <w:top w:val="nil"/>
              <w:left w:val="nil"/>
              <w:bottom w:val="single" w:sz="4" w:space="0" w:color="auto"/>
              <w:right w:val="nil"/>
            </w:tcBorders>
            <w:shd w:val="clear" w:color="auto" w:fill="auto"/>
            <w:noWrap/>
            <w:vAlign w:val="center"/>
            <w:hideMark/>
          </w:tcPr>
          <w:p w14:paraId="0E00C368" w14:textId="77777777" w:rsidR="00D9220A" w:rsidRPr="00810343" w:rsidRDefault="00D9220A" w:rsidP="00461AE2">
            <w:pPr>
              <w:spacing w:after="0" w:line="240" w:lineRule="auto"/>
              <w:rPr>
                <w:rFonts w:ascii="Garamond" w:eastAsia="Times New Roman" w:hAnsi="Garamond" w:cs="Calibri"/>
                <w:color w:val="000000"/>
              </w:rPr>
            </w:pPr>
            <w:r>
              <w:rPr>
                <w:rFonts w:ascii="Garamond" w:eastAsia="Times New Roman" w:hAnsi="Garamond" w:cs="Calibri"/>
                <w:color w:val="000000"/>
              </w:rPr>
              <w:t xml:space="preserve">Residual </w:t>
            </w:r>
            <m:oMath>
              <m:r>
                <w:rPr>
                  <w:rFonts w:ascii="Cambria Math" w:eastAsia="Times New Roman" w:hAnsi="Cambria Math" w:cs="Calibri"/>
                  <w:color w:val="000000"/>
                </w:rPr>
                <m:t>σ</m:t>
              </m:r>
            </m:oMath>
          </w:p>
        </w:tc>
        <w:tc>
          <w:tcPr>
            <w:tcW w:w="561" w:type="pct"/>
            <w:tcBorders>
              <w:top w:val="nil"/>
              <w:left w:val="nil"/>
              <w:bottom w:val="single" w:sz="4" w:space="0" w:color="auto"/>
              <w:right w:val="nil"/>
            </w:tcBorders>
            <w:shd w:val="clear" w:color="auto" w:fill="auto"/>
            <w:noWrap/>
            <w:vAlign w:val="center"/>
            <w:hideMark/>
          </w:tcPr>
          <w:p w14:paraId="4E55123F"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561" w:type="pct"/>
            <w:tcBorders>
              <w:top w:val="nil"/>
              <w:left w:val="nil"/>
              <w:bottom w:val="single" w:sz="4" w:space="0" w:color="auto"/>
            </w:tcBorders>
            <w:shd w:val="clear" w:color="auto" w:fill="auto"/>
            <w:noWrap/>
            <w:vAlign w:val="center"/>
            <w:hideMark/>
          </w:tcPr>
          <w:p w14:paraId="30A9CDD5" w14:textId="77777777" w:rsidR="00D9220A" w:rsidRPr="00810343"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561" w:type="pct"/>
            <w:tcBorders>
              <w:top w:val="nil"/>
              <w:left w:val="nil"/>
              <w:bottom w:val="single" w:sz="4" w:space="0" w:color="auto"/>
              <w:right w:val="nil"/>
            </w:tcBorders>
            <w:vAlign w:val="center"/>
          </w:tcPr>
          <w:p w14:paraId="7D4A4123"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0.77</w:t>
            </w:r>
          </w:p>
        </w:tc>
        <w:tc>
          <w:tcPr>
            <w:tcW w:w="561" w:type="pct"/>
            <w:tcBorders>
              <w:top w:val="nil"/>
              <w:left w:val="nil"/>
              <w:bottom w:val="single" w:sz="4" w:space="0" w:color="auto"/>
            </w:tcBorders>
            <w:vAlign w:val="center"/>
          </w:tcPr>
          <w:p w14:paraId="24B1D6F9"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c>
          <w:tcPr>
            <w:tcW w:w="561" w:type="pct"/>
            <w:tcBorders>
              <w:top w:val="nil"/>
              <w:left w:val="nil"/>
              <w:bottom w:val="single" w:sz="4" w:space="0" w:color="auto"/>
            </w:tcBorders>
            <w:vAlign w:val="center"/>
          </w:tcPr>
          <w:p w14:paraId="5590E0A7"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0.77</w:t>
            </w:r>
          </w:p>
        </w:tc>
        <w:tc>
          <w:tcPr>
            <w:tcW w:w="561" w:type="pct"/>
            <w:tcBorders>
              <w:top w:val="nil"/>
              <w:left w:val="nil"/>
              <w:bottom w:val="single" w:sz="4" w:space="0" w:color="auto"/>
            </w:tcBorders>
            <w:vAlign w:val="center"/>
          </w:tcPr>
          <w:p w14:paraId="32074A79" w14:textId="77777777" w:rsidR="00D9220A" w:rsidRDefault="00D9220A" w:rsidP="00461AE2">
            <w:pPr>
              <w:spacing w:after="0" w:line="240" w:lineRule="auto"/>
              <w:jc w:val="center"/>
              <w:rPr>
                <w:rFonts w:ascii="Garamond" w:eastAsia="Times New Roman" w:hAnsi="Garamond" w:cs="Calibri"/>
                <w:color w:val="000000"/>
              </w:rPr>
            </w:pPr>
            <w:r>
              <w:rPr>
                <w:rFonts w:ascii="Garamond" w:eastAsia="Times New Roman" w:hAnsi="Garamond" w:cs="Calibri"/>
                <w:color w:val="000000"/>
              </w:rPr>
              <w:t>0.76</w:t>
            </w:r>
          </w:p>
        </w:tc>
      </w:tr>
    </w:tbl>
    <w:p w14:paraId="7ECD127C" w14:textId="606A90F0" w:rsidR="00D9220A" w:rsidRDefault="00D9220A" w:rsidP="00D9220A">
      <w:pPr>
        <w:spacing w:after="0" w:line="240" w:lineRule="auto"/>
        <w:rPr>
          <w:rFonts w:ascii="Garamond" w:eastAsiaTheme="minorEastAsia" w:hAnsi="Garamond" w:cs="LMSans12-Regular"/>
          <w:sz w:val="20"/>
          <w:szCs w:val="20"/>
        </w:rPr>
      </w:pPr>
      <w:r w:rsidRPr="002109D8">
        <w:rPr>
          <w:rFonts w:ascii="Garamond" w:hAnsi="Garamond"/>
          <w:sz w:val="20"/>
          <w:szCs w:val="20"/>
        </w:rPr>
        <w:t xml:space="preserve">Note: </w:t>
      </w:r>
      <w:r>
        <w:rPr>
          <w:rFonts w:ascii="Garamond" w:hAnsi="Garamond"/>
          <w:sz w:val="20"/>
          <w:szCs w:val="20"/>
        </w:rPr>
        <w:t>Cells contain coefficient estimates and standard errors.  Asterisks indicate that the coefficients’ 95% credible intervals do not include zero</w:t>
      </w:r>
      <w:r w:rsidRPr="002109D8">
        <w:rPr>
          <w:rFonts w:ascii="Garamond" w:hAnsi="Garamond"/>
          <w:sz w:val="20"/>
          <w:szCs w:val="20"/>
        </w:rPr>
        <w:t xml:space="preserve">. Model estimates from </w:t>
      </w:r>
      <w:r>
        <w:rPr>
          <w:rFonts w:ascii="Garamond" w:hAnsi="Garamond"/>
          <w:sz w:val="20"/>
          <w:szCs w:val="20"/>
        </w:rPr>
        <w:t>multilevel linear regression with o</w:t>
      </w:r>
      <w:r>
        <w:rPr>
          <w:rFonts w:ascii="Garamond" w:hAnsi="Garamond" w:cs="LMSans12-Regular"/>
          <w:sz w:val="20"/>
          <w:szCs w:val="20"/>
        </w:rPr>
        <w:t xml:space="preserve">bservations at the respondent-senator-committee level.  All models also include control variables to account for senators’ electoral environments and institutional positions as well as respondents’ own party identification (see Table SI.1 for full results). Models estimated using the </w:t>
      </w:r>
      <w:r>
        <w:rPr>
          <w:rFonts w:ascii="Garamond" w:hAnsi="Garamond" w:cs="LMSans12-Regular"/>
          <w:b/>
          <w:bCs/>
          <w:sz w:val="20"/>
          <w:szCs w:val="20"/>
        </w:rPr>
        <w:t>brms</w:t>
      </w:r>
      <w:r>
        <w:rPr>
          <w:rFonts w:ascii="Garamond" w:hAnsi="Garamond" w:cs="LMSans12-Regular"/>
          <w:sz w:val="20"/>
          <w:szCs w:val="20"/>
        </w:rPr>
        <w:t xml:space="preserve"> package in </w:t>
      </w:r>
      <w:r>
        <w:rPr>
          <w:rFonts w:ascii="Garamond" w:hAnsi="Garamond" w:cs="LMSans12-Regular"/>
          <w:b/>
          <w:bCs/>
          <w:sz w:val="20"/>
          <w:szCs w:val="20"/>
        </w:rPr>
        <w:t>R</w:t>
      </w:r>
      <w:r>
        <w:rPr>
          <w:rFonts w:ascii="Garamond" w:hAnsi="Garamond" w:cs="LMSans12-Regular"/>
          <w:sz w:val="20"/>
          <w:szCs w:val="20"/>
        </w:rPr>
        <w:t xml:space="preserve"> with 4 chains per model with 2000 iterations per chain (1000 iterations for warm-up, 1000 iterations for sampling).  All models report no divergent transitions and </w:t>
      </w:r>
      <m:oMath>
        <m:acc>
          <m:accPr>
            <m:ctrlPr>
              <w:rPr>
                <w:rFonts w:ascii="Cambria Math" w:hAnsi="Cambria Math" w:cs="LMSans12-Regular"/>
                <w:sz w:val="20"/>
                <w:szCs w:val="20"/>
              </w:rPr>
            </m:ctrlPr>
          </m:accPr>
          <m:e>
            <m:r>
              <w:rPr>
                <w:rFonts w:ascii="Cambria Math" w:hAnsi="Cambria Math" w:cs="LMSans12-Regular"/>
                <w:sz w:val="20"/>
                <w:szCs w:val="20"/>
              </w:rPr>
              <m:t>R</m:t>
            </m:r>
          </m:e>
        </m:acc>
      </m:oMath>
      <w:r>
        <w:rPr>
          <w:rFonts w:ascii="Garamond" w:eastAsiaTheme="minorEastAsia" w:hAnsi="Garamond" w:cs="LMSans12-Regular"/>
          <w:sz w:val="20"/>
          <w:szCs w:val="20"/>
        </w:rPr>
        <w:t>&lt;1.10 for all parameters.</w:t>
      </w:r>
    </w:p>
    <w:p w14:paraId="73473986" w14:textId="77777777" w:rsidR="00D9220A" w:rsidRPr="00D9220A" w:rsidRDefault="00D9220A" w:rsidP="00D9220A">
      <w:pPr>
        <w:spacing w:after="0" w:line="240" w:lineRule="auto"/>
        <w:rPr>
          <w:rFonts w:ascii="Garamond" w:eastAsiaTheme="minorEastAsia" w:hAnsi="Garamond" w:cs="LMSans12-Regular"/>
          <w:sz w:val="20"/>
          <w:szCs w:val="20"/>
        </w:rPr>
      </w:pPr>
    </w:p>
    <w:p w14:paraId="1BF4D413" w14:textId="4BB9E5E3" w:rsidR="00943CA4" w:rsidRPr="00480E11" w:rsidRDefault="00683D77" w:rsidP="00480E11">
      <w:pPr>
        <w:spacing w:after="0" w:line="480" w:lineRule="auto"/>
        <w:rPr>
          <w:rFonts w:ascii="Garamond" w:hAnsi="Garamond" w:cs="LMSans12-Regular"/>
          <w:sz w:val="24"/>
          <w:szCs w:val="24"/>
        </w:rPr>
      </w:pPr>
      <w:r>
        <w:rPr>
          <w:rFonts w:ascii="Garamond" w:hAnsi="Garamond" w:cs="LMSans12-Regular"/>
          <w:sz w:val="24"/>
          <w:szCs w:val="24"/>
        </w:rPr>
        <w:t>relative to the average Democrat</w:t>
      </w:r>
      <w:r w:rsidR="00CF1254">
        <w:rPr>
          <w:rFonts w:ascii="Garamond" w:hAnsi="Garamond" w:cs="LMSans12-Regular"/>
          <w:sz w:val="24"/>
          <w:szCs w:val="24"/>
        </w:rPr>
        <w:t xml:space="preserve"> (H1)</w:t>
      </w:r>
      <w:r w:rsidR="00613A8E">
        <w:rPr>
          <w:rFonts w:ascii="Garamond" w:hAnsi="Garamond" w:cs="LMSans12-Regular"/>
          <w:sz w:val="24"/>
          <w:szCs w:val="24"/>
        </w:rPr>
        <w:t>.</w:t>
      </w:r>
      <w:r>
        <w:rPr>
          <w:rFonts w:ascii="Garamond" w:hAnsi="Garamond" w:cs="LMSans12-Regular"/>
          <w:sz w:val="24"/>
          <w:szCs w:val="24"/>
        </w:rPr>
        <w:t xml:space="preserve"> Second, when we interact senators’ </w:t>
      </w:r>
      <w:r w:rsidR="00943CA4">
        <w:rPr>
          <w:rFonts w:ascii="Garamond" w:hAnsi="Garamond" w:cs="LMSans12-Regular"/>
          <w:sz w:val="24"/>
          <w:szCs w:val="24"/>
        </w:rPr>
        <w:t>partisanship</w:t>
      </w:r>
      <w:r>
        <w:rPr>
          <w:rFonts w:ascii="Garamond" w:hAnsi="Garamond" w:cs="LMSans12-Regular"/>
          <w:sz w:val="24"/>
          <w:szCs w:val="24"/>
        </w:rPr>
        <w:t xml:space="preserve"> with agency ideology in Model 2, this difference in </w:t>
      </w:r>
      <w:r w:rsidR="00617376">
        <w:rPr>
          <w:rFonts w:ascii="Garamond" w:hAnsi="Garamond" w:cs="LMSans12-Regular"/>
          <w:sz w:val="24"/>
          <w:szCs w:val="24"/>
        </w:rPr>
        <w:t>oversight effort</w:t>
      </w:r>
      <w:r>
        <w:rPr>
          <w:rFonts w:ascii="Garamond" w:hAnsi="Garamond" w:cs="LMSans12-Regular"/>
          <w:sz w:val="24"/>
          <w:szCs w:val="24"/>
        </w:rPr>
        <w:t xml:space="preserve"> between Democrats and Republicans diminishes as agencies grow more conservative</w:t>
      </w:r>
      <w:r w:rsidR="00CF1254">
        <w:rPr>
          <w:rFonts w:ascii="Garamond" w:hAnsi="Garamond" w:cs="LMSans12-Regular"/>
          <w:sz w:val="24"/>
          <w:szCs w:val="24"/>
        </w:rPr>
        <w:t xml:space="preserve"> (H2)</w:t>
      </w:r>
      <w:r>
        <w:rPr>
          <w:rFonts w:ascii="Garamond" w:hAnsi="Garamond" w:cs="LMSans12-Regular"/>
          <w:sz w:val="24"/>
          <w:szCs w:val="24"/>
        </w:rPr>
        <w:t xml:space="preserve">. As we show in Figure </w:t>
      </w:r>
      <w:r w:rsidR="00C702D8">
        <w:rPr>
          <w:rFonts w:ascii="Garamond" w:hAnsi="Garamond" w:cs="LMSans12-Regular"/>
          <w:sz w:val="24"/>
          <w:szCs w:val="24"/>
        </w:rPr>
        <w:t>2</w:t>
      </w:r>
      <w:r>
        <w:rPr>
          <w:rFonts w:ascii="Garamond" w:hAnsi="Garamond" w:cs="LMSans12-Regular"/>
          <w:sz w:val="24"/>
          <w:szCs w:val="24"/>
        </w:rPr>
        <w:t xml:space="preserve">, </w:t>
      </w:r>
      <w:r w:rsidR="00943CA4">
        <w:rPr>
          <w:rFonts w:ascii="Garamond" w:hAnsi="Garamond" w:cs="LMSans12-Regular"/>
          <w:sz w:val="24"/>
          <w:szCs w:val="24"/>
        </w:rPr>
        <w:t>while</w:t>
      </w:r>
      <w:r>
        <w:rPr>
          <w:rFonts w:ascii="Garamond" w:hAnsi="Garamond" w:cs="LMSans12-Regular"/>
          <w:sz w:val="24"/>
          <w:szCs w:val="24"/>
        </w:rPr>
        <w:t xml:space="preserve"> Democrats </w:t>
      </w:r>
      <w:r w:rsidR="00943CA4">
        <w:rPr>
          <w:rFonts w:ascii="Garamond" w:hAnsi="Garamond" w:cs="LMSans12-Regular"/>
          <w:sz w:val="24"/>
          <w:szCs w:val="24"/>
        </w:rPr>
        <w:t>exert</w:t>
      </w:r>
      <w:r>
        <w:rPr>
          <w:rFonts w:ascii="Garamond" w:hAnsi="Garamond" w:cs="LMSans12-Regular"/>
          <w:sz w:val="24"/>
          <w:szCs w:val="24"/>
        </w:rPr>
        <w:t xml:space="preserve"> </w:t>
      </w:r>
      <w:r w:rsidR="00400556">
        <w:rPr>
          <w:rFonts w:ascii="Garamond" w:hAnsi="Garamond" w:cs="LMSans12-Regular"/>
          <w:sz w:val="24"/>
          <w:szCs w:val="24"/>
        </w:rPr>
        <w:t>stable</w:t>
      </w:r>
      <w:r>
        <w:rPr>
          <w:rFonts w:ascii="Garamond" w:hAnsi="Garamond" w:cs="LMSans12-Regular"/>
          <w:sz w:val="24"/>
          <w:szCs w:val="24"/>
        </w:rPr>
        <w:t xml:space="preserve"> levels of </w:t>
      </w:r>
      <w:r w:rsidR="00943CA4">
        <w:rPr>
          <w:rFonts w:ascii="Garamond" w:hAnsi="Garamond" w:cs="LMSans12-Regular"/>
          <w:sz w:val="24"/>
          <w:szCs w:val="24"/>
        </w:rPr>
        <w:t>effort</w:t>
      </w:r>
      <w:r>
        <w:rPr>
          <w:rFonts w:ascii="Garamond" w:hAnsi="Garamond" w:cs="LMSans12-Regular"/>
          <w:sz w:val="24"/>
          <w:szCs w:val="24"/>
        </w:rPr>
        <w:t xml:space="preserve"> across agencies of all ideological stripes, Republicans offer </w:t>
      </w:r>
      <w:r w:rsidR="00943CA4">
        <w:rPr>
          <w:rFonts w:ascii="Garamond" w:hAnsi="Garamond" w:cs="LMSans12-Regular"/>
          <w:sz w:val="24"/>
          <w:szCs w:val="24"/>
        </w:rPr>
        <w:t>much</w:t>
      </w:r>
      <w:r>
        <w:rPr>
          <w:rFonts w:ascii="Garamond" w:hAnsi="Garamond" w:cs="LMSans12-Regular"/>
          <w:sz w:val="24"/>
          <w:szCs w:val="24"/>
        </w:rPr>
        <w:t xml:space="preserve"> lower levels of supportive oversight for liberal and moderate agencies</w:t>
      </w:r>
      <w:r w:rsidR="002120D0">
        <w:rPr>
          <w:rFonts w:ascii="Garamond" w:hAnsi="Garamond" w:cs="LMSans12-Regular"/>
          <w:sz w:val="24"/>
          <w:szCs w:val="24"/>
        </w:rPr>
        <w:t xml:space="preserve">, only </w:t>
      </w:r>
      <w:r>
        <w:rPr>
          <w:rFonts w:ascii="Garamond" w:hAnsi="Garamond" w:cs="LMSans12-Regular"/>
          <w:sz w:val="24"/>
          <w:szCs w:val="24"/>
        </w:rPr>
        <w:t>match</w:t>
      </w:r>
      <w:r w:rsidR="00617376">
        <w:rPr>
          <w:rFonts w:ascii="Garamond" w:hAnsi="Garamond" w:cs="LMSans12-Regular"/>
          <w:sz w:val="24"/>
          <w:szCs w:val="24"/>
        </w:rPr>
        <w:t>ing</w:t>
      </w:r>
      <w:r>
        <w:rPr>
          <w:rFonts w:ascii="Garamond" w:hAnsi="Garamond" w:cs="LMSans12-Regular"/>
          <w:sz w:val="24"/>
          <w:szCs w:val="24"/>
        </w:rPr>
        <w:t xml:space="preserve"> Democrats’ levels of oversight for </w:t>
      </w:r>
      <w:r w:rsidR="00E207B2">
        <w:rPr>
          <w:rFonts w:ascii="Garamond" w:hAnsi="Garamond" w:cs="LMSans12-Regular"/>
          <w:sz w:val="24"/>
          <w:szCs w:val="24"/>
        </w:rPr>
        <w:t xml:space="preserve">more </w:t>
      </w:r>
      <w:r>
        <w:rPr>
          <w:rFonts w:ascii="Garamond" w:hAnsi="Garamond" w:cs="LMSans12-Regular"/>
          <w:sz w:val="24"/>
          <w:szCs w:val="24"/>
        </w:rPr>
        <w:t xml:space="preserve">conservative agencies. </w:t>
      </w:r>
      <w:r w:rsidR="00471447">
        <w:rPr>
          <w:rFonts w:ascii="Garamond" w:hAnsi="Garamond" w:cs="LMSans12-Regular"/>
          <w:sz w:val="24"/>
          <w:szCs w:val="24"/>
        </w:rPr>
        <w:t xml:space="preserve">These effects identified in Models 1 and 2 persist when we include agency grant activity for </w:t>
      </w:r>
      <w:r w:rsidR="00D9220A">
        <w:rPr>
          <w:rFonts w:ascii="Garamond" w:hAnsi="Garamond" w:cs="LMSans12-Regular"/>
          <w:sz w:val="24"/>
          <w:szCs w:val="24"/>
        </w:rPr>
        <w:t>agencies whose activity is reported in Models 3 and 4, respectively.</w:t>
      </w:r>
    </w:p>
    <w:p w14:paraId="16623496" w14:textId="4E9DEF5E" w:rsidR="00471447" w:rsidRDefault="00471447" w:rsidP="00471447">
      <w:pPr>
        <w:spacing w:after="0" w:line="240" w:lineRule="auto"/>
        <w:jc w:val="center"/>
        <w:rPr>
          <w:rFonts w:ascii="Garamond" w:hAnsi="Garamond" w:cs="Times New Roman"/>
          <w:b/>
          <w:sz w:val="24"/>
          <w:szCs w:val="24"/>
        </w:rPr>
      </w:pPr>
      <w:r>
        <w:rPr>
          <w:rFonts w:ascii="Garamond" w:hAnsi="Garamond" w:cs="Times New Roman"/>
          <w:b/>
          <w:sz w:val="24"/>
          <w:szCs w:val="24"/>
        </w:rPr>
        <w:lastRenderedPageBreak/>
        <w:t>Figure 2: Effect of Senator Party Affiliation and Agency Ideology on Supportive Oversight</w:t>
      </w:r>
    </w:p>
    <w:p w14:paraId="5088266C" w14:textId="77777777" w:rsidR="00471447" w:rsidRDefault="00471447" w:rsidP="00471447">
      <w:pPr>
        <w:spacing w:after="0" w:line="240" w:lineRule="auto"/>
        <w:jc w:val="center"/>
        <w:rPr>
          <w:rFonts w:ascii="Garamond" w:hAnsi="Garamond" w:cs="Times New Roman"/>
          <w:b/>
          <w:sz w:val="24"/>
          <w:szCs w:val="24"/>
        </w:rPr>
      </w:pPr>
      <w:r>
        <w:rPr>
          <w:rFonts w:ascii="Garamond" w:hAnsi="Garamond" w:cs="Times New Roman"/>
          <w:b/>
          <w:noProof/>
          <w:sz w:val="24"/>
          <w:szCs w:val="24"/>
        </w:rPr>
        <w:drawing>
          <wp:inline distT="0" distB="0" distL="0" distR="0" wp14:anchorId="5F0DACBE" wp14:editId="21483179">
            <wp:extent cx="5019675" cy="295552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074" b="3536"/>
                    <a:stretch/>
                  </pic:blipFill>
                  <pic:spPr bwMode="auto">
                    <a:xfrm>
                      <a:off x="0" y="0"/>
                      <a:ext cx="5080435" cy="2991304"/>
                    </a:xfrm>
                    <a:prstGeom prst="rect">
                      <a:avLst/>
                    </a:prstGeom>
                    <a:noFill/>
                    <a:ln>
                      <a:noFill/>
                    </a:ln>
                    <a:extLst>
                      <a:ext uri="{53640926-AAD7-44D8-BBD7-CCE9431645EC}">
                        <a14:shadowObscured xmlns:a14="http://schemas.microsoft.com/office/drawing/2010/main"/>
                      </a:ext>
                    </a:extLst>
                  </pic:spPr>
                </pic:pic>
              </a:graphicData>
            </a:graphic>
          </wp:inline>
        </w:drawing>
      </w:r>
    </w:p>
    <w:p w14:paraId="0B996271" w14:textId="3C24110F" w:rsidR="00471447" w:rsidRDefault="00471447" w:rsidP="00471447">
      <w:pPr>
        <w:spacing w:after="0" w:line="240" w:lineRule="auto"/>
        <w:jc w:val="both"/>
        <w:rPr>
          <w:rFonts w:ascii="Garamond" w:hAnsi="Garamond" w:cs="Times New Roman"/>
          <w:sz w:val="20"/>
          <w:szCs w:val="20"/>
        </w:rPr>
      </w:pPr>
      <w:r>
        <w:rPr>
          <w:rFonts w:ascii="Garamond" w:hAnsi="Garamond" w:cs="Times New Roman"/>
          <w:sz w:val="20"/>
          <w:szCs w:val="20"/>
        </w:rPr>
        <w:t xml:space="preserve">This figure uses Model 2 in Table 1 to present the marginal effect of agency ideology on respondents’ perceptions of senators’ provision of supportive oversight of their agencies given senators’ affiliation with the Democratic (solid lines) or Republican (dotted lines) Party.  Thick lines represent fitted values, and thin lines represent 95% credible intervals.  Ticks at the bottom of the figure represent the distribution of agency ideology.  In calculating marginal effects, all other covariates were held to their mean or median values, where appropriate.  The difference between perceived supportive oversight provided by Democratic and Republican senators is statistically distinguishable at the 95% level (i.e., the credible interval for the difference does not include zero) for all values of agency ideology less than or equal to 0.60.  </w:t>
      </w:r>
    </w:p>
    <w:p w14:paraId="4EAF33A1" w14:textId="77777777" w:rsidR="00471447" w:rsidRPr="00471447" w:rsidRDefault="00471447" w:rsidP="00471447">
      <w:pPr>
        <w:spacing w:after="0" w:line="240" w:lineRule="auto"/>
        <w:jc w:val="both"/>
        <w:rPr>
          <w:rFonts w:ascii="Garamond" w:hAnsi="Garamond" w:cs="Times New Roman"/>
          <w:sz w:val="20"/>
          <w:szCs w:val="20"/>
        </w:rPr>
      </w:pPr>
    </w:p>
    <w:p w14:paraId="1AF6ABB9" w14:textId="77777777" w:rsidR="00480E11" w:rsidRPr="00480E11" w:rsidRDefault="00480E11" w:rsidP="00480E11">
      <w:pPr>
        <w:spacing w:after="0" w:line="480" w:lineRule="auto"/>
        <w:ind w:firstLine="720"/>
        <w:rPr>
          <w:rFonts w:ascii="Garamond" w:hAnsi="Garamond" w:cs="LMSans12-Regular"/>
          <w:b/>
          <w:sz w:val="24"/>
          <w:szCs w:val="24"/>
        </w:rPr>
      </w:pPr>
      <w:r w:rsidRPr="00480E11">
        <w:rPr>
          <w:rFonts w:ascii="Garamond" w:hAnsi="Garamond" w:cs="LMSans12-Regular"/>
          <w:sz w:val="24"/>
          <w:szCs w:val="24"/>
        </w:rPr>
        <w:t>However, our estimates do not support the expectation that agency grant activity moderates</w:t>
      </w:r>
    </w:p>
    <w:p w14:paraId="6F7C5F08" w14:textId="173D1567" w:rsidR="00EB18D2" w:rsidRDefault="00EB18D2" w:rsidP="00943CA4">
      <w:pPr>
        <w:spacing w:after="0" w:line="480" w:lineRule="auto"/>
        <w:rPr>
          <w:rFonts w:ascii="Garamond" w:hAnsi="Garamond" w:cs="LMSans12-Regular"/>
          <w:sz w:val="24"/>
          <w:szCs w:val="24"/>
        </w:rPr>
      </w:pPr>
      <w:r>
        <w:rPr>
          <w:rFonts w:ascii="Garamond" w:hAnsi="Garamond" w:cs="LMSans12-Regular"/>
          <w:sz w:val="24"/>
          <w:szCs w:val="24"/>
        </w:rPr>
        <w:t>the relationship between senator</w:t>
      </w:r>
      <w:r w:rsidR="003B3ECF">
        <w:rPr>
          <w:rFonts w:ascii="Garamond" w:hAnsi="Garamond" w:cs="LMSans12-Regular"/>
          <w:sz w:val="24"/>
          <w:szCs w:val="24"/>
        </w:rPr>
        <w:t>s’</w:t>
      </w:r>
      <w:r>
        <w:rPr>
          <w:rFonts w:ascii="Garamond" w:hAnsi="Garamond" w:cs="LMSans12-Regular"/>
          <w:sz w:val="24"/>
          <w:szCs w:val="24"/>
        </w:rPr>
        <w:t xml:space="preserve"> partisanship and </w:t>
      </w:r>
      <w:r w:rsidR="00617376">
        <w:rPr>
          <w:rFonts w:ascii="Garamond" w:hAnsi="Garamond" w:cs="LMSans12-Regular"/>
          <w:sz w:val="24"/>
          <w:szCs w:val="24"/>
        </w:rPr>
        <w:t>oversight effort</w:t>
      </w:r>
      <w:r>
        <w:rPr>
          <w:rFonts w:ascii="Garamond" w:hAnsi="Garamond" w:cs="LMSans12-Regular"/>
          <w:sz w:val="24"/>
          <w:szCs w:val="24"/>
        </w:rPr>
        <w:t xml:space="preserve">. To the contrary, when we interact senators’ party affiliation with </w:t>
      </w:r>
      <w:r w:rsidR="003B3ECF">
        <w:rPr>
          <w:rFonts w:ascii="Garamond" w:hAnsi="Garamond" w:cs="LMSans12-Regular"/>
          <w:sz w:val="24"/>
          <w:szCs w:val="24"/>
        </w:rPr>
        <w:t>agency project grants</w:t>
      </w:r>
      <w:r>
        <w:rPr>
          <w:rFonts w:ascii="Garamond" w:hAnsi="Garamond" w:cs="LMSans12-Regular"/>
          <w:sz w:val="24"/>
          <w:szCs w:val="24"/>
        </w:rPr>
        <w:t xml:space="preserve"> and omit the interaction between senators’ part</w:t>
      </w:r>
      <w:r w:rsidR="00617376">
        <w:rPr>
          <w:rFonts w:ascii="Garamond" w:hAnsi="Garamond" w:cs="LMSans12-Regular"/>
          <w:sz w:val="24"/>
          <w:szCs w:val="24"/>
        </w:rPr>
        <w:t>isanship</w:t>
      </w:r>
      <w:r>
        <w:rPr>
          <w:rFonts w:ascii="Garamond" w:hAnsi="Garamond" w:cs="LMSans12-Regular"/>
          <w:sz w:val="24"/>
          <w:szCs w:val="24"/>
        </w:rPr>
        <w:t xml:space="preserve"> and agency ideology in Model 5, the interaction term</w:t>
      </w:r>
      <w:r w:rsidR="00617376">
        <w:rPr>
          <w:rFonts w:ascii="Garamond" w:hAnsi="Garamond" w:cs="LMSans12-Regular"/>
          <w:sz w:val="24"/>
          <w:szCs w:val="24"/>
        </w:rPr>
        <w:t xml:space="preserve"> coefficient</w:t>
      </w:r>
      <w:r>
        <w:rPr>
          <w:rFonts w:ascii="Garamond" w:hAnsi="Garamond" w:cs="LMSans12-Regular"/>
          <w:sz w:val="24"/>
          <w:szCs w:val="24"/>
        </w:rPr>
        <w:t xml:space="preserve"> is negative, though not statistically distinguishable, implying Republican senators </w:t>
      </w:r>
      <w:r w:rsidR="00617376">
        <w:rPr>
          <w:rFonts w:ascii="Garamond" w:hAnsi="Garamond" w:cs="LMSans12-Regular"/>
          <w:sz w:val="24"/>
          <w:szCs w:val="24"/>
        </w:rPr>
        <w:t>exert less oversight effort</w:t>
      </w:r>
      <w:r>
        <w:rPr>
          <w:rFonts w:ascii="Garamond" w:hAnsi="Garamond" w:cs="LMSans12-Regular"/>
          <w:sz w:val="24"/>
          <w:szCs w:val="24"/>
        </w:rPr>
        <w:t xml:space="preserve"> </w:t>
      </w:r>
      <w:r w:rsidR="00617376">
        <w:rPr>
          <w:rFonts w:ascii="Garamond" w:hAnsi="Garamond" w:cs="LMSans12-Regular"/>
          <w:sz w:val="24"/>
          <w:szCs w:val="24"/>
        </w:rPr>
        <w:t>on</w:t>
      </w:r>
      <w:r>
        <w:rPr>
          <w:rFonts w:ascii="Garamond" w:hAnsi="Garamond" w:cs="LMSans12-Regular"/>
          <w:sz w:val="24"/>
          <w:szCs w:val="24"/>
        </w:rPr>
        <w:t xml:space="preserve"> agencies who offer more distributive goods. When the interaction between senators’ party affiliation and agency ideology in added in Model 6, the coefficient on the interaction term for senators’ par</w:t>
      </w:r>
      <w:r w:rsidR="003B3ECF">
        <w:rPr>
          <w:rFonts w:ascii="Garamond" w:hAnsi="Garamond" w:cs="LMSans12-Regular"/>
          <w:sz w:val="24"/>
          <w:szCs w:val="24"/>
        </w:rPr>
        <w:t xml:space="preserve">tisanship </w:t>
      </w:r>
      <w:r>
        <w:rPr>
          <w:rFonts w:ascii="Garamond" w:hAnsi="Garamond" w:cs="LMSans12-Regular"/>
          <w:sz w:val="24"/>
          <w:szCs w:val="24"/>
        </w:rPr>
        <w:t xml:space="preserve">and project grants tends closer to zero and remains statistically </w:t>
      </w:r>
      <w:r w:rsidR="003B3ECF">
        <w:rPr>
          <w:rFonts w:ascii="Garamond" w:hAnsi="Garamond" w:cs="LMSans12-Regular"/>
          <w:sz w:val="24"/>
          <w:szCs w:val="24"/>
        </w:rPr>
        <w:t>indistinguishable</w:t>
      </w:r>
      <w:r>
        <w:rPr>
          <w:rFonts w:ascii="Garamond" w:hAnsi="Garamond" w:cs="LMSans12-Regular"/>
          <w:sz w:val="24"/>
          <w:szCs w:val="24"/>
        </w:rPr>
        <w:t xml:space="preserve">. Thus, while Republican senators’ lower baseline levels of supportive oversight </w:t>
      </w:r>
      <w:r w:rsidR="003B3ECF">
        <w:rPr>
          <w:rFonts w:ascii="Garamond" w:hAnsi="Garamond" w:cs="LMSans12-Regular"/>
          <w:sz w:val="24"/>
          <w:szCs w:val="24"/>
        </w:rPr>
        <w:t>increase</w:t>
      </w:r>
      <w:r>
        <w:rPr>
          <w:rFonts w:ascii="Garamond" w:hAnsi="Garamond" w:cs="LMSans12-Regular"/>
          <w:sz w:val="24"/>
          <w:szCs w:val="24"/>
        </w:rPr>
        <w:t xml:space="preserve"> when they interact with more conservative agencies, agencies’ more pronounced distributive offerings do not lead Republican senators to commit more effort to making sure those agencies are well-run.</w:t>
      </w:r>
    </w:p>
    <w:p w14:paraId="21B5AA0B" w14:textId="49AE3C03" w:rsidR="00C87719" w:rsidRDefault="00DE5E73" w:rsidP="00EB18D2">
      <w:pPr>
        <w:spacing w:after="0" w:line="480" w:lineRule="auto"/>
        <w:ind w:firstLine="720"/>
        <w:rPr>
          <w:rFonts w:ascii="Garamond" w:hAnsi="Garamond" w:cs="LMSans12-Regular"/>
          <w:sz w:val="24"/>
          <w:szCs w:val="24"/>
        </w:rPr>
      </w:pPr>
      <w:r>
        <w:rPr>
          <w:rFonts w:ascii="Garamond" w:hAnsi="Garamond" w:cs="LMSans12-Regular"/>
          <w:sz w:val="24"/>
          <w:szCs w:val="24"/>
        </w:rPr>
        <w:lastRenderedPageBreak/>
        <w:t>Finally</w:t>
      </w:r>
      <w:r w:rsidR="00C87719">
        <w:rPr>
          <w:rFonts w:ascii="Garamond" w:hAnsi="Garamond" w:cs="LMSans12-Regular"/>
          <w:sz w:val="24"/>
          <w:szCs w:val="24"/>
        </w:rPr>
        <w:t xml:space="preserve">, we also find that the partisanship of our federal executive respondents </w:t>
      </w:r>
      <w:r>
        <w:rPr>
          <w:rFonts w:ascii="Garamond" w:hAnsi="Garamond" w:cs="LMSans12-Regular"/>
          <w:sz w:val="24"/>
          <w:szCs w:val="24"/>
        </w:rPr>
        <w:t>informs</w:t>
      </w:r>
      <w:r w:rsidR="00C87719">
        <w:rPr>
          <w:rFonts w:ascii="Garamond" w:hAnsi="Garamond" w:cs="LMSans12-Regular"/>
          <w:sz w:val="24"/>
          <w:szCs w:val="24"/>
        </w:rPr>
        <w:t xml:space="preserve"> their perceptions of </w:t>
      </w:r>
      <w:r w:rsidR="00CF3E77">
        <w:rPr>
          <w:rFonts w:ascii="Garamond" w:hAnsi="Garamond" w:cs="LMSans12-Regular"/>
          <w:sz w:val="24"/>
          <w:szCs w:val="24"/>
        </w:rPr>
        <w:t xml:space="preserve">senators’ oversight effort.  Specifically, while respondents of all partisan persuasions evaluate the effort put forth by Democratic senators similarly, Republican respondents indicate that Republican senators allocate more effort to oversight than do Democratic and Independent respondents (see Table SI.1).  </w:t>
      </w:r>
      <w:r w:rsidR="00CF3E77" w:rsidRPr="00CF3E77">
        <w:rPr>
          <w:rFonts w:ascii="Garamond" w:hAnsi="Garamond" w:cs="LMSans12-Regular"/>
          <w:sz w:val="24"/>
          <w:szCs w:val="24"/>
        </w:rPr>
        <w:t>It is unclear</w:t>
      </w:r>
      <w:r w:rsidR="00CF3E77">
        <w:rPr>
          <w:rFonts w:ascii="Garamond" w:hAnsi="Garamond" w:cs="LMSans12-Regular"/>
          <w:sz w:val="24"/>
          <w:szCs w:val="24"/>
        </w:rPr>
        <w:t xml:space="preserve"> </w:t>
      </w:r>
      <w:r w:rsidR="00CF3E77" w:rsidRPr="00CF3E77">
        <w:rPr>
          <w:rFonts w:ascii="Garamond" w:hAnsi="Garamond" w:cs="LMSans12-Regular"/>
          <w:sz w:val="24"/>
          <w:szCs w:val="24"/>
        </w:rPr>
        <w:t xml:space="preserve">whether Republican </w:t>
      </w:r>
      <w:r w:rsidR="00CF3E77">
        <w:rPr>
          <w:rFonts w:ascii="Garamond" w:hAnsi="Garamond" w:cs="LMSans12-Regular"/>
          <w:sz w:val="24"/>
          <w:szCs w:val="24"/>
        </w:rPr>
        <w:t>respondents</w:t>
      </w:r>
      <w:r w:rsidR="00CF3E77" w:rsidRPr="00CF3E77">
        <w:rPr>
          <w:rFonts w:ascii="Garamond" w:hAnsi="Garamond" w:cs="LMSans12-Regular"/>
          <w:sz w:val="24"/>
          <w:szCs w:val="24"/>
        </w:rPr>
        <w:t xml:space="preserve"> report more Republican effort because they are better able to observe Republican senators’ effort or because they interpret constructive oversight differently</w:t>
      </w:r>
      <w:r w:rsidR="00CF3E77">
        <w:rPr>
          <w:rFonts w:ascii="Garamond" w:hAnsi="Garamond" w:cs="LMSans12-Regular"/>
          <w:sz w:val="24"/>
          <w:szCs w:val="24"/>
        </w:rPr>
        <w:t xml:space="preserve">, and we encourage future studies to </w:t>
      </w:r>
      <w:r>
        <w:rPr>
          <w:rFonts w:ascii="Garamond" w:hAnsi="Garamond" w:cs="LMSans12-Regular"/>
          <w:sz w:val="24"/>
          <w:szCs w:val="24"/>
        </w:rPr>
        <w:t>consider these mechanisms.</w:t>
      </w:r>
    </w:p>
    <w:p w14:paraId="7B107A9F" w14:textId="63AB7E09" w:rsidR="00004AE0" w:rsidRPr="00240F47" w:rsidRDefault="00004AE0" w:rsidP="00D1181F">
      <w:pPr>
        <w:autoSpaceDE w:val="0"/>
        <w:autoSpaceDN w:val="0"/>
        <w:adjustRightInd w:val="0"/>
        <w:spacing w:after="0" w:line="480" w:lineRule="auto"/>
        <w:rPr>
          <w:rFonts w:ascii="Garamond" w:hAnsi="Garamond" w:cs="LMSans12-Regular"/>
          <w:b/>
          <w:bCs/>
          <w:sz w:val="24"/>
          <w:szCs w:val="24"/>
        </w:rPr>
      </w:pPr>
      <w:r>
        <w:rPr>
          <w:rFonts w:ascii="Garamond" w:hAnsi="Garamond" w:cs="LMSans12-Regular"/>
          <w:b/>
          <w:bCs/>
          <w:sz w:val="24"/>
          <w:szCs w:val="24"/>
        </w:rPr>
        <w:t xml:space="preserve">Discussion and </w:t>
      </w:r>
      <w:r w:rsidRPr="00240F47">
        <w:rPr>
          <w:rFonts w:ascii="Garamond" w:hAnsi="Garamond" w:cs="LMSans12-Regular"/>
          <w:b/>
          <w:bCs/>
          <w:sz w:val="24"/>
          <w:szCs w:val="24"/>
        </w:rPr>
        <w:t>Conclusion</w:t>
      </w:r>
    </w:p>
    <w:p w14:paraId="3BFDC7E6" w14:textId="7080D8AC" w:rsidR="00004AE0" w:rsidRDefault="00004AE0" w:rsidP="00437E02">
      <w:pPr>
        <w:autoSpaceDE w:val="0"/>
        <w:autoSpaceDN w:val="0"/>
        <w:adjustRightInd w:val="0"/>
        <w:spacing w:after="0" w:line="480" w:lineRule="auto"/>
        <w:ind w:firstLine="720"/>
        <w:rPr>
          <w:rFonts w:ascii="Garamond" w:hAnsi="Garamond" w:cs="LMSans12-Regular"/>
          <w:sz w:val="24"/>
          <w:szCs w:val="24"/>
        </w:rPr>
      </w:pPr>
      <w:r w:rsidRPr="00240F47">
        <w:rPr>
          <w:rFonts w:ascii="Garamond" w:hAnsi="Garamond" w:cs="LMSans12-Regular"/>
          <w:sz w:val="24"/>
          <w:szCs w:val="24"/>
        </w:rPr>
        <w:t xml:space="preserve">In 2020, </w:t>
      </w:r>
      <w:r w:rsidR="007412EA">
        <w:rPr>
          <w:rFonts w:ascii="Garamond" w:hAnsi="Garamond" w:cs="LMSans12-Regular"/>
          <w:sz w:val="24"/>
          <w:szCs w:val="24"/>
        </w:rPr>
        <w:t>Republican Bill Hagerty replaced Lamar</w:t>
      </w:r>
      <w:r w:rsidRPr="00240F47">
        <w:rPr>
          <w:rFonts w:ascii="Garamond" w:hAnsi="Garamond" w:cs="LMSans12-Regular"/>
          <w:sz w:val="24"/>
          <w:szCs w:val="24"/>
        </w:rPr>
        <w:t xml:space="preserve"> Alexander. While </w:t>
      </w:r>
      <w:r>
        <w:rPr>
          <w:rFonts w:ascii="Garamond" w:hAnsi="Garamond" w:cs="LMSans12-Regular"/>
          <w:sz w:val="24"/>
          <w:szCs w:val="24"/>
        </w:rPr>
        <w:t>it is</w:t>
      </w:r>
      <w:r w:rsidRPr="00240F47">
        <w:rPr>
          <w:rFonts w:ascii="Garamond" w:hAnsi="Garamond" w:cs="LMSans12-Regular"/>
          <w:sz w:val="24"/>
          <w:szCs w:val="24"/>
        </w:rPr>
        <w:t xml:space="preserve"> difficult to predict what kind of senator Hagerty will be, </w:t>
      </w:r>
      <w:r w:rsidR="00293CAE">
        <w:rPr>
          <w:rFonts w:ascii="Garamond" w:hAnsi="Garamond" w:cs="LMSans12-Regular"/>
          <w:sz w:val="24"/>
          <w:szCs w:val="24"/>
        </w:rPr>
        <w:t>this research</w:t>
      </w:r>
      <w:r w:rsidRPr="00240F47">
        <w:rPr>
          <w:rFonts w:ascii="Garamond" w:hAnsi="Garamond" w:cs="LMSans12-Regular"/>
          <w:sz w:val="24"/>
          <w:szCs w:val="24"/>
        </w:rPr>
        <w:t xml:space="preserve"> lead</w:t>
      </w:r>
      <w:r w:rsidR="00293CAE">
        <w:rPr>
          <w:rFonts w:ascii="Garamond" w:hAnsi="Garamond" w:cs="LMSans12-Regular"/>
          <w:sz w:val="24"/>
          <w:szCs w:val="24"/>
        </w:rPr>
        <w:t>s</w:t>
      </w:r>
      <w:r w:rsidRPr="00240F47">
        <w:rPr>
          <w:rFonts w:ascii="Garamond" w:hAnsi="Garamond" w:cs="LMSans12-Regular"/>
          <w:sz w:val="24"/>
          <w:szCs w:val="24"/>
        </w:rPr>
        <w:t xml:space="preserve"> to</w:t>
      </w:r>
      <w:r w:rsidR="00FF7555">
        <w:rPr>
          <w:rFonts w:ascii="Garamond" w:hAnsi="Garamond" w:cs="LMSans12-Regular"/>
          <w:sz w:val="24"/>
          <w:szCs w:val="24"/>
        </w:rPr>
        <w:t xml:space="preserve"> a few</w:t>
      </w:r>
      <w:r w:rsidRPr="00240F47">
        <w:rPr>
          <w:rFonts w:ascii="Garamond" w:hAnsi="Garamond" w:cs="LMSans12-Regular"/>
          <w:sz w:val="24"/>
          <w:szCs w:val="24"/>
        </w:rPr>
        <w:t xml:space="preserve"> predictions. </w:t>
      </w:r>
      <w:r w:rsidR="003F0391">
        <w:rPr>
          <w:rFonts w:ascii="Garamond" w:hAnsi="Garamond" w:cs="LMSans12-Regular"/>
          <w:sz w:val="24"/>
          <w:szCs w:val="24"/>
        </w:rPr>
        <w:t xml:space="preserve">First, </w:t>
      </w:r>
      <w:r w:rsidR="00E207B2">
        <w:rPr>
          <w:rFonts w:ascii="Garamond" w:hAnsi="Garamond" w:cs="LMSans12-Regular"/>
          <w:sz w:val="24"/>
          <w:szCs w:val="24"/>
        </w:rPr>
        <w:t>it would be surprising if Hagerty spent significant time on agency oversight. F</w:t>
      </w:r>
      <w:r w:rsidR="003F0391">
        <w:rPr>
          <w:rFonts w:ascii="Garamond" w:hAnsi="Garamond" w:cs="LMSans12-Regular"/>
          <w:sz w:val="24"/>
          <w:szCs w:val="24"/>
        </w:rPr>
        <w:t xml:space="preserve">ederal executives report that few senators put in high levels of effort to support the administrative state. Second, </w:t>
      </w:r>
      <w:r w:rsidR="003416B0">
        <w:rPr>
          <w:rFonts w:ascii="Garamond" w:hAnsi="Garamond" w:cs="LMSans12-Regular"/>
          <w:sz w:val="24"/>
          <w:szCs w:val="24"/>
        </w:rPr>
        <w:t>as a Republican, Senator Hagerty</w:t>
      </w:r>
      <w:r w:rsidR="00293CAE" w:rsidRPr="00240F47">
        <w:rPr>
          <w:rFonts w:ascii="Garamond" w:hAnsi="Garamond" w:cs="LMSans12-Regular"/>
          <w:sz w:val="24"/>
          <w:szCs w:val="24"/>
        </w:rPr>
        <w:t xml:space="preserve"> is</w:t>
      </w:r>
      <w:r w:rsidR="003416B0">
        <w:rPr>
          <w:rFonts w:ascii="Garamond" w:hAnsi="Garamond" w:cs="LMSans12-Regular"/>
          <w:sz w:val="24"/>
          <w:szCs w:val="24"/>
        </w:rPr>
        <w:t xml:space="preserve"> less</w:t>
      </w:r>
      <w:r w:rsidR="00293CAE" w:rsidRPr="00240F47">
        <w:rPr>
          <w:rFonts w:ascii="Garamond" w:hAnsi="Garamond" w:cs="LMSans12-Regular"/>
          <w:sz w:val="24"/>
          <w:szCs w:val="24"/>
        </w:rPr>
        <w:t xml:space="preserve"> likely to </w:t>
      </w:r>
      <w:r w:rsidR="005065B1">
        <w:rPr>
          <w:rFonts w:ascii="Garamond" w:hAnsi="Garamond" w:cs="LMSans12-Regular"/>
          <w:sz w:val="24"/>
          <w:szCs w:val="24"/>
        </w:rPr>
        <w:t>prioritize</w:t>
      </w:r>
      <w:r w:rsidR="00293CAE" w:rsidRPr="00240F47">
        <w:rPr>
          <w:rFonts w:ascii="Garamond" w:hAnsi="Garamond" w:cs="LMSans12-Regular"/>
          <w:sz w:val="24"/>
          <w:szCs w:val="24"/>
        </w:rPr>
        <w:t xml:space="preserve"> the effective management of federal programs and agencies than his Democratic colleagues, except perhaps for agencies </w:t>
      </w:r>
      <w:r w:rsidR="00293CAE">
        <w:rPr>
          <w:rFonts w:ascii="Garamond" w:hAnsi="Garamond" w:cs="LMSans12-Regular"/>
          <w:sz w:val="24"/>
          <w:szCs w:val="24"/>
        </w:rPr>
        <w:t>with conservative tendencies</w:t>
      </w:r>
      <w:r w:rsidR="00293CAE" w:rsidRPr="00240F47">
        <w:rPr>
          <w:rFonts w:ascii="Garamond" w:hAnsi="Garamond" w:cs="LMSans12-Regular"/>
          <w:sz w:val="24"/>
          <w:szCs w:val="24"/>
        </w:rPr>
        <w:t xml:space="preserve">. </w:t>
      </w:r>
    </w:p>
    <w:p w14:paraId="1A012227" w14:textId="3E29762B" w:rsidR="003F0391" w:rsidRPr="00240F47" w:rsidRDefault="003416B0" w:rsidP="00437E02">
      <w:pPr>
        <w:autoSpaceDE w:val="0"/>
        <w:autoSpaceDN w:val="0"/>
        <w:adjustRightInd w:val="0"/>
        <w:spacing w:after="0" w:line="480" w:lineRule="auto"/>
        <w:ind w:firstLine="720"/>
        <w:rPr>
          <w:rFonts w:ascii="Garamond" w:hAnsi="Garamond" w:cs="LMSans12-Regular"/>
          <w:sz w:val="24"/>
          <w:szCs w:val="24"/>
        </w:rPr>
      </w:pPr>
      <w:r>
        <w:rPr>
          <w:rFonts w:ascii="Garamond" w:hAnsi="Garamond" w:cs="LMSans12-Regular"/>
          <w:sz w:val="24"/>
          <w:szCs w:val="24"/>
        </w:rPr>
        <w:t>These findings have important implications for the</w:t>
      </w:r>
      <w:r w:rsidR="003F0391" w:rsidRPr="00240F47">
        <w:rPr>
          <w:rFonts w:ascii="Garamond" w:hAnsi="Garamond" w:cs="LMSans12-Regular"/>
          <w:sz w:val="24"/>
          <w:szCs w:val="24"/>
        </w:rPr>
        <w:t xml:space="preserve"> healthy functioning of the administrative state.</w:t>
      </w:r>
      <w:r>
        <w:rPr>
          <w:rFonts w:ascii="Garamond" w:hAnsi="Garamond" w:cs="LMSans12-Regular"/>
          <w:sz w:val="24"/>
          <w:szCs w:val="24"/>
        </w:rPr>
        <w:t xml:space="preserve"> If </w:t>
      </w:r>
      <w:r w:rsidR="005065B1">
        <w:rPr>
          <w:rFonts w:ascii="Garamond" w:hAnsi="Garamond" w:cs="LMSans12-Regular"/>
          <w:sz w:val="24"/>
          <w:szCs w:val="24"/>
        </w:rPr>
        <w:t>senator</w:t>
      </w:r>
      <w:r w:rsidR="003B3ECF">
        <w:rPr>
          <w:rFonts w:ascii="Garamond" w:hAnsi="Garamond" w:cs="LMSans12-Regular"/>
          <w:sz w:val="24"/>
          <w:szCs w:val="24"/>
        </w:rPr>
        <w:t>s</w:t>
      </w:r>
      <w:r w:rsidR="005065B1">
        <w:rPr>
          <w:rFonts w:ascii="Garamond" w:hAnsi="Garamond" w:cs="LMSans12-Regular"/>
          <w:sz w:val="24"/>
          <w:szCs w:val="24"/>
        </w:rPr>
        <w:t xml:space="preserve"> expend little effort on oversight and </w:t>
      </w:r>
      <w:r>
        <w:rPr>
          <w:rFonts w:ascii="Garamond" w:hAnsi="Garamond" w:cs="LMSans12-Regular"/>
          <w:sz w:val="24"/>
          <w:szCs w:val="24"/>
        </w:rPr>
        <w:t xml:space="preserve">concerns for effective governance are </w:t>
      </w:r>
      <w:r w:rsidR="005065B1">
        <w:rPr>
          <w:rFonts w:ascii="Garamond" w:hAnsi="Garamond" w:cs="LMSans12-Regular"/>
          <w:sz w:val="24"/>
          <w:szCs w:val="24"/>
        </w:rPr>
        <w:t>colored by partisanship</w:t>
      </w:r>
      <w:r>
        <w:rPr>
          <w:rFonts w:ascii="Garamond" w:hAnsi="Garamond" w:cs="LMSans12-Regular"/>
          <w:sz w:val="24"/>
          <w:szCs w:val="24"/>
        </w:rPr>
        <w:t xml:space="preserve">, this could jeopardize the implementation of laws enacted and programs created by Congress itself. </w:t>
      </w:r>
      <w:r w:rsidRPr="00240F47">
        <w:rPr>
          <w:rFonts w:ascii="Garamond" w:hAnsi="Garamond" w:cs="LMSans12-Regular"/>
          <w:sz w:val="24"/>
          <w:szCs w:val="24"/>
        </w:rPr>
        <w:t xml:space="preserve">Federal agencies help Americans prepare for and respond to disasters, protect federal lands, and ensure open and efficient markets. They provide equal access to education, voting, and </w:t>
      </w:r>
      <w:r w:rsidR="005065B1">
        <w:rPr>
          <w:rFonts w:ascii="Garamond" w:hAnsi="Garamond" w:cs="LMSans12-Regular"/>
          <w:sz w:val="24"/>
          <w:szCs w:val="24"/>
        </w:rPr>
        <w:t>economic opportunity</w:t>
      </w:r>
      <w:r w:rsidRPr="00240F47">
        <w:rPr>
          <w:rFonts w:ascii="Garamond" w:hAnsi="Garamond" w:cs="LMSans12-Regular"/>
          <w:sz w:val="24"/>
          <w:szCs w:val="24"/>
        </w:rPr>
        <w:t xml:space="preserve">. They protect Americans from domestic and foreign threats. Legislators play a key role in providing political support and oversight and they help agencies integrate the </w:t>
      </w:r>
      <w:r>
        <w:rPr>
          <w:rFonts w:ascii="Garamond" w:hAnsi="Garamond" w:cs="LMSans12-Regular"/>
          <w:sz w:val="24"/>
          <w:szCs w:val="24"/>
        </w:rPr>
        <w:t>different</w:t>
      </w:r>
      <w:r w:rsidRPr="00240F47">
        <w:rPr>
          <w:rFonts w:ascii="Garamond" w:hAnsi="Garamond" w:cs="LMSans12-Regular"/>
          <w:sz w:val="24"/>
          <w:szCs w:val="24"/>
        </w:rPr>
        <w:t xml:space="preserve"> views of diverse stakeholders into agency planning and activities. The priority legislators place on ensuring the effective performance of federal agencies has broad consequences for the voters that support these programs and elected representatives to put them into place.</w:t>
      </w:r>
    </w:p>
    <w:p w14:paraId="7C2CC9C7" w14:textId="2670B220" w:rsidR="0015504D" w:rsidRDefault="0015504D" w:rsidP="00F6012D">
      <w:pPr>
        <w:spacing w:after="0" w:line="480" w:lineRule="auto"/>
        <w:rPr>
          <w:rFonts w:ascii="Garamond" w:hAnsi="Garamond" w:cs="Times New Roman"/>
          <w:sz w:val="24"/>
          <w:szCs w:val="24"/>
        </w:rPr>
      </w:pPr>
      <w:r>
        <w:rPr>
          <w:rFonts w:ascii="Garamond" w:hAnsi="Garamond" w:cs="Times New Roman"/>
          <w:b/>
          <w:sz w:val="24"/>
          <w:szCs w:val="24"/>
        </w:rPr>
        <w:lastRenderedPageBreak/>
        <w:t>References</w:t>
      </w:r>
    </w:p>
    <w:p w14:paraId="5D45CDE7" w14:textId="0F145132" w:rsidR="0015504D" w:rsidRDefault="0015504D" w:rsidP="00F6012D">
      <w:pPr>
        <w:spacing w:line="240" w:lineRule="auto"/>
        <w:ind w:left="720" w:hanging="720"/>
        <w:rPr>
          <w:rFonts w:ascii="Garamond" w:hAnsi="Garamond"/>
          <w:sz w:val="24"/>
          <w:szCs w:val="24"/>
        </w:rPr>
      </w:pPr>
      <w:r w:rsidRPr="00386DC8">
        <w:rPr>
          <w:rFonts w:ascii="Garamond" w:hAnsi="Garamond"/>
          <w:sz w:val="24"/>
          <w:szCs w:val="24"/>
        </w:rPr>
        <w:t xml:space="preserve">Aberbach, Joel. D. 1990. </w:t>
      </w:r>
      <w:r w:rsidRPr="00386DC8">
        <w:rPr>
          <w:rFonts w:ascii="Garamond" w:hAnsi="Garamond"/>
          <w:i/>
          <w:sz w:val="24"/>
          <w:szCs w:val="24"/>
        </w:rPr>
        <w:t>Keeping a Watchful Eye</w:t>
      </w:r>
      <w:r w:rsidRPr="00386DC8">
        <w:rPr>
          <w:rFonts w:ascii="Garamond" w:hAnsi="Garamond"/>
          <w:sz w:val="24"/>
          <w:szCs w:val="24"/>
        </w:rPr>
        <w:t>. Washington, DC: Brookings.</w:t>
      </w:r>
    </w:p>
    <w:p w14:paraId="471EF543" w14:textId="77777777" w:rsidR="00407AEA" w:rsidRDefault="00407AEA" w:rsidP="00F6012D">
      <w:pPr>
        <w:spacing w:line="240" w:lineRule="auto"/>
        <w:ind w:left="720" w:hanging="720"/>
        <w:rPr>
          <w:rFonts w:ascii="Garamond" w:hAnsi="Garamond"/>
          <w:sz w:val="24"/>
          <w:szCs w:val="24"/>
        </w:rPr>
      </w:pPr>
      <w:r w:rsidRPr="007865B3">
        <w:rPr>
          <w:rFonts w:ascii="Garamond" w:hAnsi="Garamond"/>
          <w:sz w:val="24"/>
          <w:szCs w:val="24"/>
        </w:rPr>
        <w:t xml:space="preserve">Evans, Diana. 1994. “Congressional Oversight and the Diversity of Members’ Goals.” </w:t>
      </w:r>
      <w:r w:rsidRPr="007865B3">
        <w:rPr>
          <w:rFonts w:ascii="Garamond" w:hAnsi="Garamond"/>
          <w:i/>
          <w:sz w:val="24"/>
          <w:szCs w:val="24"/>
        </w:rPr>
        <w:t>Political Science Quarterly</w:t>
      </w:r>
      <w:r w:rsidRPr="007865B3">
        <w:rPr>
          <w:rFonts w:ascii="Garamond" w:hAnsi="Garamond"/>
          <w:sz w:val="24"/>
          <w:szCs w:val="24"/>
        </w:rPr>
        <w:t xml:space="preserve"> 109(4):669-87.</w:t>
      </w:r>
    </w:p>
    <w:p w14:paraId="41527074" w14:textId="1CB64D59" w:rsidR="0015504D" w:rsidRDefault="0015504D" w:rsidP="00F6012D">
      <w:pPr>
        <w:spacing w:line="240" w:lineRule="auto"/>
        <w:ind w:left="720" w:hanging="720"/>
        <w:rPr>
          <w:rFonts w:ascii="Garamond" w:hAnsi="Garamond"/>
          <w:sz w:val="24"/>
          <w:szCs w:val="24"/>
        </w:rPr>
      </w:pPr>
      <w:r>
        <w:rPr>
          <w:rFonts w:ascii="Garamond" w:hAnsi="Garamond"/>
          <w:sz w:val="24"/>
          <w:szCs w:val="24"/>
        </w:rPr>
        <w:t xml:space="preserve">Fenno, Richard. 1978. </w:t>
      </w:r>
      <w:r>
        <w:rPr>
          <w:rFonts w:ascii="Garamond" w:hAnsi="Garamond"/>
          <w:i/>
          <w:sz w:val="24"/>
          <w:szCs w:val="24"/>
        </w:rPr>
        <w:t>Home Style: House Members in their Districts</w:t>
      </w:r>
      <w:r>
        <w:rPr>
          <w:rFonts w:ascii="Garamond" w:hAnsi="Garamond"/>
          <w:sz w:val="24"/>
          <w:szCs w:val="24"/>
        </w:rPr>
        <w:t>. Boston, MA: Little, Brown.</w:t>
      </w:r>
    </w:p>
    <w:p w14:paraId="12B0F905" w14:textId="665A0C37" w:rsidR="0015504D" w:rsidRPr="00F02F8E" w:rsidRDefault="0015504D" w:rsidP="00F6012D">
      <w:pPr>
        <w:spacing w:line="240" w:lineRule="auto"/>
        <w:ind w:left="720" w:hanging="720"/>
        <w:rPr>
          <w:rFonts w:ascii="Garamond" w:hAnsi="Garamond"/>
          <w:sz w:val="24"/>
          <w:szCs w:val="24"/>
        </w:rPr>
      </w:pPr>
      <w:r>
        <w:rPr>
          <w:rFonts w:ascii="Garamond" w:hAnsi="Garamond"/>
          <w:sz w:val="24"/>
          <w:szCs w:val="24"/>
        </w:rPr>
        <w:t xml:space="preserve">Gelman, Andrew and Jennifer Hill. 2006. </w:t>
      </w:r>
      <w:r>
        <w:rPr>
          <w:rFonts w:ascii="Garamond" w:hAnsi="Garamond"/>
          <w:i/>
          <w:sz w:val="24"/>
          <w:szCs w:val="24"/>
        </w:rPr>
        <w:t>Data Analysis Using Regression and Multilevel/Heirarchical Models</w:t>
      </w:r>
      <w:r>
        <w:rPr>
          <w:rFonts w:ascii="Garamond" w:hAnsi="Garamond"/>
          <w:sz w:val="24"/>
          <w:szCs w:val="24"/>
        </w:rPr>
        <w:t>.  New York, NY: Cambridge University Press.</w:t>
      </w:r>
    </w:p>
    <w:p w14:paraId="2A4DF75B" w14:textId="4FA802AA" w:rsidR="0015504D" w:rsidRDefault="0015504D" w:rsidP="00F6012D">
      <w:pPr>
        <w:spacing w:line="240" w:lineRule="auto"/>
        <w:ind w:left="720" w:hanging="720"/>
        <w:rPr>
          <w:rFonts w:ascii="Garamond" w:hAnsi="Garamond"/>
          <w:sz w:val="24"/>
          <w:szCs w:val="24"/>
        </w:rPr>
      </w:pPr>
      <w:r w:rsidRPr="00386DC8">
        <w:rPr>
          <w:rFonts w:ascii="Garamond" w:hAnsi="Garamond"/>
          <w:sz w:val="24"/>
          <w:szCs w:val="24"/>
        </w:rPr>
        <w:t xml:space="preserve">Goodsell, Charles T. 2015. </w:t>
      </w:r>
      <w:r w:rsidRPr="00386DC8">
        <w:rPr>
          <w:rFonts w:ascii="Garamond" w:hAnsi="Garamond"/>
          <w:i/>
          <w:sz w:val="24"/>
          <w:szCs w:val="24"/>
        </w:rPr>
        <w:t>The New Case for Bureaucracy</w:t>
      </w:r>
      <w:r w:rsidRPr="00386DC8">
        <w:rPr>
          <w:rFonts w:ascii="Garamond" w:hAnsi="Garamond"/>
          <w:sz w:val="24"/>
          <w:szCs w:val="24"/>
        </w:rPr>
        <w:t>. Rev. 5th ed. Washington, DC: CQ Press.</w:t>
      </w:r>
    </w:p>
    <w:p w14:paraId="7B7B10F7" w14:textId="43495B8C" w:rsidR="00827CCE" w:rsidRDefault="00827CCE" w:rsidP="00F6012D">
      <w:pPr>
        <w:spacing w:line="240" w:lineRule="auto"/>
        <w:ind w:left="720" w:hanging="720"/>
        <w:rPr>
          <w:rFonts w:ascii="Garamond" w:hAnsi="Garamond"/>
          <w:sz w:val="24"/>
          <w:szCs w:val="24"/>
        </w:rPr>
      </w:pPr>
      <w:r w:rsidRPr="00827CCE">
        <w:rPr>
          <w:rFonts w:ascii="Garamond" w:hAnsi="Garamond"/>
          <w:sz w:val="24"/>
          <w:szCs w:val="24"/>
        </w:rPr>
        <w:t>Gramlich</w:t>
      </w:r>
      <w:r>
        <w:rPr>
          <w:rFonts w:ascii="Garamond" w:hAnsi="Garamond"/>
          <w:sz w:val="24"/>
          <w:szCs w:val="24"/>
        </w:rPr>
        <w:t xml:space="preserve">, John. 2017. </w:t>
      </w:r>
      <w:r w:rsidRPr="00827CCE">
        <w:rPr>
          <w:rFonts w:ascii="Garamond" w:hAnsi="Garamond"/>
          <w:sz w:val="24"/>
          <w:szCs w:val="24"/>
        </w:rPr>
        <w:t xml:space="preserve">“Few Americans support cuts to most government programs, including Medicaid,” </w:t>
      </w:r>
      <w:r w:rsidRPr="00827CCE">
        <w:rPr>
          <w:rFonts w:ascii="Garamond" w:hAnsi="Garamond"/>
          <w:i/>
          <w:iCs/>
          <w:sz w:val="24"/>
          <w:szCs w:val="24"/>
        </w:rPr>
        <w:t>Pew Research</w:t>
      </w:r>
      <w:r w:rsidRPr="00827CCE">
        <w:rPr>
          <w:rFonts w:ascii="Garamond" w:hAnsi="Garamond"/>
          <w:sz w:val="24"/>
          <w:szCs w:val="24"/>
        </w:rPr>
        <w:t>, May 26, 2017 (https://www.pewresearch.org/fact-tank/2017/05/26/few-americans-support-cuts-to-most-government-programs-including-medicaid/).</w:t>
      </w:r>
    </w:p>
    <w:p w14:paraId="60F3A89D" w14:textId="7E98892A" w:rsidR="00AD4F2C" w:rsidRDefault="00AD4F2C" w:rsidP="00F6012D">
      <w:pPr>
        <w:spacing w:line="240" w:lineRule="auto"/>
        <w:ind w:left="720" w:hanging="720"/>
        <w:rPr>
          <w:rFonts w:ascii="Garamond" w:hAnsi="Garamond"/>
          <w:sz w:val="24"/>
          <w:szCs w:val="24"/>
        </w:rPr>
      </w:pPr>
      <w:r w:rsidRPr="00386DC8">
        <w:rPr>
          <w:rFonts w:ascii="Garamond" w:hAnsi="Garamond"/>
          <w:sz w:val="24"/>
          <w:szCs w:val="24"/>
        </w:rPr>
        <w:t xml:space="preserve">Lee, Frances. E. 2016. </w:t>
      </w:r>
      <w:r w:rsidRPr="00386DC8">
        <w:rPr>
          <w:rFonts w:ascii="Garamond" w:hAnsi="Garamond"/>
          <w:i/>
          <w:sz w:val="24"/>
          <w:szCs w:val="24"/>
        </w:rPr>
        <w:t>Insecure Majorities: Congress and the Perpetual Campaign</w:t>
      </w:r>
      <w:r w:rsidRPr="00386DC8">
        <w:rPr>
          <w:rFonts w:ascii="Garamond" w:hAnsi="Garamond"/>
          <w:sz w:val="24"/>
          <w:szCs w:val="24"/>
        </w:rPr>
        <w:t>. Chicago</w:t>
      </w:r>
      <w:r>
        <w:rPr>
          <w:rFonts w:ascii="Garamond" w:hAnsi="Garamond"/>
          <w:sz w:val="24"/>
          <w:szCs w:val="24"/>
        </w:rPr>
        <w:t>, IL</w:t>
      </w:r>
      <w:r w:rsidRPr="00386DC8">
        <w:rPr>
          <w:rFonts w:ascii="Garamond" w:hAnsi="Garamond"/>
          <w:sz w:val="24"/>
          <w:szCs w:val="24"/>
        </w:rPr>
        <w:t>: University of Chicago Press.</w:t>
      </w:r>
    </w:p>
    <w:p w14:paraId="6DBD72C8" w14:textId="06C2E0B6" w:rsidR="0015504D" w:rsidRDefault="0015504D" w:rsidP="00F6012D">
      <w:pPr>
        <w:spacing w:line="240" w:lineRule="auto"/>
        <w:ind w:left="720" w:hanging="720"/>
        <w:rPr>
          <w:rFonts w:ascii="Garamond" w:hAnsi="Garamond"/>
          <w:sz w:val="24"/>
          <w:szCs w:val="24"/>
        </w:rPr>
      </w:pPr>
      <w:r w:rsidRPr="00386DC8">
        <w:rPr>
          <w:rFonts w:ascii="Garamond" w:hAnsi="Garamond"/>
          <w:sz w:val="24"/>
          <w:szCs w:val="24"/>
        </w:rPr>
        <w:t xml:space="preserve">Lewis, David E. 2019. “Deconstructing the Administrative State.” </w:t>
      </w:r>
      <w:r w:rsidRPr="00386DC8">
        <w:rPr>
          <w:rFonts w:ascii="Garamond" w:hAnsi="Garamond"/>
          <w:i/>
          <w:iCs/>
          <w:sz w:val="24"/>
          <w:szCs w:val="24"/>
        </w:rPr>
        <w:t>Journal of Politics</w:t>
      </w:r>
      <w:r w:rsidRPr="00386DC8">
        <w:rPr>
          <w:rFonts w:ascii="Garamond" w:hAnsi="Garamond"/>
          <w:sz w:val="24"/>
          <w:szCs w:val="24"/>
        </w:rPr>
        <w:t xml:space="preserve"> 81(3):767-89.</w:t>
      </w:r>
    </w:p>
    <w:p w14:paraId="7D335B2A" w14:textId="0C35967A" w:rsidR="009D7EF4" w:rsidRDefault="00FF4A66" w:rsidP="00F6012D">
      <w:pPr>
        <w:spacing w:line="240" w:lineRule="auto"/>
        <w:ind w:left="720" w:hanging="720"/>
        <w:rPr>
          <w:rFonts w:ascii="Garamond" w:hAnsi="Garamond"/>
          <w:sz w:val="24"/>
          <w:szCs w:val="24"/>
        </w:rPr>
      </w:pPr>
      <w:r>
        <w:rPr>
          <w:rFonts w:ascii="Garamond" w:hAnsi="Garamond"/>
          <w:sz w:val="24"/>
          <w:szCs w:val="24"/>
        </w:rPr>
        <w:t xml:space="preserve">Lowande, Kenneth.  2018. “Who Policies the Administrative State?” </w:t>
      </w:r>
      <w:r>
        <w:rPr>
          <w:rFonts w:ascii="Garamond" w:hAnsi="Garamond"/>
          <w:i/>
          <w:iCs/>
          <w:sz w:val="24"/>
          <w:szCs w:val="24"/>
        </w:rPr>
        <w:t>American Political Science Review</w:t>
      </w:r>
      <w:r>
        <w:rPr>
          <w:rFonts w:ascii="Garamond" w:hAnsi="Garamond"/>
          <w:sz w:val="24"/>
          <w:szCs w:val="24"/>
        </w:rPr>
        <w:t>, 112(4), 874-890.</w:t>
      </w:r>
    </w:p>
    <w:p w14:paraId="079CEE78" w14:textId="27937878" w:rsidR="00BB306A" w:rsidRPr="00F8363F" w:rsidRDefault="00BB306A" w:rsidP="00F6012D">
      <w:pPr>
        <w:spacing w:line="240" w:lineRule="auto"/>
        <w:ind w:left="720" w:hanging="720"/>
        <w:rPr>
          <w:rFonts w:ascii="Garamond" w:hAnsi="Garamond"/>
          <w:sz w:val="24"/>
          <w:szCs w:val="24"/>
        </w:rPr>
      </w:pPr>
      <w:r>
        <w:rPr>
          <w:rFonts w:ascii="Garamond" w:hAnsi="Garamond"/>
          <w:sz w:val="24"/>
          <w:szCs w:val="24"/>
        </w:rPr>
        <w:t xml:space="preserve">Lowande, Kenneth, Melinda Ritchie, and Erinn Lauterbach. “Descriptive and Substantive Representation in Congress: Evidence from 80,000 Congressional Inquiries.” </w:t>
      </w:r>
      <w:r>
        <w:rPr>
          <w:rFonts w:ascii="Garamond" w:hAnsi="Garamond"/>
          <w:i/>
          <w:iCs/>
          <w:sz w:val="24"/>
          <w:szCs w:val="24"/>
        </w:rPr>
        <w:t xml:space="preserve">American </w:t>
      </w:r>
      <w:r w:rsidR="00F8363F">
        <w:rPr>
          <w:rFonts w:ascii="Garamond" w:hAnsi="Garamond"/>
          <w:i/>
          <w:iCs/>
          <w:sz w:val="24"/>
          <w:szCs w:val="24"/>
        </w:rPr>
        <w:t>Journal of Political Science</w:t>
      </w:r>
      <w:r w:rsidR="00F8363F">
        <w:rPr>
          <w:rFonts w:ascii="Garamond" w:hAnsi="Garamond"/>
          <w:sz w:val="24"/>
          <w:szCs w:val="24"/>
        </w:rPr>
        <w:t>, 63(3), 644-659.</w:t>
      </w:r>
    </w:p>
    <w:p w14:paraId="17E955D3" w14:textId="5F8148F1" w:rsidR="0015504D" w:rsidRDefault="0015504D" w:rsidP="00F6012D">
      <w:pPr>
        <w:spacing w:line="240" w:lineRule="auto"/>
        <w:ind w:left="720" w:hanging="720"/>
        <w:rPr>
          <w:rFonts w:ascii="Garamond" w:hAnsi="Garamond"/>
          <w:sz w:val="24"/>
          <w:szCs w:val="24"/>
        </w:rPr>
      </w:pPr>
      <w:r w:rsidRPr="00386DC8">
        <w:rPr>
          <w:rFonts w:ascii="Garamond" w:hAnsi="Garamond"/>
          <w:sz w:val="24"/>
          <w:szCs w:val="24"/>
        </w:rPr>
        <w:t xml:space="preserve">Mayhew, David R. 1974. </w:t>
      </w:r>
      <w:r w:rsidRPr="00386DC8">
        <w:rPr>
          <w:rFonts w:ascii="Garamond" w:hAnsi="Garamond"/>
          <w:i/>
          <w:sz w:val="24"/>
          <w:szCs w:val="24"/>
        </w:rPr>
        <w:t>Congress: The Electoral Connection</w:t>
      </w:r>
      <w:r w:rsidRPr="00386DC8">
        <w:rPr>
          <w:rFonts w:ascii="Garamond" w:hAnsi="Garamond"/>
          <w:sz w:val="24"/>
          <w:szCs w:val="24"/>
        </w:rPr>
        <w:t>. New Haven, CT: Yale University Press.</w:t>
      </w:r>
    </w:p>
    <w:p w14:paraId="045A7E82" w14:textId="07E91AA0" w:rsidR="0015504D" w:rsidRDefault="0015504D" w:rsidP="00F6012D">
      <w:pPr>
        <w:spacing w:line="240" w:lineRule="auto"/>
        <w:ind w:left="720" w:hanging="720"/>
        <w:rPr>
          <w:rFonts w:ascii="Garamond" w:hAnsi="Garamond"/>
          <w:sz w:val="24"/>
          <w:szCs w:val="24"/>
        </w:rPr>
      </w:pPr>
      <w:r w:rsidRPr="00386DC8">
        <w:rPr>
          <w:rFonts w:ascii="Garamond" w:hAnsi="Garamond"/>
          <w:sz w:val="24"/>
          <w:szCs w:val="24"/>
        </w:rPr>
        <w:t xml:space="preserve">Oleszek, Walter J. 2010. </w:t>
      </w:r>
      <w:r w:rsidRPr="00386DC8">
        <w:rPr>
          <w:rFonts w:ascii="Garamond" w:hAnsi="Garamond"/>
          <w:i/>
          <w:iCs/>
          <w:sz w:val="24"/>
          <w:szCs w:val="24"/>
        </w:rPr>
        <w:t>Congressional Oversight: An Overview</w:t>
      </w:r>
      <w:r w:rsidRPr="00386DC8">
        <w:rPr>
          <w:rFonts w:ascii="Garamond" w:hAnsi="Garamond"/>
          <w:sz w:val="24"/>
          <w:szCs w:val="24"/>
        </w:rPr>
        <w:t>. Congressional Research Service Report, 7-5700, February 22, 2010 (</w:t>
      </w:r>
      <w:hyperlink r:id="rId11" w:history="1">
        <w:r w:rsidRPr="00F577EE">
          <w:rPr>
            <w:rStyle w:val="Hyperlink"/>
            <w:rFonts w:ascii="Garamond" w:hAnsi="Garamond"/>
            <w:sz w:val="24"/>
            <w:szCs w:val="24"/>
          </w:rPr>
          <w:t>https://sgp.fas.org/crs/misc/R41079.pdf</w:t>
        </w:r>
      </w:hyperlink>
      <w:r w:rsidRPr="00386DC8">
        <w:rPr>
          <w:rFonts w:ascii="Garamond" w:hAnsi="Garamond"/>
          <w:sz w:val="24"/>
          <w:szCs w:val="24"/>
        </w:rPr>
        <w:t>).</w:t>
      </w:r>
    </w:p>
    <w:p w14:paraId="1DD7F8AC" w14:textId="02793008" w:rsidR="00827CCE" w:rsidRDefault="00827CCE" w:rsidP="00F6012D">
      <w:pPr>
        <w:spacing w:line="240" w:lineRule="auto"/>
        <w:ind w:left="720" w:hanging="720"/>
        <w:rPr>
          <w:rFonts w:ascii="Garamond" w:hAnsi="Garamond"/>
          <w:sz w:val="24"/>
          <w:szCs w:val="24"/>
        </w:rPr>
      </w:pPr>
      <w:r w:rsidRPr="00827CCE">
        <w:rPr>
          <w:rFonts w:ascii="Garamond" w:hAnsi="Garamond"/>
          <w:sz w:val="24"/>
          <w:szCs w:val="24"/>
        </w:rPr>
        <w:t xml:space="preserve">Richardson, Mark D., Joshua D. Clinton, and David E. Lewis. 2018. “Elite Perceptions of Agency Ideology and Workforce Skill.” </w:t>
      </w:r>
      <w:r w:rsidRPr="00EB089D">
        <w:rPr>
          <w:rFonts w:ascii="Garamond" w:hAnsi="Garamond"/>
          <w:i/>
          <w:iCs/>
          <w:sz w:val="24"/>
          <w:szCs w:val="24"/>
        </w:rPr>
        <w:t>Journal of Politics</w:t>
      </w:r>
      <w:r w:rsidRPr="00827CCE">
        <w:rPr>
          <w:rFonts w:ascii="Garamond" w:hAnsi="Garamond"/>
          <w:sz w:val="24"/>
          <w:szCs w:val="24"/>
        </w:rPr>
        <w:t xml:space="preserve"> 80(1):303-8.</w:t>
      </w:r>
    </w:p>
    <w:p w14:paraId="7E346045" w14:textId="5C7215D4" w:rsidR="00CA6BC0" w:rsidRPr="00CA6BC0" w:rsidRDefault="00CA6BC0" w:rsidP="00F6012D">
      <w:pPr>
        <w:spacing w:line="240" w:lineRule="auto"/>
        <w:ind w:left="720" w:hanging="720"/>
        <w:rPr>
          <w:rFonts w:ascii="Garamond" w:hAnsi="Garamond"/>
          <w:sz w:val="24"/>
          <w:szCs w:val="24"/>
        </w:rPr>
      </w:pPr>
      <w:r>
        <w:rPr>
          <w:rFonts w:ascii="Garamond" w:hAnsi="Garamond"/>
          <w:sz w:val="24"/>
          <w:szCs w:val="24"/>
        </w:rPr>
        <w:t xml:space="preserve">Scott, Dylan.  2018.  “Lamar Alexander, pillar of Washington’s old guard, is retiring from the Senate,” </w:t>
      </w:r>
      <w:r>
        <w:rPr>
          <w:rFonts w:ascii="Garamond" w:hAnsi="Garamond"/>
          <w:i/>
          <w:iCs/>
          <w:sz w:val="24"/>
          <w:szCs w:val="24"/>
        </w:rPr>
        <w:t>Vox</w:t>
      </w:r>
      <w:r>
        <w:rPr>
          <w:rFonts w:ascii="Garamond" w:hAnsi="Garamond"/>
          <w:sz w:val="24"/>
          <w:szCs w:val="24"/>
        </w:rPr>
        <w:t>, December 17, 2018 (</w:t>
      </w:r>
      <w:hyperlink r:id="rId12" w:history="1">
        <w:r w:rsidRPr="00984009">
          <w:rPr>
            <w:rStyle w:val="Hyperlink"/>
            <w:rFonts w:ascii="Garamond" w:hAnsi="Garamond"/>
            <w:sz w:val="24"/>
            <w:szCs w:val="24"/>
          </w:rPr>
          <w:t>https://www.vox.com/policy-and-politics/2018/4/16/16978484/lamar-alexander-retirement-health-care-obamacare-repeal-senate</w:t>
        </w:r>
      </w:hyperlink>
      <w:r>
        <w:rPr>
          <w:rFonts w:ascii="Garamond" w:hAnsi="Garamond"/>
          <w:sz w:val="24"/>
          <w:szCs w:val="24"/>
        </w:rPr>
        <w:t>).</w:t>
      </w:r>
    </w:p>
    <w:p w14:paraId="2FD68D07" w14:textId="691BFB45" w:rsidR="00827CCE" w:rsidRPr="00827CCE" w:rsidRDefault="00827CCE" w:rsidP="00F6012D">
      <w:pPr>
        <w:spacing w:line="240" w:lineRule="auto"/>
        <w:ind w:left="720" w:hanging="720"/>
        <w:rPr>
          <w:rFonts w:ascii="Garamond" w:hAnsi="Garamond"/>
          <w:sz w:val="24"/>
          <w:szCs w:val="24"/>
        </w:rPr>
      </w:pPr>
      <w:r>
        <w:rPr>
          <w:rFonts w:ascii="Garamond" w:hAnsi="Garamond"/>
          <w:sz w:val="24"/>
          <w:szCs w:val="24"/>
        </w:rPr>
        <w:t xml:space="preserve">Skowronek, Stephen, John A. Dearborn, and Desmond King. </w:t>
      </w:r>
      <w:r>
        <w:rPr>
          <w:rFonts w:ascii="Garamond" w:hAnsi="Garamond"/>
          <w:i/>
          <w:iCs/>
          <w:sz w:val="24"/>
          <w:szCs w:val="24"/>
        </w:rPr>
        <w:t>Phantoms of a Beleaguered Republic: The Deep State and the Unitary Executive</w:t>
      </w:r>
      <w:r>
        <w:rPr>
          <w:rFonts w:ascii="Garamond" w:hAnsi="Garamond"/>
          <w:sz w:val="24"/>
          <w:szCs w:val="24"/>
        </w:rPr>
        <w:t>. New York, NY: Oxford University Press.</w:t>
      </w:r>
    </w:p>
    <w:p w14:paraId="1156B042" w14:textId="7B3722ED" w:rsidR="00E70FE7" w:rsidRPr="00E70FE7" w:rsidRDefault="00E70FE7" w:rsidP="00F6012D">
      <w:pPr>
        <w:spacing w:line="240" w:lineRule="auto"/>
        <w:ind w:left="720" w:hanging="720"/>
        <w:rPr>
          <w:rFonts w:ascii="Garamond" w:hAnsi="Garamond" w:cs="Arial"/>
          <w:sz w:val="24"/>
          <w:szCs w:val="24"/>
          <w:shd w:val="clear" w:color="auto" w:fill="FFFFFF"/>
        </w:rPr>
      </w:pPr>
      <w:r w:rsidRPr="008E62CB">
        <w:rPr>
          <w:rFonts w:ascii="Garamond" w:hAnsi="Garamond"/>
          <w:sz w:val="24"/>
          <w:szCs w:val="24"/>
        </w:rPr>
        <w:t xml:space="preserve">Teles, Steven M. 2008. </w:t>
      </w:r>
      <w:r w:rsidRPr="008E62CB">
        <w:rPr>
          <w:rFonts w:ascii="Garamond" w:hAnsi="Garamond"/>
          <w:i/>
          <w:sz w:val="24"/>
          <w:szCs w:val="24"/>
        </w:rPr>
        <w:t>The Rise of the Conservative Legal Movement: The Battle for Control of the Law</w:t>
      </w:r>
      <w:r w:rsidRPr="008E62CB">
        <w:rPr>
          <w:rFonts w:ascii="Garamond" w:hAnsi="Garamond"/>
          <w:sz w:val="24"/>
          <w:szCs w:val="24"/>
        </w:rPr>
        <w:t>. Princeton, NJ: Princeton University Press.</w:t>
      </w:r>
    </w:p>
    <w:p w14:paraId="1EB3F082" w14:textId="3DCFF57B" w:rsidR="0015504D" w:rsidRPr="005A3BE1" w:rsidRDefault="0015504D" w:rsidP="00F6012D">
      <w:pPr>
        <w:spacing w:line="240" w:lineRule="auto"/>
        <w:ind w:left="720" w:hanging="720"/>
        <w:rPr>
          <w:rFonts w:ascii="Garamond" w:hAnsi="Garamond"/>
          <w:sz w:val="24"/>
          <w:szCs w:val="24"/>
        </w:rPr>
      </w:pPr>
      <w:r w:rsidRPr="005A3BE1">
        <w:rPr>
          <w:rFonts w:ascii="Garamond" w:hAnsi="Garamond"/>
          <w:sz w:val="24"/>
          <w:szCs w:val="24"/>
        </w:rPr>
        <w:t xml:space="preserve">Theriault, </w:t>
      </w:r>
      <w:r w:rsidR="005A3BE1">
        <w:rPr>
          <w:rFonts w:ascii="Garamond" w:hAnsi="Garamond"/>
          <w:sz w:val="24"/>
          <w:szCs w:val="24"/>
        </w:rPr>
        <w:t>Sean M.</w:t>
      </w:r>
      <w:r w:rsidR="00EB089D">
        <w:rPr>
          <w:rFonts w:ascii="Garamond" w:hAnsi="Garamond"/>
          <w:sz w:val="24"/>
          <w:szCs w:val="24"/>
        </w:rPr>
        <w:t xml:space="preserve"> </w:t>
      </w:r>
      <w:r w:rsidR="005A3BE1">
        <w:rPr>
          <w:rFonts w:ascii="Garamond" w:hAnsi="Garamond"/>
          <w:sz w:val="24"/>
          <w:szCs w:val="24"/>
        </w:rPr>
        <w:t xml:space="preserve">2008. </w:t>
      </w:r>
      <w:r w:rsidR="005A3BE1">
        <w:rPr>
          <w:rFonts w:ascii="Garamond" w:hAnsi="Garamond"/>
          <w:i/>
          <w:iCs/>
          <w:sz w:val="24"/>
          <w:szCs w:val="24"/>
        </w:rPr>
        <w:t>Party Polarization in Congress</w:t>
      </w:r>
      <w:r w:rsidR="005A3BE1">
        <w:rPr>
          <w:rFonts w:ascii="Garamond" w:hAnsi="Garamond"/>
          <w:sz w:val="24"/>
          <w:szCs w:val="24"/>
        </w:rPr>
        <w:t xml:space="preserve">. </w:t>
      </w:r>
      <w:r w:rsidR="00087FEA">
        <w:rPr>
          <w:rFonts w:ascii="Garamond" w:hAnsi="Garamond"/>
          <w:sz w:val="24"/>
          <w:szCs w:val="24"/>
        </w:rPr>
        <w:t xml:space="preserve">New York, NY: </w:t>
      </w:r>
      <w:r w:rsidR="005A3BE1">
        <w:rPr>
          <w:rFonts w:ascii="Garamond" w:hAnsi="Garamond"/>
          <w:sz w:val="24"/>
          <w:szCs w:val="24"/>
        </w:rPr>
        <w:t>Cambridge University Press.</w:t>
      </w:r>
    </w:p>
    <w:p w14:paraId="781E764D" w14:textId="3CC25FF6" w:rsidR="0015504D" w:rsidRDefault="0015504D" w:rsidP="00F6012D">
      <w:pPr>
        <w:spacing w:line="240" w:lineRule="auto"/>
        <w:ind w:left="720" w:hanging="720"/>
        <w:rPr>
          <w:rFonts w:ascii="Garamond" w:hAnsi="Garamond" w:cstheme="minorHAnsi"/>
          <w:sz w:val="24"/>
          <w:szCs w:val="24"/>
        </w:rPr>
      </w:pPr>
      <w:r w:rsidRPr="00386DC8">
        <w:rPr>
          <w:rFonts w:ascii="Garamond" w:hAnsi="Garamond" w:cstheme="minorHAnsi"/>
          <w:sz w:val="24"/>
          <w:szCs w:val="24"/>
        </w:rPr>
        <w:t xml:space="preserve">Yackee, Susan Webb, and David Lowery. 2005. “Understanding Public Support for the US Federal Bureaucracy.” </w:t>
      </w:r>
      <w:r w:rsidRPr="00386DC8">
        <w:rPr>
          <w:rFonts w:ascii="Garamond" w:hAnsi="Garamond" w:cstheme="minorHAnsi"/>
          <w:i/>
          <w:sz w:val="24"/>
          <w:szCs w:val="24"/>
        </w:rPr>
        <w:t>Public Management Review</w:t>
      </w:r>
      <w:r w:rsidRPr="00386DC8">
        <w:rPr>
          <w:rFonts w:ascii="Garamond" w:hAnsi="Garamond" w:cstheme="minorHAnsi"/>
          <w:sz w:val="24"/>
          <w:szCs w:val="24"/>
        </w:rPr>
        <w:t xml:space="preserve"> 7(4):515-36.</w:t>
      </w:r>
    </w:p>
    <w:p w14:paraId="6A4BC4D8" w14:textId="14B11D2F" w:rsidR="0023014B" w:rsidRDefault="004F4E91" w:rsidP="00DD234C">
      <w:pPr>
        <w:spacing w:line="240" w:lineRule="auto"/>
        <w:ind w:left="720" w:hanging="720"/>
        <w:rPr>
          <w:rFonts w:ascii="Garamond" w:hAnsi="Garamond" w:cs="LMSans12-Regular"/>
          <w:sz w:val="24"/>
          <w:szCs w:val="24"/>
        </w:rPr>
      </w:pPr>
      <w:r>
        <w:rPr>
          <w:rFonts w:ascii="Garamond" w:hAnsi="Garamond" w:cstheme="minorHAnsi"/>
          <w:sz w:val="24"/>
          <w:szCs w:val="24"/>
        </w:rPr>
        <w:lastRenderedPageBreak/>
        <w:t>Zegart, Amy B. 2011. “The Roots of Weak Congressional Intelligence Oversight.” Koret-Taube Task Force on National Security and Law, Hoover Institution (</w:t>
      </w:r>
      <w:hyperlink r:id="rId13" w:history="1">
        <w:r w:rsidR="00F6012D" w:rsidRPr="00B707DE">
          <w:rPr>
            <w:rStyle w:val="Hyperlink"/>
            <w:rFonts w:ascii="Garamond" w:hAnsi="Garamond" w:cstheme="minorHAnsi"/>
            <w:sz w:val="24"/>
            <w:szCs w:val="24"/>
          </w:rPr>
          <w:t>https://www.hoover.org/sites/default/files/research/docs/future-challenges-zegart.pdf</w:t>
        </w:r>
      </w:hyperlink>
      <w:r w:rsidR="00A14925">
        <w:rPr>
          <w:rStyle w:val="Hyperlink"/>
          <w:rFonts w:ascii="Garamond" w:hAnsi="Garamond" w:cstheme="minorHAnsi"/>
          <w:sz w:val="24"/>
          <w:szCs w:val="24"/>
        </w:rPr>
        <w:t>)</w:t>
      </w:r>
      <w:r w:rsidR="00DD234C">
        <w:rPr>
          <w:rFonts w:ascii="Garamond" w:hAnsi="Garamond" w:cs="LMSans12-Regular"/>
          <w:sz w:val="24"/>
          <w:szCs w:val="24"/>
        </w:rPr>
        <w:t xml:space="preserve"> </w:t>
      </w:r>
    </w:p>
    <w:sectPr w:rsidR="0023014B" w:rsidSect="002262F0">
      <w:footerReference w:type="default" r:id="rId14"/>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CE4E" w14:textId="77777777" w:rsidR="00C02C64" w:rsidRDefault="00C02C64" w:rsidP="00542DFE">
      <w:pPr>
        <w:spacing w:after="0" w:line="240" w:lineRule="auto"/>
      </w:pPr>
      <w:r>
        <w:separator/>
      </w:r>
    </w:p>
  </w:endnote>
  <w:endnote w:type="continuationSeparator" w:id="0">
    <w:p w14:paraId="069D000F" w14:textId="77777777" w:rsidR="00C02C64" w:rsidRDefault="00C02C64" w:rsidP="0054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LMSans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877742"/>
      <w:docPartObj>
        <w:docPartGallery w:val="Page Numbers (Bottom of Page)"/>
        <w:docPartUnique/>
      </w:docPartObj>
    </w:sdtPr>
    <w:sdtEndPr>
      <w:rPr>
        <w:noProof/>
      </w:rPr>
    </w:sdtEndPr>
    <w:sdtContent>
      <w:p w14:paraId="36381ACE" w14:textId="77777777" w:rsidR="002262F0" w:rsidRDefault="002262F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169109A" w14:textId="77777777" w:rsidR="002262F0" w:rsidRDefault="00226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3DB2F" w14:textId="77777777" w:rsidR="00C02C64" w:rsidRDefault="00C02C64" w:rsidP="00542DFE">
      <w:pPr>
        <w:spacing w:after="0" w:line="240" w:lineRule="auto"/>
      </w:pPr>
      <w:r>
        <w:separator/>
      </w:r>
    </w:p>
  </w:footnote>
  <w:footnote w:type="continuationSeparator" w:id="0">
    <w:p w14:paraId="4AE2E8D9" w14:textId="77777777" w:rsidR="00C02C64" w:rsidRDefault="00C02C64" w:rsidP="00542DFE">
      <w:pPr>
        <w:spacing w:after="0" w:line="240" w:lineRule="auto"/>
      </w:pPr>
      <w:r>
        <w:continuationSeparator/>
      </w:r>
    </w:p>
  </w:footnote>
  <w:footnote w:id="1">
    <w:p w14:paraId="70FE3B1C" w14:textId="6D04EC06" w:rsidR="00C03F9F" w:rsidRPr="00C03F9F" w:rsidRDefault="00C03F9F">
      <w:pPr>
        <w:pStyle w:val="FootnoteText"/>
      </w:pPr>
      <w:r w:rsidRPr="00C03F9F">
        <w:rPr>
          <w:rStyle w:val="FootnoteReference"/>
        </w:rPr>
        <w:footnoteRef/>
      </w:r>
      <w:r w:rsidRPr="00C03F9F">
        <w:t xml:space="preserve"> </w:t>
      </w:r>
      <w:r w:rsidRPr="00C03F9F">
        <w:rPr>
          <w:rFonts w:ascii="Garamond" w:hAnsi="Garamond"/>
        </w:rPr>
        <w:t>While a few impressive recent studies have managed to measure such private oversight activity using administrative records, they can only do so for a subset of agencies from which records could be obtained and can only account for a few types of activities, such as emails, letters, and phone calls made by legislators and their staffers to agencies (Lowande 2018; Lowande, Ritchie, and Lauterbach 2019).</w:t>
      </w:r>
    </w:p>
  </w:footnote>
  <w:footnote w:id="2">
    <w:p w14:paraId="374D5EB0" w14:textId="3DDE66C8" w:rsidR="00C14E58" w:rsidRPr="006C4756" w:rsidRDefault="00C14E58" w:rsidP="00C14E58">
      <w:pPr>
        <w:pStyle w:val="FootnoteText"/>
        <w:rPr>
          <w:rFonts w:ascii="Garamond" w:hAnsi="Garamond"/>
        </w:rPr>
      </w:pPr>
      <w:r w:rsidRPr="006C4756">
        <w:rPr>
          <w:rStyle w:val="FootnoteReference"/>
          <w:rFonts w:ascii="Garamond" w:hAnsi="Garamond"/>
        </w:rPr>
        <w:footnoteRef/>
      </w:r>
      <w:r w:rsidRPr="006C4756">
        <w:rPr>
          <w:rFonts w:ascii="Garamond" w:hAnsi="Garamond"/>
        </w:rPr>
        <w:t xml:space="preserve"> The Princeton University Research Center</w:t>
      </w:r>
      <w:r w:rsidR="00210846">
        <w:rPr>
          <w:rFonts w:ascii="Garamond" w:hAnsi="Garamond"/>
        </w:rPr>
        <w:t xml:space="preserve"> fielded the SFGS </w:t>
      </w:r>
      <w:r w:rsidR="00471447">
        <w:rPr>
          <w:rFonts w:ascii="Garamond" w:hAnsi="Garamond"/>
        </w:rPr>
        <w:t>from June to December of 2020</w:t>
      </w:r>
      <w:r w:rsidRPr="006C4756">
        <w:rPr>
          <w:rFonts w:ascii="Garamond" w:hAnsi="Garamond"/>
        </w:rPr>
        <w:t xml:space="preserve">. Of the 16,232 </w:t>
      </w:r>
      <w:r w:rsidR="00471447">
        <w:rPr>
          <w:rFonts w:ascii="Garamond" w:hAnsi="Garamond"/>
        </w:rPr>
        <w:t xml:space="preserve">executives </w:t>
      </w:r>
      <w:r w:rsidRPr="006C4756">
        <w:rPr>
          <w:rFonts w:ascii="Garamond" w:hAnsi="Garamond"/>
        </w:rPr>
        <w:t>in the sampling frame, 1,485</w:t>
      </w:r>
      <w:r w:rsidR="00471447">
        <w:rPr>
          <w:rFonts w:ascii="Garamond" w:hAnsi="Garamond"/>
        </w:rPr>
        <w:t xml:space="preserve"> (9.1%)</w:t>
      </w:r>
      <w:r w:rsidRPr="006C4756">
        <w:rPr>
          <w:rFonts w:ascii="Garamond" w:hAnsi="Garamond"/>
        </w:rPr>
        <w:t xml:space="preserve"> completed surveys. See </w:t>
      </w:r>
      <w:r>
        <w:rPr>
          <w:rFonts w:ascii="Garamond" w:hAnsi="Garamond"/>
        </w:rPr>
        <w:t>Supplemental Information</w:t>
      </w:r>
      <w:r w:rsidRPr="006C4756">
        <w:rPr>
          <w:rFonts w:ascii="Garamond" w:hAnsi="Garamond"/>
        </w:rPr>
        <w:t xml:space="preserve"> </w:t>
      </w:r>
      <w:r w:rsidR="00531897">
        <w:rPr>
          <w:rFonts w:ascii="Garamond" w:hAnsi="Garamond"/>
        </w:rPr>
        <w:t>Section A</w:t>
      </w:r>
      <w:r w:rsidRPr="006C4756">
        <w:rPr>
          <w:rFonts w:ascii="Garamond" w:hAnsi="Garamond"/>
        </w:rPr>
        <w:t xml:space="preserve"> for more details. </w:t>
      </w:r>
    </w:p>
  </w:footnote>
  <w:footnote w:id="3">
    <w:p w14:paraId="0D779F2A" w14:textId="2936A273" w:rsidR="00E3778A" w:rsidRPr="00E3778A" w:rsidRDefault="00E3778A">
      <w:pPr>
        <w:pStyle w:val="FootnoteText"/>
        <w:rPr>
          <w:rFonts w:ascii="Garamond" w:hAnsi="Garamond"/>
        </w:rPr>
      </w:pPr>
      <w:r w:rsidRPr="00E3778A">
        <w:rPr>
          <w:rStyle w:val="FootnoteReference"/>
          <w:rFonts w:ascii="Garamond" w:hAnsi="Garamond"/>
        </w:rPr>
        <w:footnoteRef/>
      </w:r>
      <w:r w:rsidRPr="00E3778A">
        <w:rPr>
          <w:rFonts w:ascii="Garamond" w:hAnsi="Garamond"/>
        </w:rPr>
        <w:t xml:space="preserve"> The 2020 SFGS</w:t>
      </w:r>
      <w:r>
        <w:rPr>
          <w:rFonts w:ascii="Garamond" w:hAnsi="Garamond"/>
        </w:rPr>
        <w:t xml:space="preserve"> focused on members of the US Senate in asking respondents about senators’ oversight activity because its smaller membership made it more likely that each legislator would receive multiple evaluations than had it focused on the US House of Representatives or both chambers of Congress collectively.  These multiple evaluations for each senator allow us to account for variation across senators and committees.</w:t>
      </w:r>
    </w:p>
  </w:footnote>
  <w:footnote w:id="4">
    <w:p w14:paraId="41EC971C" w14:textId="77777777" w:rsidR="00E3778A" w:rsidRDefault="00E3778A" w:rsidP="00E3778A">
      <w:pPr>
        <w:pStyle w:val="FootnoteText"/>
      </w:pPr>
      <w:r w:rsidRPr="006C4756">
        <w:rPr>
          <w:rStyle w:val="FootnoteReference"/>
          <w:rFonts w:ascii="Garamond" w:hAnsi="Garamond"/>
        </w:rPr>
        <w:footnoteRef/>
      </w:r>
      <w:r w:rsidRPr="006C4756">
        <w:rPr>
          <w:rFonts w:ascii="Garamond" w:hAnsi="Garamond"/>
        </w:rPr>
        <w:t xml:space="preserve"> No respondents provided ratings for two senators: Charles Schumer (D-NY), who did not serve on any committees, and Pat Toomey (R-PA), who only served on two committees in 2020.  </w:t>
      </w:r>
      <w:r>
        <w:rPr>
          <w:rFonts w:ascii="Garamond" w:hAnsi="Garamond"/>
        </w:rPr>
        <w:t>Each of t</w:t>
      </w:r>
      <w:r w:rsidRPr="006C4756">
        <w:rPr>
          <w:rFonts w:ascii="Garamond" w:hAnsi="Garamond"/>
        </w:rPr>
        <w:t>he remaining 98 senators received between 4 and 50 ratings (mean=20.4</w:t>
      </w:r>
      <w:r>
        <w:rPr>
          <w:rFonts w:ascii="Garamond" w:hAnsi="Garamond"/>
        </w:rPr>
        <w:t>1</w:t>
      </w:r>
      <w:r w:rsidRPr="006C4756">
        <w:rPr>
          <w:rFonts w:ascii="Garamond" w:hAnsi="Garamond"/>
        </w:rPr>
        <w:t>, standard deviation=9.6</w:t>
      </w:r>
      <w:r>
        <w:rPr>
          <w:rFonts w:ascii="Garamond" w:hAnsi="Garamond"/>
        </w:rPr>
        <w:t>1</w:t>
      </w:r>
      <w:r w:rsidRPr="006C4756">
        <w:rPr>
          <w:rFonts w:ascii="Garamond" w:hAnsi="Garamond"/>
        </w:rPr>
        <w:t>).</w:t>
      </w:r>
      <w:r>
        <w:rPr>
          <w:rFonts w:ascii="Garamond" w:hAnsi="Garamond"/>
        </w:rPr>
        <w:t xml:space="preserve"> </w:t>
      </w:r>
    </w:p>
  </w:footnote>
  <w:footnote w:id="5">
    <w:p w14:paraId="05AF7803" w14:textId="06A7449B" w:rsidR="00C702D8" w:rsidRPr="00C702D8" w:rsidRDefault="00C702D8">
      <w:pPr>
        <w:pStyle w:val="FootnoteText"/>
        <w:rPr>
          <w:rFonts w:ascii="Garamond" w:hAnsi="Garamond"/>
        </w:rPr>
      </w:pPr>
      <w:r>
        <w:rPr>
          <w:rStyle w:val="FootnoteReference"/>
        </w:rPr>
        <w:footnoteRef/>
      </w:r>
      <w:r>
        <w:t xml:space="preserve"> </w:t>
      </w:r>
      <w:r w:rsidR="004A4357">
        <w:rPr>
          <w:rFonts w:ascii="Garamond" w:hAnsi="Garamond"/>
        </w:rPr>
        <w:t xml:space="preserve">Our model is parameterized to center our latent trait of interest—senators’ oversight effort—at zero, such that positive (negative) values indicate that senators are perceived to exert more (less) effort than the mean level of oversight effort.  </w:t>
      </w:r>
      <w:r>
        <w:rPr>
          <w:rFonts w:ascii="Garamond" w:hAnsi="Garamond"/>
        </w:rPr>
        <w:t xml:space="preserve">Please see Supplemental Information Section </w:t>
      </w:r>
      <w:r w:rsidR="00531897">
        <w:rPr>
          <w:rFonts w:ascii="Garamond" w:hAnsi="Garamond"/>
        </w:rPr>
        <w:t>B</w:t>
      </w:r>
      <w:r>
        <w:rPr>
          <w:rFonts w:ascii="Garamond" w:hAnsi="Garamond"/>
        </w:rPr>
        <w:t xml:space="preserve"> for details on the estimation of our Bayesian IRT model.</w:t>
      </w:r>
    </w:p>
  </w:footnote>
  <w:footnote w:id="6">
    <w:p w14:paraId="5FD7BECE" w14:textId="3629B69E" w:rsidR="006311B3" w:rsidRPr="00AB075F" w:rsidRDefault="006311B3">
      <w:pPr>
        <w:pStyle w:val="FootnoteText"/>
        <w:rPr>
          <w:rFonts w:ascii="Garamond" w:hAnsi="Garamond"/>
        </w:rPr>
      </w:pPr>
      <w:r>
        <w:rPr>
          <w:rStyle w:val="FootnoteReference"/>
        </w:rPr>
        <w:footnoteRef/>
      </w:r>
      <w:r>
        <w:t xml:space="preserve"> </w:t>
      </w:r>
      <w:r w:rsidR="00AB075F">
        <w:rPr>
          <w:rFonts w:ascii="Garamond" w:hAnsi="Garamond"/>
        </w:rPr>
        <w:t>A formal hypothesis test supports this visual evidence, as the 95% credible interval for the differences between the mean ratings among Democratic and Republican senators from each of the 20,000 sampling iterations excludes zero.</w:t>
      </w:r>
    </w:p>
  </w:footnote>
  <w:footnote w:id="7">
    <w:p w14:paraId="76197191" w14:textId="105E563A" w:rsidR="00484A59" w:rsidRPr="006C4756" w:rsidRDefault="00484A59" w:rsidP="00484A59">
      <w:pPr>
        <w:pStyle w:val="FootnoteText"/>
        <w:rPr>
          <w:rFonts w:ascii="Garamond" w:hAnsi="Garamond"/>
        </w:rPr>
      </w:pPr>
      <w:r w:rsidRPr="006C4756">
        <w:rPr>
          <w:rStyle w:val="FootnoteReference"/>
          <w:rFonts w:ascii="Garamond" w:hAnsi="Garamond"/>
        </w:rPr>
        <w:footnoteRef/>
      </w:r>
      <w:r w:rsidRPr="006C4756">
        <w:rPr>
          <w:rFonts w:ascii="Garamond" w:hAnsi="Garamond"/>
        </w:rPr>
        <w:t xml:space="preserve"> We obtain similar results when </w:t>
      </w:r>
      <w:r w:rsidR="00DE5E73">
        <w:rPr>
          <w:rFonts w:ascii="Garamond" w:hAnsi="Garamond"/>
        </w:rPr>
        <w:t>using senators’</w:t>
      </w:r>
      <w:r w:rsidRPr="006C4756">
        <w:rPr>
          <w:rFonts w:ascii="Garamond" w:hAnsi="Garamond"/>
        </w:rPr>
        <w:t xml:space="preserve"> DW-NOMINATE scores</w:t>
      </w:r>
      <w:r w:rsidR="00DE5E73">
        <w:rPr>
          <w:rFonts w:ascii="Garamond" w:hAnsi="Garamond"/>
        </w:rPr>
        <w:t xml:space="preserve"> to</w:t>
      </w:r>
      <w:r w:rsidRPr="006C4756">
        <w:rPr>
          <w:rFonts w:ascii="Garamond" w:hAnsi="Garamond"/>
        </w:rPr>
        <w:t xml:space="preserve"> </w:t>
      </w:r>
      <w:r w:rsidR="00DE5E73">
        <w:rPr>
          <w:rFonts w:ascii="Garamond" w:hAnsi="Garamond"/>
        </w:rPr>
        <w:t>measure</w:t>
      </w:r>
      <w:r w:rsidRPr="006C4756">
        <w:rPr>
          <w:rFonts w:ascii="Garamond" w:hAnsi="Garamond"/>
        </w:rPr>
        <w:t xml:space="preserve"> their </w:t>
      </w:r>
      <w:r w:rsidR="00DE5E73">
        <w:rPr>
          <w:rFonts w:ascii="Garamond" w:hAnsi="Garamond"/>
        </w:rPr>
        <w:t>ideology</w:t>
      </w:r>
      <w:r w:rsidRPr="006C4756">
        <w:rPr>
          <w:rFonts w:ascii="Garamond" w:hAnsi="Garamond"/>
        </w:rPr>
        <w:t xml:space="preserve"> (see Table </w:t>
      </w:r>
      <w:r>
        <w:rPr>
          <w:rFonts w:ascii="Garamond" w:hAnsi="Garamond"/>
        </w:rPr>
        <w:t>SI.</w:t>
      </w:r>
      <w:r w:rsidR="003A2D5E">
        <w:rPr>
          <w:rFonts w:ascii="Garamond" w:hAnsi="Garamond"/>
        </w:rPr>
        <w:t>2</w:t>
      </w:r>
      <w:r w:rsidRPr="006C4756">
        <w:rPr>
          <w:rFonts w:ascii="Garamond" w:hAnsi="Garamond"/>
        </w:rPr>
        <w:t>).</w:t>
      </w:r>
    </w:p>
  </w:footnote>
  <w:footnote w:id="8">
    <w:p w14:paraId="6B923754" w14:textId="6515F981" w:rsidR="00F449F2" w:rsidRPr="00F449F2" w:rsidRDefault="00F449F2">
      <w:pPr>
        <w:pStyle w:val="FootnoteText"/>
        <w:rPr>
          <w:rFonts w:ascii="Garamond" w:hAnsi="Garamond"/>
        </w:rPr>
      </w:pPr>
      <w:r>
        <w:rPr>
          <w:rStyle w:val="FootnoteReference"/>
        </w:rPr>
        <w:footnoteRef/>
      </w:r>
      <w:r>
        <w:t xml:space="preserve"> </w:t>
      </w:r>
      <w:r w:rsidR="00A81086">
        <w:rPr>
          <w:rFonts w:ascii="Garamond" w:hAnsi="Garamond"/>
        </w:rPr>
        <w:t>61</w:t>
      </w:r>
      <w:r>
        <w:rPr>
          <w:rFonts w:ascii="Garamond" w:hAnsi="Garamond"/>
        </w:rPr>
        <w:t xml:space="preserve"> respondents were employed by agencies for which </w:t>
      </w:r>
      <w:r w:rsidRPr="00F449F2">
        <w:rPr>
          <w:rFonts w:ascii="Garamond" w:hAnsi="Garamond"/>
        </w:rPr>
        <w:t>Richardson et al. (2018)</w:t>
      </w:r>
      <w:r>
        <w:rPr>
          <w:rFonts w:ascii="Garamond" w:hAnsi="Garamond"/>
        </w:rPr>
        <w:t xml:space="preserve"> do not provide ideology scores; consequently, their </w:t>
      </w:r>
      <w:r w:rsidR="00A81086">
        <w:rPr>
          <w:rFonts w:ascii="Garamond" w:hAnsi="Garamond"/>
        </w:rPr>
        <w:t>209</w:t>
      </w:r>
      <w:r>
        <w:rPr>
          <w:rFonts w:ascii="Garamond" w:hAnsi="Garamond"/>
        </w:rPr>
        <w:t xml:space="preserve"> respondent-senator-committee observations are omitted from our analysis.</w:t>
      </w:r>
    </w:p>
  </w:footnote>
  <w:footnote w:id="9">
    <w:p w14:paraId="4926C016" w14:textId="6EC3437B" w:rsidR="009703E4" w:rsidRDefault="009703E4" w:rsidP="009703E4">
      <w:pPr>
        <w:pStyle w:val="FootnoteText"/>
      </w:pPr>
      <w:r w:rsidRPr="006C4756">
        <w:rPr>
          <w:rStyle w:val="FootnoteReference"/>
          <w:rFonts w:ascii="Garamond" w:hAnsi="Garamond"/>
        </w:rPr>
        <w:footnoteRef/>
      </w:r>
      <w:r w:rsidRPr="006C4756">
        <w:rPr>
          <w:rFonts w:ascii="Garamond" w:hAnsi="Garamond"/>
        </w:rPr>
        <w:t xml:space="preserve"> Usaspending.gov tracks four types of grant spending: formula, block, project, and cooperative agreement. We focus on project grants since these are the most discretionary. We log our measure of grants due to substantial skewedness.</w:t>
      </w:r>
    </w:p>
  </w:footnote>
  <w:footnote w:id="10">
    <w:p w14:paraId="62DE1137" w14:textId="30627705" w:rsidR="005F3A00" w:rsidRPr="005F3A00" w:rsidRDefault="005F3A00">
      <w:pPr>
        <w:pStyle w:val="FootnoteText"/>
        <w:rPr>
          <w:rFonts w:ascii="Garamond" w:hAnsi="Garamond"/>
        </w:rPr>
      </w:pPr>
      <w:r>
        <w:rPr>
          <w:rStyle w:val="FootnoteReference"/>
        </w:rPr>
        <w:footnoteRef/>
      </w:r>
      <w:r>
        <w:t xml:space="preserve"> </w:t>
      </w:r>
      <w:r>
        <w:rPr>
          <w:rFonts w:ascii="Garamond" w:hAnsi="Garamond"/>
        </w:rPr>
        <w:t xml:space="preserve">Our control variables </w:t>
      </w:r>
      <w:r w:rsidR="00256FD8">
        <w:rPr>
          <w:rFonts w:ascii="Garamond" w:hAnsi="Garamond"/>
        </w:rPr>
        <w:t>come</w:t>
      </w:r>
      <w:r>
        <w:rPr>
          <w:rFonts w:ascii="Garamond" w:hAnsi="Garamond"/>
        </w:rPr>
        <w:t xml:space="preserve"> from </w:t>
      </w:r>
      <w:r w:rsidR="00D943B0">
        <w:rPr>
          <w:rFonts w:ascii="Garamond" w:hAnsi="Garamond"/>
        </w:rPr>
        <w:t>the Center for Effective Lawmaking (</w:t>
      </w:r>
      <w:hyperlink r:id="rId1" w:history="1">
        <w:r w:rsidR="00D943B0" w:rsidRPr="00D943B0">
          <w:rPr>
            <w:rStyle w:val="Hyperlink"/>
            <w:rFonts w:ascii="Garamond" w:hAnsi="Garamond"/>
          </w:rPr>
          <w:t>https://thelawmakers.org/data-download</w:t>
        </w:r>
      </w:hyperlink>
      <w:r w:rsidR="00D943B0">
        <w:rPr>
          <w:rFonts w:ascii="Garamond" w:hAnsi="Garamond"/>
        </w:rPr>
        <w:t>).</w:t>
      </w:r>
    </w:p>
  </w:footnote>
  <w:footnote w:id="11">
    <w:p w14:paraId="1B3194AF" w14:textId="7544FD27" w:rsidR="00F449F2" w:rsidRPr="00F449F2" w:rsidRDefault="00F449F2">
      <w:pPr>
        <w:pStyle w:val="FootnoteText"/>
        <w:rPr>
          <w:rFonts w:ascii="Garamond" w:hAnsi="Garamond"/>
        </w:rPr>
      </w:pPr>
      <w:r>
        <w:rPr>
          <w:rStyle w:val="FootnoteReference"/>
        </w:rPr>
        <w:footnoteRef/>
      </w:r>
      <w:r>
        <w:t xml:space="preserve"> </w:t>
      </w:r>
      <w:r w:rsidR="00E24452">
        <w:rPr>
          <w:rFonts w:ascii="Garamond" w:hAnsi="Garamond"/>
        </w:rPr>
        <w:t>Because t</w:t>
      </w:r>
      <w:r>
        <w:rPr>
          <w:rFonts w:ascii="Garamond" w:hAnsi="Garamond"/>
        </w:rPr>
        <w:t>wo then-current senators—Kelly Loeffler (R-GA) and Martha McSally (R-AZ)—had been appointed to serve out the remainder of their predecessors’ terms</w:t>
      </w:r>
      <w:r w:rsidR="00E24452">
        <w:rPr>
          <w:rFonts w:ascii="Garamond" w:hAnsi="Garamond"/>
        </w:rPr>
        <w:t>, we lacked a measure of the support they received in a previous Senate election and excluded the</w:t>
      </w:r>
      <w:r w:rsidR="00A81086">
        <w:rPr>
          <w:rFonts w:ascii="Garamond" w:hAnsi="Garamond"/>
        </w:rPr>
        <w:t xml:space="preserve"> </w:t>
      </w:r>
      <w:r w:rsidR="00827CCE">
        <w:rPr>
          <w:rFonts w:ascii="Garamond" w:hAnsi="Garamond"/>
        </w:rPr>
        <w:t>22 respondent</w:t>
      </w:r>
      <w:r w:rsidR="00E24452">
        <w:rPr>
          <w:rFonts w:ascii="Garamond" w:hAnsi="Garamond"/>
        </w:rPr>
        <w:t xml:space="preserve"> ratings which involved them.</w:t>
      </w:r>
    </w:p>
  </w:footnote>
  <w:footnote w:id="12">
    <w:p w14:paraId="6EA3E1EF" w14:textId="419B9F94" w:rsidR="00683D77" w:rsidRPr="006C4756" w:rsidRDefault="00683D77" w:rsidP="00683D77">
      <w:pPr>
        <w:pStyle w:val="FootnoteText"/>
        <w:rPr>
          <w:rFonts w:ascii="Garamond" w:hAnsi="Garamond"/>
        </w:rPr>
      </w:pPr>
      <w:r w:rsidRPr="006C4756">
        <w:rPr>
          <w:rStyle w:val="FootnoteReference"/>
          <w:rFonts w:ascii="Garamond" w:hAnsi="Garamond"/>
        </w:rPr>
        <w:footnoteRef/>
      </w:r>
      <w:r w:rsidRPr="006C4756">
        <w:rPr>
          <w:rFonts w:ascii="Garamond" w:hAnsi="Garamond"/>
        </w:rPr>
        <w:t xml:space="preserve"> We use multilevel models to account for non-independence of observations, as each respondent-senator-committee observation is nested within the </w:t>
      </w:r>
      <w:r w:rsidR="00C537E8">
        <w:rPr>
          <w:rFonts w:ascii="Garamond" w:hAnsi="Garamond"/>
        </w:rPr>
        <w:t>agency</w:t>
      </w:r>
      <w:r w:rsidRPr="006C4756">
        <w:rPr>
          <w:rFonts w:ascii="Garamond" w:hAnsi="Garamond"/>
        </w:rPr>
        <w:t xml:space="preserve"> in which the respondent’s agency is housed, a dyad for the committee assignments of each senator, the senator for whom the rating was provided, and the committee which the respondent indicated has primary oversight authority for their agency.  This multilevel approach enables us to both include varying intercepts for each unique </w:t>
      </w:r>
      <w:r w:rsidR="00C537E8">
        <w:rPr>
          <w:rFonts w:ascii="Garamond" w:hAnsi="Garamond"/>
        </w:rPr>
        <w:t>agency</w:t>
      </w:r>
      <w:r w:rsidRPr="006C4756">
        <w:rPr>
          <w:rFonts w:ascii="Garamond" w:hAnsi="Garamond"/>
        </w:rPr>
        <w:t xml:space="preserve">, senator, and committee that account for variation attributable to them and to incorporate the nesting structure in the estimation of our measures of uncertainty (Gelman and Hill 2006).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95F81"/>
    <w:multiLevelType w:val="hybridMultilevel"/>
    <w:tmpl w:val="2EF86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22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FE"/>
    <w:rsid w:val="00004AE0"/>
    <w:rsid w:val="00035279"/>
    <w:rsid w:val="00087FEA"/>
    <w:rsid w:val="000920CC"/>
    <w:rsid w:val="000974F2"/>
    <w:rsid w:val="000A2959"/>
    <w:rsid w:val="000A39F6"/>
    <w:rsid w:val="000A52B4"/>
    <w:rsid w:val="000B563C"/>
    <w:rsid w:val="000C6977"/>
    <w:rsid w:val="000D500A"/>
    <w:rsid w:val="000E0175"/>
    <w:rsid w:val="000F0681"/>
    <w:rsid w:val="000F2270"/>
    <w:rsid w:val="00110739"/>
    <w:rsid w:val="0011539E"/>
    <w:rsid w:val="001361BB"/>
    <w:rsid w:val="001441BE"/>
    <w:rsid w:val="00145668"/>
    <w:rsid w:val="0015504D"/>
    <w:rsid w:val="001622B9"/>
    <w:rsid w:val="001754A3"/>
    <w:rsid w:val="001758C9"/>
    <w:rsid w:val="00175A54"/>
    <w:rsid w:val="00183A68"/>
    <w:rsid w:val="00185BC4"/>
    <w:rsid w:val="00192B55"/>
    <w:rsid w:val="001953B6"/>
    <w:rsid w:val="001B0605"/>
    <w:rsid w:val="001C05AF"/>
    <w:rsid w:val="001C7586"/>
    <w:rsid w:val="001D0595"/>
    <w:rsid w:val="001D52B3"/>
    <w:rsid w:val="001D6B29"/>
    <w:rsid w:val="001D6D36"/>
    <w:rsid w:val="001E4E14"/>
    <w:rsid w:val="00210846"/>
    <w:rsid w:val="002120D0"/>
    <w:rsid w:val="0021430C"/>
    <w:rsid w:val="002262F0"/>
    <w:rsid w:val="0023014B"/>
    <w:rsid w:val="002422D5"/>
    <w:rsid w:val="002428AF"/>
    <w:rsid w:val="00251F61"/>
    <w:rsid w:val="00256FD8"/>
    <w:rsid w:val="00257714"/>
    <w:rsid w:val="00264081"/>
    <w:rsid w:val="002675B7"/>
    <w:rsid w:val="0029296C"/>
    <w:rsid w:val="00293CAE"/>
    <w:rsid w:val="00296957"/>
    <w:rsid w:val="002B2D15"/>
    <w:rsid w:val="002B7571"/>
    <w:rsid w:val="002C2CE5"/>
    <w:rsid w:val="002C5C75"/>
    <w:rsid w:val="002D1D6A"/>
    <w:rsid w:val="002D66FD"/>
    <w:rsid w:val="002F0799"/>
    <w:rsid w:val="00303B61"/>
    <w:rsid w:val="0033192D"/>
    <w:rsid w:val="003416B0"/>
    <w:rsid w:val="0034273A"/>
    <w:rsid w:val="00345299"/>
    <w:rsid w:val="0035503B"/>
    <w:rsid w:val="00360D01"/>
    <w:rsid w:val="0037065B"/>
    <w:rsid w:val="00371449"/>
    <w:rsid w:val="00395A50"/>
    <w:rsid w:val="003A2D5E"/>
    <w:rsid w:val="003A59C4"/>
    <w:rsid w:val="003B39C2"/>
    <w:rsid w:val="003B3ECF"/>
    <w:rsid w:val="003D0B2C"/>
    <w:rsid w:val="003D4CA3"/>
    <w:rsid w:val="003E069E"/>
    <w:rsid w:val="003F0391"/>
    <w:rsid w:val="003F1571"/>
    <w:rsid w:val="003F3FA0"/>
    <w:rsid w:val="00400556"/>
    <w:rsid w:val="00407AEA"/>
    <w:rsid w:val="00422C62"/>
    <w:rsid w:val="00423338"/>
    <w:rsid w:val="0042733C"/>
    <w:rsid w:val="004315E1"/>
    <w:rsid w:val="00432132"/>
    <w:rsid w:val="00435071"/>
    <w:rsid w:val="00435671"/>
    <w:rsid w:val="00435F98"/>
    <w:rsid w:val="00437E02"/>
    <w:rsid w:val="00440AD2"/>
    <w:rsid w:val="00440F04"/>
    <w:rsid w:val="00451707"/>
    <w:rsid w:val="00461416"/>
    <w:rsid w:val="004648F1"/>
    <w:rsid w:val="00470C1A"/>
    <w:rsid w:val="00471447"/>
    <w:rsid w:val="00477E5F"/>
    <w:rsid w:val="00480E11"/>
    <w:rsid w:val="00483A70"/>
    <w:rsid w:val="00484A59"/>
    <w:rsid w:val="004937E3"/>
    <w:rsid w:val="00493F3F"/>
    <w:rsid w:val="00494EC8"/>
    <w:rsid w:val="004A4357"/>
    <w:rsid w:val="004E0FE8"/>
    <w:rsid w:val="004E7C84"/>
    <w:rsid w:val="004F166D"/>
    <w:rsid w:val="004F4E91"/>
    <w:rsid w:val="004F767C"/>
    <w:rsid w:val="005065B1"/>
    <w:rsid w:val="0052716C"/>
    <w:rsid w:val="00531305"/>
    <w:rsid w:val="00531897"/>
    <w:rsid w:val="0053345B"/>
    <w:rsid w:val="0053676B"/>
    <w:rsid w:val="00537A5C"/>
    <w:rsid w:val="0054038A"/>
    <w:rsid w:val="00542DFE"/>
    <w:rsid w:val="00547B0B"/>
    <w:rsid w:val="00552DE7"/>
    <w:rsid w:val="00554831"/>
    <w:rsid w:val="005747D2"/>
    <w:rsid w:val="005761EC"/>
    <w:rsid w:val="00580820"/>
    <w:rsid w:val="0058266F"/>
    <w:rsid w:val="005A31F6"/>
    <w:rsid w:val="005A3BE1"/>
    <w:rsid w:val="005A51E0"/>
    <w:rsid w:val="005A627C"/>
    <w:rsid w:val="005B07F5"/>
    <w:rsid w:val="005B2147"/>
    <w:rsid w:val="005B52DC"/>
    <w:rsid w:val="005C34B4"/>
    <w:rsid w:val="005C7A38"/>
    <w:rsid w:val="005D6FF8"/>
    <w:rsid w:val="005E3444"/>
    <w:rsid w:val="005E60DA"/>
    <w:rsid w:val="005F0C8A"/>
    <w:rsid w:val="005F0FA0"/>
    <w:rsid w:val="005F3A00"/>
    <w:rsid w:val="005F4219"/>
    <w:rsid w:val="005F4BD0"/>
    <w:rsid w:val="005F70C6"/>
    <w:rsid w:val="005F73B1"/>
    <w:rsid w:val="00604873"/>
    <w:rsid w:val="00613A8E"/>
    <w:rsid w:val="00616933"/>
    <w:rsid w:val="00617376"/>
    <w:rsid w:val="00620FD0"/>
    <w:rsid w:val="00622519"/>
    <w:rsid w:val="00623C70"/>
    <w:rsid w:val="006241AD"/>
    <w:rsid w:val="006311B3"/>
    <w:rsid w:val="00631510"/>
    <w:rsid w:val="00635584"/>
    <w:rsid w:val="00641B09"/>
    <w:rsid w:val="00642A10"/>
    <w:rsid w:val="006435D4"/>
    <w:rsid w:val="00647016"/>
    <w:rsid w:val="00647D7A"/>
    <w:rsid w:val="0066052A"/>
    <w:rsid w:val="0067171D"/>
    <w:rsid w:val="00683D77"/>
    <w:rsid w:val="00697F2E"/>
    <w:rsid w:val="006A2530"/>
    <w:rsid w:val="006B27AA"/>
    <w:rsid w:val="006C1A05"/>
    <w:rsid w:val="006D4823"/>
    <w:rsid w:val="006F19B3"/>
    <w:rsid w:val="006F352B"/>
    <w:rsid w:val="007131C2"/>
    <w:rsid w:val="00721E9B"/>
    <w:rsid w:val="00725336"/>
    <w:rsid w:val="00727298"/>
    <w:rsid w:val="007412EA"/>
    <w:rsid w:val="007517D1"/>
    <w:rsid w:val="0075691A"/>
    <w:rsid w:val="00770232"/>
    <w:rsid w:val="00783597"/>
    <w:rsid w:val="007872E9"/>
    <w:rsid w:val="007920D5"/>
    <w:rsid w:val="007A1305"/>
    <w:rsid w:val="007A1BD1"/>
    <w:rsid w:val="007A1DFF"/>
    <w:rsid w:val="007A3B46"/>
    <w:rsid w:val="007C0868"/>
    <w:rsid w:val="007D1641"/>
    <w:rsid w:val="007D3673"/>
    <w:rsid w:val="007D4F2F"/>
    <w:rsid w:val="007E05C5"/>
    <w:rsid w:val="007F00F5"/>
    <w:rsid w:val="007F0D11"/>
    <w:rsid w:val="007F0E31"/>
    <w:rsid w:val="00802CA6"/>
    <w:rsid w:val="008113CA"/>
    <w:rsid w:val="00815B24"/>
    <w:rsid w:val="00821C54"/>
    <w:rsid w:val="00822B59"/>
    <w:rsid w:val="00823F7D"/>
    <w:rsid w:val="00827CCE"/>
    <w:rsid w:val="008335AE"/>
    <w:rsid w:val="008409B4"/>
    <w:rsid w:val="008473AD"/>
    <w:rsid w:val="00857096"/>
    <w:rsid w:val="008655FA"/>
    <w:rsid w:val="00872753"/>
    <w:rsid w:val="00882B6A"/>
    <w:rsid w:val="00883D9F"/>
    <w:rsid w:val="0089129E"/>
    <w:rsid w:val="008A0BB3"/>
    <w:rsid w:val="008A69E7"/>
    <w:rsid w:val="008B2CF6"/>
    <w:rsid w:val="008C525C"/>
    <w:rsid w:val="008D1D8B"/>
    <w:rsid w:val="008E05B8"/>
    <w:rsid w:val="008E1F13"/>
    <w:rsid w:val="008E2921"/>
    <w:rsid w:val="008E7BDE"/>
    <w:rsid w:val="008F09F9"/>
    <w:rsid w:val="009031A8"/>
    <w:rsid w:val="00917320"/>
    <w:rsid w:val="0092097E"/>
    <w:rsid w:val="009278C0"/>
    <w:rsid w:val="00933F34"/>
    <w:rsid w:val="009354C0"/>
    <w:rsid w:val="00943CA4"/>
    <w:rsid w:val="009703E4"/>
    <w:rsid w:val="00976D3A"/>
    <w:rsid w:val="00991825"/>
    <w:rsid w:val="00994A19"/>
    <w:rsid w:val="00997E05"/>
    <w:rsid w:val="009A2B56"/>
    <w:rsid w:val="009A5249"/>
    <w:rsid w:val="009A692D"/>
    <w:rsid w:val="009C47BE"/>
    <w:rsid w:val="009C4D53"/>
    <w:rsid w:val="009D164A"/>
    <w:rsid w:val="009D7EF4"/>
    <w:rsid w:val="009E78D4"/>
    <w:rsid w:val="00A046A4"/>
    <w:rsid w:val="00A14925"/>
    <w:rsid w:val="00A23E52"/>
    <w:rsid w:val="00A31ECC"/>
    <w:rsid w:val="00A409AB"/>
    <w:rsid w:val="00A43AE4"/>
    <w:rsid w:val="00A5497B"/>
    <w:rsid w:val="00A73A19"/>
    <w:rsid w:val="00A81086"/>
    <w:rsid w:val="00A840F0"/>
    <w:rsid w:val="00A92A19"/>
    <w:rsid w:val="00AB075F"/>
    <w:rsid w:val="00AB7EEF"/>
    <w:rsid w:val="00AC1B04"/>
    <w:rsid w:val="00AD27B4"/>
    <w:rsid w:val="00AD4F2C"/>
    <w:rsid w:val="00AD79C7"/>
    <w:rsid w:val="00AF255A"/>
    <w:rsid w:val="00AF3175"/>
    <w:rsid w:val="00B00653"/>
    <w:rsid w:val="00B02FB1"/>
    <w:rsid w:val="00B06959"/>
    <w:rsid w:val="00B15950"/>
    <w:rsid w:val="00B2310C"/>
    <w:rsid w:val="00B2520D"/>
    <w:rsid w:val="00B30EE5"/>
    <w:rsid w:val="00B42333"/>
    <w:rsid w:val="00B54B4A"/>
    <w:rsid w:val="00B81849"/>
    <w:rsid w:val="00BB1A42"/>
    <w:rsid w:val="00BB2357"/>
    <w:rsid w:val="00BB306A"/>
    <w:rsid w:val="00BC70CF"/>
    <w:rsid w:val="00BD2CD3"/>
    <w:rsid w:val="00BD5C92"/>
    <w:rsid w:val="00BE38CA"/>
    <w:rsid w:val="00BE5DE4"/>
    <w:rsid w:val="00BE689F"/>
    <w:rsid w:val="00BF1CEB"/>
    <w:rsid w:val="00C000A8"/>
    <w:rsid w:val="00C02C64"/>
    <w:rsid w:val="00C03F9F"/>
    <w:rsid w:val="00C05BCF"/>
    <w:rsid w:val="00C0689B"/>
    <w:rsid w:val="00C14E58"/>
    <w:rsid w:val="00C154FE"/>
    <w:rsid w:val="00C24E73"/>
    <w:rsid w:val="00C31874"/>
    <w:rsid w:val="00C35193"/>
    <w:rsid w:val="00C428BB"/>
    <w:rsid w:val="00C50E78"/>
    <w:rsid w:val="00C537E8"/>
    <w:rsid w:val="00C702D8"/>
    <w:rsid w:val="00C73F08"/>
    <w:rsid w:val="00C764EE"/>
    <w:rsid w:val="00C80415"/>
    <w:rsid w:val="00C87719"/>
    <w:rsid w:val="00C963A6"/>
    <w:rsid w:val="00CA34AC"/>
    <w:rsid w:val="00CA5A1C"/>
    <w:rsid w:val="00CA6BC0"/>
    <w:rsid w:val="00CC0562"/>
    <w:rsid w:val="00CC33DE"/>
    <w:rsid w:val="00CD443A"/>
    <w:rsid w:val="00CE09C1"/>
    <w:rsid w:val="00CE4AB0"/>
    <w:rsid w:val="00CF1254"/>
    <w:rsid w:val="00CF3E77"/>
    <w:rsid w:val="00CF57C1"/>
    <w:rsid w:val="00D01950"/>
    <w:rsid w:val="00D04411"/>
    <w:rsid w:val="00D1181F"/>
    <w:rsid w:val="00D359BA"/>
    <w:rsid w:val="00D37AFC"/>
    <w:rsid w:val="00D42476"/>
    <w:rsid w:val="00D44ADA"/>
    <w:rsid w:val="00D45912"/>
    <w:rsid w:val="00D50278"/>
    <w:rsid w:val="00D52A24"/>
    <w:rsid w:val="00D57072"/>
    <w:rsid w:val="00D837C4"/>
    <w:rsid w:val="00D858AD"/>
    <w:rsid w:val="00D9220A"/>
    <w:rsid w:val="00D93DF2"/>
    <w:rsid w:val="00D943B0"/>
    <w:rsid w:val="00D9443D"/>
    <w:rsid w:val="00D95AEF"/>
    <w:rsid w:val="00D962EF"/>
    <w:rsid w:val="00DA0A67"/>
    <w:rsid w:val="00DA0EFD"/>
    <w:rsid w:val="00DB284C"/>
    <w:rsid w:val="00DD234C"/>
    <w:rsid w:val="00DD542A"/>
    <w:rsid w:val="00DD6A07"/>
    <w:rsid w:val="00DE48E3"/>
    <w:rsid w:val="00DE5E73"/>
    <w:rsid w:val="00DE6580"/>
    <w:rsid w:val="00DF1F48"/>
    <w:rsid w:val="00DF72AB"/>
    <w:rsid w:val="00E04E4F"/>
    <w:rsid w:val="00E207B2"/>
    <w:rsid w:val="00E2083B"/>
    <w:rsid w:val="00E24452"/>
    <w:rsid w:val="00E2486C"/>
    <w:rsid w:val="00E2661C"/>
    <w:rsid w:val="00E35B00"/>
    <w:rsid w:val="00E3778A"/>
    <w:rsid w:val="00E578D3"/>
    <w:rsid w:val="00E61DAF"/>
    <w:rsid w:val="00E70FE7"/>
    <w:rsid w:val="00E95592"/>
    <w:rsid w:val="00EA0472"/>
    <w:rsid w:val="00EA64CB"/>
    <w:rsid w:val="00EA7B04"/>
    <w:rsid w:val="00EB089D"/>
    <w:rsid w:val="00EB18D2"/>
    <w:rsid w:val="00EB46F2"/>
    <w:rsid w:val="00EB7C74"/>
    <w:rsid w:val="00EC592C"/>
    <w:rsid w:val="00ED18B0"/>
    <w:rsid w:val="00ED68C9"/>
    <w:rsid w:val="00F23C37"/>
    <w:rsid w:val="00F3439F"/>
    <w:rsid w:val="00F343BB"/>
    <w:rsid w:val="00F3498C"/>
    <w:rsid w:val="00F3601F"/>
    <w:rsid w:val="00F40668"/>
    <w:rsid w:val="00F417FE"/>
    <w:rsid w:val="00F444B7"/>
    <w:rsid w:val="00F449F2"/>
    <w:rsid w:val="00F47DF5"/>
    <w:rsid w:val="00F6012D"/>
    <w:rsid w:val="00F64534"/>
    <w:rsid w:val="00F6646C"/>
    <w:rsid w:val="00F72A5C"/>
    <w:rsid w:val="00F8363F"/>
    <w:rsid w:val="00F86885"/>
    <w:rsid w:val="00FA5217"/>
    <w:rsid w:val="00FC2B7E"/>
    <w:rsid w:val="00FF4A66"/>
    <w:rsid w:val="00FF4AA9"/>
    <w:rsid w:val="00FF59FD"/>
    <w:rsid w:val="00FF6D0D"/>
    <w:rsid w:val="00FF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95F5"/>
  <w15:docId w15:val="{9C265B3B-E9E3-4D6A-A620-DBFB1368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42DFE"/>
    <w:pPr>
      <w:spacing w:after="0" w:line="240" w:lineRule="auto"/>
    </w:pPr>
    <w:rPr>
      <w:sz w:val="20"/>
      <w:szCs w:val="20"/>
    </w:rPr>
  </w:style>
  <w:style w:type="character" w:customStyle="1" w:styleId="FootnoteTextChar">
    <w:name w:val="Footnote Text Char"/>
    <w:basedOn w:val="DefaultParagraphFont"/>
    <w:link w:val="FootnoteText"/>
    <w:uiPriority w:val="99"/>
    <w:rsid w:val="00542DFE"/>
    <w:rPr>
      <w:sz w:val="20"/>
      <w:szCs w:val="20"/>
    </w:rPr>
  </w:style>
  <w:style w:type="character" w:styleId="FootnoteReference">
    <w:name w:val="footnote reference"/>
    <w:basedOn w:val="DefaultParagraphFont"/>
    <w:uiPriority w:val="99"/>
    <w:unhideWhenUsed/>
    <w:rsid w:val="00542DFE"/>
    <w:rPr>
      <w:vertAlign w:val="superscript"/>
    </w:rPr>
  </w:style>
  <w:style w:type="character" w:styleId="CommentReference">
    <w:name w:val="annotation reference"/>
    <w:basedOn w:val="DefaultParagraphFont"/>
    <w:uiPriority w:val="99"/>
    <w:semiHidden/>
    <w:unhideWhenUsed/>
    <w:rsid w:val="00A840F0"/>
    <w:rPr>
      <w:sz w:val="16"/>
      <w:szCs w:val="16"/>
    </w:rPr>
  </w:style>
  <w:style w:type="paragraph" w:styleId="CommentText">
    <w:name w:val="annotation text"/>
    <w:basedOn w:val="Normal"/>
    <w:link w:val="CommentTextChar"/>
    <w:uiPriority w:val="99"/>
    <w:semiHidden/>
    <w:unhideWhenUsed/>
    <w:rsid w:val="00A840F0"/>
    <w:pPr>
      <w:spacing w:line="240" w:lineRule="auto"/>
    </w:pPr>
    <w:rPr>
      <w:sz w:val="20"/>
      <w:szCs w:val="20"/>
    </w:rPr>
  </w:style>
  <w:style w:type="character" w:customStyle="1" w:styleId="CommentTextChar">
    <w:name w:val="Comment Text Char"/>
    <w:basedOn w:val="DefaultParagraphFont"/>
    <w:link w:val="CommentText"/>
    <w:uiPriority w:val="99"/>
    <w:semiHidden/>
    <w:rsid w:val="00A840F0"/>
    <w:rPr>
      <w:sz w:val="20"/>
      <w:szCs w:val="20"/>
    </w:rPr>
  </w:style>
  <w:style w:type="paragraph" w:styleId="BalloonText">
    <w:name w:val="Balloon Text"/>
    <w:basedOn w:val="Normal"/>
    <w:link w:val="BalloonTextChar"/>
    <w:uiPriority w:val="99"/>
    <w:semiHidden/>
    <w:unhideWhenUsed/>
    <w:rsid w:val="00A84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0F0"/>
    <w:rPr>
      <w:rFonts w:ascii="Segoe UI" w:hAnsi="Segoe UI" w:cs="Segoe UI"/>
      <w:sz w:val="18"/>
      <w:szCs w:val="18"/>
    </w:rPr>
  </w:style>
  <w:style w:type="character" w:styleId="Hyperlink">
    <w:name w:val="Hyperlink"/>
    <w:basedOn w:val="DefaultParagraphFont"/>
    <w:uiPriority w:val="99"/>
    <w:unhideWhenUsed/>
    <w:rsid w:val="0015504D"/>
    <w:rPr>
      <w:color w:val="0563C1" w:themeColor="hyperlink"/>
      <w:u w:val="single"/>
    </w:rPr>
  </w:style>
  <w:style w:type="paragraph" w:styleId="Header">
    <w:name w:val="header"/>
    <w:basedOn w:val="Normal"/>
    <w:link w:val="HeaderChar"/>
    <w:uiPriority w:val="99"/>
    <w:unhideWhenUsed/>
    <w:rsid w:val="008E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21"/>
  </w:style>
  <w:style w:type="paragraph" w:styleId="Footer">
    <w:name w:val="footer"/>
    <w:basedOn w:val="Normal"/>
    <w:link w:val="FooterChar"/>
    <w:uiPriority w:val="99"/>
    <w:unhideWhenUsed/>
    <w:rsid w:val="008E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21"/>
  </w:style>
  <w:style w:type="character" w:styleId="UnresolvedMention">
    <w:name w:val="Unresolved Mention"/>
    <w:basedOn w:val="DefaultParagraphFont"/>
    <w:uiPriority w:val="99"/>
    <w:semiHidden/>
    <w:unhideWhenUsed/>
    <w:rsid w:val="00D943B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57072"/>
    <w:rPr>
      <w:b/>
      <w:bCs/>
    </w:rPr>
  </w:style>
  <w:style w:type="character" w:customStyle="1" w:styleId="CommentSubjectChar">
    <w:name w:val="Comment Subject Char"/>
    <w:basedOn w:val="CommentTextChar"/>
    <w:link w:val="CommentSubject"/>
    <w:uiPriority w:val="99"/>
    <w:semiHidden/>
    <w:rsid w:val="00D57072"/>
    <w:rPr>
      <w:b/>
      <w:bCs/>
      <w:sz w:val="20"/>
      <w:szCs w:val="20"/>
    </w:rPr>
  </w:style>
  <w:style w:type="character" w:styleId="FollowedHyperlink">
    <w:name w:val="FollowedHyperlink"/>
    <w:basedOn w:val="DefaultParagraphFont"/>
    <w:uiPriority w:val="99"/>
    <w:semiHidden/>
    <w:unhideWhenUsed/>
    <w:rsid w:val="00E2661C"/>
    <w:rPr>
      <w:color w:val="954F72" w:themeColor="followedHyperlink"/>
      <w:u w:val="single"/>
    </w:rPr>
  </w:style>
  <w:style w:type="paragraph" w:styleId="ListParagraph">
    <w:name w:val="List Paragraph"/>
    <w:basedOn w:val="Normal"/>
    <w:uiPriority w:val="34"/>
    <w:qFormat/>
    <w:rsid w:val="00BF1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044601">
      <w:bodyDiv w:val="1"/>
      <w:marLeft w:val="0"/>
      <w:marRight w:val="0"/>
      <w:marTop w:val="0"/>
      <w:marBottom w:val="0"/>
      <w:divBdr>
        <w:top w:val="none" w:sz="0" w:space="0" w:color="auto"/>
        <w:left w:val="none" w:sz="0" w:space="0" w:color="auto"/>
        <w:bottom w:val="none" w:sz="0" w:space="0" w:color="auto"/>
        <w:right w:val="none" w:sz="0" w:space="0" w:color="auto"/>
      </w:divBdr>
    </w:div>
    <w:div w:id="1755006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hoover.org/sites/default/files/research/docs/future-challenges-zegar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x.com/policy-and-politics/2018/4/16/16978484/lamar-alexander-retirement-health-care-obamacare-repeal-sen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gp.fas.org/crs/misc/R41079.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thelawmakers.org/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83D12-8D86-4714-9365-67DCA17F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3267</Words>
  <Characters>20066</Characters>
  <Application>Microsoft Office Word</Application>
  <DocSecurity>0</DocSecurity>
  <Lines>401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David Eric</dc:creator>
  <cp:keywords/>
  <dc:description/>
  <cp:lastModifiedBy>David</cp:lastModifiedBy>
  <cp:revision>4</cp:revision>
  <cp:lastPrinted>2022-06-02T15:32:00Z</cp:lastPrinted>
  <dcterms:created xsi:type="dcterms:W3CDTF">2022-06-21T14:28:00Z</dcterms:created>
  <dcterms:modified xsi:type="dcterms:W3CDTF">2022-06-27T13:58:00Z</dcterms:modified>
</cp:coreProperties>
</file>