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3864"/>
          <w:sz w:val="44"/>
          <w:szCs w:val="44"/>
        </w:rPr>
        <w:t xml:space="preserve">Token Chat — Project Development Plan</w:t>
      </w:r>
    </w:p>
    <w:p>
      <w:pPr>
        <w:spacing w:after="60"/>
        <w:jc w:val="center"/>
      </w:pPr>
      <w:r>
        <w:rPr>
          <w:color w:val="555555"/>
          <w:sz w:val="26"/>
          <w:szCs w:val="26"/>
        </w:rPr>
        <w:t xml:space="preserve">Chat MVP (Phases 0–5) + Trading Module (Phases 6–7)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Companion to brief.md / prd.md / trading-module-update.docx  ·  August 24, 2026</w:t>
      </w:r>
    </w:p>
    <w:p>
      <w:pPr>
        <w:pStyle w:val="Heading1"/>
        <w:spacing w:after="120" w:before="280"/>
      </w:pPr>
      <w:r>
        <w:t xml:space="preserve">1. Purpose &amp; Assumptions</w:t>
      </w:r>
    </w:p>
    <w:p>
      <w:pPr>
        <w:spacing w:after="120"/>
      </w:pPr>
      <w:r>
        <w:t xml:space="preserve">A practical development plan with phases, tasks, owners, and timelines to ship the token-scoped chat MVP quickly, followed by the in-extension trading module. Designed for a small engineering team with clear upgrade paths.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Chain — UNRESOLVED (blocking for Phase 6): </w:t>
      </w:r>
      <w:r>
        <w:t xml:space="preserve">brief says Solana; PRD says Robinhood Chain. Target terminals (GMGN, Axiom, Padre) may span both — Frontrun supports Solana and Robinhood. Decide before any execution-engine work.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Realtime: </w:t>
      </w:r>
      <w:r>
        <w:t xml:space="preserve">start with a managed provider (Supabase Realtime or Ably) behind an adapter abstraction.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UI: </w:t>
      </w:r>
      <w:r>
        <w:t xml:space="preserve">one shared React chat/trade component used by the web app and the extension iframe.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Team: </w:t>
      </w:r>
      <w:r>
        <w:t xml:space="preserve">2 engineers (frontend/backend), 1 product owner, 1 QA/ops. Phases 6–7 require at least one engineer with prior on-chain transaction infrastructure experience — plan a third engineer or contractor for the execution engine if neither current engineer qualifies.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Wallet keys: </w:t>
      </w:r>
      <w:r>
        <w:t xml:space="preserve">secure-enclave provider only (Turnkey or Privy). Self-managed key storage is prohibited.</w:t>
      </w:r>
    </w:p>
    <w:p>
      <w:pPr>
        <w:pStyle w:val="Heading1"/>
        <w:spacing w:after="120" w:before="280"/>
      </w:pPr>
      <w:r>
        <w:t xml:space="preserve">2. Phases &amp; Timeline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5750"/>
        <w:gridCol w:w="1900"/>
      </w:tblGrid>
      <w:tr>
        <w:trPr>
          <w:tblHeader/>
        </w:trPr>
        <w:tc>
          <w:tcPr>
            <w:tcW w:type="dxa" w:w="205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5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 &amp; deliverable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— Spike</w:t>
            </w:r>
          </w:p>
        </w:tc>
        <w:tc>
          <w:tcPr>
            <w:tcW w:type="dxa" w:w="5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CA detection on GMGN, Axiom, Padre (URL vs DOM); test host-page CSP tolerance for injected iframes; confirm SPA navigation handling; record which chains each site lists. Deliverable: detection report with selectors, URL patterns, CSP findings, and chain evidence.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05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Core Backend</w:t>
            </w:r>
          </w:p>
        </w:tc>
        <w:tc>
          <w:tcPr>
            <w:tcW w:type="dxa" w:w="575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 model, messages API, Postgres persistence, rate-limiting primitives, realtime adapter (managed provider), ephemeral sessions + optional WalletConnect. Deliverable: deployed API with docs and schema.</w:t>
            </w:r>
          </w:p>
        </w:tc>
        <w:tc>
          <w:tcPr>
            <w:tcW w:type="dxa" w:w="19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— Web App</w:t>
            </w:r>
          </w:p>
        </w:tc>
        <w:tc>
          <w:tcPr>
            <w:tcW w:type="dxa" w:w="5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/room/&lt;CA&gt; and /embed/&lt;CA&gt; routes, chat UI, join flow, paste-CA fallback, report/mute, presence. Deliverable: deployed web app + e2e happy path.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205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— Extension MVP</w:t>
            </w:r>
          </w:p>
        </w:tc>
        <w:tc>
          <w:tcPr>
            <w:tcW w:type="dxa" w:w="575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Manifest V3 extension for GMGN only: detection content script, sandboxed iframe injection, host permissions scoped to GMGN. Deliverable: extension package + internal install guide.</w:t>
            </w:r>
          </w:p>
        </w:tc>
        <w:tc>
          <w:tcPr>
            <w:tcW w:type="dxa" w:w="19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— Additional Sites</w:t>
            </w:r>
          </w:p>
        </w:tc>
        <w:tc>
          <w:tcPr>
            <w:tcW w:type="dxa" w:w="5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Axiom &amp; Padre detectors, UX polish, rate-limit tuning, moderation rules finalized. Deliverable: public-ready extension + cross-site QA report.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205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— Identity &amp; Moderation</w:t>
            </w:r>
          </w:p>
        </w:tc>
        <w:tc>
          <w:tcPr>
            <w:tcW w:type="dxa" w:w="575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WalletConnect expanded, verified badge, graduated rate-limit tiers, scam-link filtering, ban lists. Deliverable: basic moderation dashboard + procedures.</w:t>
            </w:r>
          </w:p>
        </w:tc>
        <w:tc>
          <w:tcPr>
            <w:tcW w:type="dxa" w:w="19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— Trading Alpha</w:t>
            </w:r>
          </w:p>
        </w:tc>
        <w:tc>
          <w:tcPr>
            <w:tcW w:type="dxa" w:w="5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Turnkey/Privy embedded wallet + signing policy, deposit flow, market buy/sell via aggregator, trade panel (presets), single chain, whitelist only, internal dogfooding with small real balances. Deliverable: whitelisted users deposit, buy, sell, and see confirmations reliably.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3–5 weeks</w:t>
            </w:r>
          </w:p>
        </w:tc>
      </w:tr>
      <w:tr>
        <w:tc>
          <w:tcPr>
            <w:tcW w:type="dxa" w:w="205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— Trading GA</w:t>
            </w:r>
          </w:p>
        </w:tc>
        <w:tc>
          <w:tcPr>
            <w:tcW w:type="dxa" w:w="575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Withdrawals, hotkeys, position + PnL, fee capture + accounting, Jito/MEV hardening, pen test of widget boundary, legal sign-off, Chrome Web Store re-review, open access. Deliverable: open-access trading with fee revenue live.</w:t>
            </w:r>
          </w:p>
        </w:tc>
        <w:tc>
          <w:tcPr>
            <w:tcW w:type="dxa" w:w="19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3–5 weeks</w:t>
            </w:r>
          </w:p>
        </w:tc>
      </w:tr>
    </w:tbl>
    <w:p>
      <w:pPr>
        <w:spacing w:after="120"/>
      </w:pPr>
      <w:r>
        <w:rPr>
          <w:i/>
          <w:iCs/>
        </w:rPr>
        <w:t xml:space="preserve">Chat MVP (0–5): roughly 9–12 weeks. Trading (6–7): +6–10 weeks. Chat is not blocked on trading; it validates detection, injection, and distribution, all of which trading reuses.</w:t>
      </w:r>
    </w:p>
    <w:p>
      <w:pPr>
        <w:pStyle w:val="Heading1"/>
        <w:spacing w:after="120" w:before="280"/>
      </w:pPr>
      <w:r>
        <w:t xml:space="preserve">3. Task List by Role</w:t>
      </w:r>
    </w:p>
    <w:p>
      <w:pPr>
        <w:pStyle w:val="Heading2"/>
        <w:spacing w:after="90" w:before="180"/>
      </w:pPr>
      <w:r>
        <w:t xml:space="preserve">Backend Engineer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Schema: rooms, messages, identities, reports tables (chain-aware CA normalization — never lowercase Solana base58 addresses).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API: REST/WebSocket endpoints for join, send, fetch history, report, admin ban.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Realtime: provider adapter + reconnection handling with backend-confirmed history fetch.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Rate limits: per-identity and per-IP throttling middleware (IP as one signal, not the primary control).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Tests: unit tests for APIs; integration test for message persistence.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Trading (Phase 6+): key-infra adapter (Turnkey/Privy), signing policy configuration (per-tx caps, allowed programs), execution service (aggregator routing, priority fees, retries, confirmation tracking, multi-RPC failover), deposit detection, withdrawal processing, fee ledger.</w:t>
      </w:r>
    </w:p>
    <w:p>
      <w:pPr>
        <w:pStyle w:val="Heading2"/>
        <w:spacing w:after="90" w:before="180"/>
      </w:pPr>
      <w:r>
        <w:t xml:space="preserve">Frontend Engineer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Shared React UI: message list, composer, presence, join flow, report/mute.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Web app pages: /room/&lt;CA&gt;, /embed/&lt;CA&gt;, paste-CA fallback.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Extension: URL-first detector with DOM fallback, SPA navigation watcher, iframe injection, CSS/Shadow DOM isolation.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E2E tests: join → send → receive roundtrip; reconnect recovery; report flow.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Trading (Phase 6+): trade panel (presets, buy/sell, hotkeys), deposit/withdraw screens, position + PnL display, hardened postMessage protocol with origin validation, in-widget trade confirmation UX.</w:t>
      </w:r>
    </w:p>
    <w:p>
      <w:pPr>
        <w:pStyle w:val="Heading2"/>
        <w:spacing w:after="90" w:before="180"/>
      </w:pPr>
      <w:r>
        <w:t xml:space="preserve">QA / Ops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Run detection spike across sample pages; record failures and CSP findings.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Smoke tests for API and web app after each phase.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Monitor realtime connection stats, error rates; in Phase 6+, execution success rate and confirmation latency.</w:t>
      </w:r>
    </w:p>
    <w:p>
      <w:pPr>
        <w:pStyle w:val="Heading2"/>
        <w:spacing w:after="90" w:before="180"/>
      </w:pPr>
      <w:r>
        <w:t xml:space="preserve">Product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Define numeric success metrics (DAU, join-to-message time, spam thresholds).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Decide launch chain (blocking for Phase 6), fee structure, and cashback policy.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Own moderation policy: escalation path for abuse reports, takedown contact, message-deletion authority.</w:t>
      </w:r>
    </w:p>
    <w:p>
      <w:pPr>
        <w:pStyle w:val="Heading1"/>
        <w:spacing w:after="120" w:before="280"/>
      </w:pPr>
      <w:r>
        <w:t xml:space="preserve">4. Deliverables &amp; Acceptance Criteria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40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74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Spike</w:t>
            </w:r>
          </w:p>
        </w:tc>
        <w:tc>
          <w:tcPr>
            <w:tcW w:type="dxa" w:w="7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Detection report with sample pages, reliable selectors, CSP verdict per site, chain evidence per site.</w:t>
            </w:r>
          </w:p>
        </w:tc>
      </w:tr>
      <w:tr>
        <w:tc>
          <w:tcPr>
            <w:tcW w:type="dxa" w:w="23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v1</w:t>
            </w:r>
          </w:p>
        </w:tc>
        <w:tc>
          <w:tcPr>
            <w:tcW w:type="dxa" w:w="74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APIs + realtime running; messages persist and reload correctly on reconnect.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App v1</w:t>
            </w:r>
          </w:p>
        </w:tc>
        <w:tc>
          <w:tcPr>
            <w:tcW w:type="dxa" w:w="7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 and send without extension; /embed/&lt;CA&gt; works inside an iframe.</w:t>
            </w:r>
          </w:p>
        </w:tc>
      </w:tr>
      <w:tr>
        <w:tc>
          <w:tcPr>
            <w:tcW w:type="dxa" w:w="23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Extension v1</w:t>
            </w:r>
          </w:p>
        </w:tc>
        <w:tc>
          <w:tcPr>
            <w:tcW w:type="dxa" w:w="74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GMGN, widget detects CA and opens the correct room in ≥90% of test cases, including SPA navigations.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Moderation v1</w:t>
            </w:r>
          </w:p>
        </w:tc>
        <w:tc>
          <w:tcPr>
            <w:tcW w:type="dxa" w:w="7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 logged server-side; blocklist and per-identity rate limits enforced.</w:t>
            </w:r>
          </w:p>
        </w:tc>
      </w:tr>
      <w:tr>
        <w:tc>
          <w:tcPr>
            <w:tcW w:type="dxa" w:w="23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Trading Alpha</w:t>
            </w:r>
          </w:p>
        </w:tc>
        <w:tc>
          <w:tcPr>
            <w:tcW w:type="dxa" w:w="74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Whitelisted user can deposit, execute a market buy and sell, and see confirmed status; failed txs surface a clear error; policy caps verified by test.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Trading GA</w:t>
            </w:r>
          </w:p>
        </w:tc>
        <w:tc>
          <w:tcPr>
            <w:tcW w:type="dxa" w:w="7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Withdrawals work; fees captured to ledger; pen test findings resolved; legal sign-off recorded; store re-review passed.</w:t>
            </w:r>
          </w:p>
        </w:tc>
      </w:tr>
    </w:tbl>
    <w:p>
      <w:pPr>
        <w:pStyle w:val="Heading1"/>
        <w:spacing w:after="120" w:before="280"/>
      </w:pPr>
      <w:r>
        <w:t xml:space="preserve">5. Data Model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40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4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rooms</w:t>
            </w:r>
          </w:p>
        </w:tc>
        <w:tc>
          <w:tcPr>
            <w:tcW w:type="dxa" w:w="7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 (chain-prefixed CA), chain, created_at, last_active_at, settings</w:t>
            </w:r>
          </w:p>
        </w:tc>
      </w:tr>
      <w:tr>
        <w:tc>
          <w:tcPr>
            <w:tcW w:type="dxa" w:w="23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messages</w:t>
            </w:r>
          </w:p>
        </w:tc>
        <w:tc>
          <w:tcPr>
            <w:tcW w:type="dxa" w:w="74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room_id, sender_id, body, metadata, created_at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identities</w:t>
            </w:r>
          </w:p>
        </w:tc>
        <w:tc>
          <w:tcPr>
            <w:tcW w:type="dxa" w:w="7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wallet_address (nullable), nickname, created_at, rate_limit_tier</w:t>
            </w:r>
          </w:p>
        </w:tc>
      </w:tr>
      <w:tr>
        <w:tc>
          <w:tcPr>
            <w:tcW w:type="dxa" w:w="23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dxa" w:w="74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message_id, reporter_id, reason, created_at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bot_wallets (P6+)</w:t>
            </w:r>
          </w:p>
        </w:tc>
        <w:tc>
          <w:tcPr>
            <w:tcW w:type="dxa" w:w="7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identity_id, provider_wallet_id, chain, deposit_address, created_at</w:t>
            </w:r>
          </w:p>
        </w:tc>
      </w:tr>
      <w:tr>
        <w:tc>
          <w:tcPr>
            <w:tcW w:type="dxa" w:w="23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trades (P6+)</w:t>
            </w:r>
          </w:p>
        </w:tc>
        <w:tc>
          <w:tcPr>
            <w:tcW w:type="dxa" w:w="74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identity_id, room_id, side, amount_in, amount_out, tx_signature, status, fee_amount, created_at, confirmed_at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deposits / withdrawals (P6+)</w:t>
            </w:r>
          </w:p>
        </w:tc>
        <w:tc>
          <w:tcPr>
            <w:tcW w:type="dxa" w:w="7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identity_id, amount, tx_signature, status, created_at</w:t>
            </w:r>
          </w:p>
        </w:tc>
      </w:tr>
      <w:tr>
        <w:tc>
          <w:tcPr>
            <w:tcW w:type="dxa" w:w="23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fee_ledger (P7)</w:t>
            </w:r>
          </w:p>
        </w:tc>
        <w:tc>
          <w:tcPr>
            <w:tcW w:type="dxa" w:w="74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trade_id, fee_amount, cashback_amount, created_at</w:t>
            </w:r>
          </w:p>
        </w:tc>
      </w:tr>
    </w:tbl>
    <w:p>
      <w:pPr>
        <w:pStyle w:val="Heading1"/>
        <w:spacing w:after="120" w:before="280"/>
      </w:pPr>
      <w:r>
        <w:t xml:space="preserve">6. CI, Testing &amp; Monitoring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Repo layout: </w:t>
      </w:r>
      <w:r>
        <w:t xml:space="preserve">packages/ui, apps/web, apps/extension, services/backend, services/execution (Phase 6+).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CI: </w:t>
      </w:r>
      <w:r>
        <w:t xml:space="preserve">unit tests, UI build, headless e2e before staging deploy; staging auto-deploys on merge to main; production gated by manual promotion.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Testing: </w:t>
      </w:r>
      <w:r>
        <w:t xml:space="preserve">unit (backend logic, components), integration (persistence, history), e2e (join/send/receive, reconnect, report), load testing of realtime assumptions. Phase 6+: execution tests against devnet/testnet, policy-cap enforcement tests, deposit/withdraw integration tests.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Monitoring: </w:t>
      </w:r>
      <w:r>
        <w:t xml:space="preserve">realtime connections, message rate, error rates, report volume. Phase 6+: execution success rate, confirmation latency, RPC health, fee revenue. Alerts on high error rates, throughput spikes (cost risk), report spikes, and execution success below SLO.</w:t>
      </w:r>
    </w:p>
    <w:p>
      <w:pPr>
        <w:pStyle w:val="Heading1"/>
        <w:spacing w:after="120" w:before="280"/>
      </w:pPr>
      <w:r>
        <w:t xml:space="preserve">7. Risks &amp; Mitigations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60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Detection fragility (site DOM/URL changes, incl. deliberate breakage)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URL-first detection, paste-CA fallback, per-site try/catch, standalone web app as first-class product.</w:t>
            </w:r>
          </w:p>
        </w:tc>
      </w:tr>
      <w:tr>
        <w:tc>
          <w:tcPr>
            <w:tcW w:type="dxa" w:w="31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Host-page CSP blocks injected iframe</w:t>
            </w:r>
          </w:p>
        </w:tc>
        <w:tc>
          <w:tcPr>
            <w:tcW w:type="dxa" w:w="66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in spike (go/no-go per site); fallback to popup/side-panel rendering if blocked.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Spam / phishing in rooms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WalletConnect opt-in tiers, rate limits, scam-link blocklist, reports + bans.</w:t>
            </w:r>
          </w:p>
        </w:tc>
      </w:tr>
      <w:tr>
        <w:tc>
          <w:tcPr>
            <w:tcW w:type="dxa" w:w="31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Realtime vendor lock-in / cost</w:t>
            </w:r>
          </w:p>
        </w:tc>
        <w:tc>
          <w:tcPr>
            <w:tcW w:type="dxa" w:w="66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Adapter abstraction, monthly cost review, self-hosted WebSocket exit path.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Execution reliability (dropped txs, stale blockhashes, RPC outages)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Retry + confirmation infra, execution SLOs, multi-RPC failover, visible tx status in UI.</w:t>
            </w:r>
          </w:p>
        </w:tc>
      </w:tr>
      <w:tr>
        <w:tc>
          <w:tcPr>
            <w:tcW w:type="dxa" w:w="31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 signing abuse by malicious host page</w:t>
            </w:r>
          </w:p>
        </w:tc>
        <w:tc>
          <w:tcPr>
            <w:tcW w:type="dxa" w:w="66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Origin-locked postMessage, strict iframe sandbox, per-tx caps enforced at key-infra policy layer (defense in depth).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Regulatory exposure (custody / money transmission)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Non-custodial key-policy architecture (Turnkey-style); counsel review before Phase 7 GA.</w:t>
            </w:r>
          </w:p>
        </w:tc>
      </w:tr>
      <w:tr>
        <w:tc>
          <w:tcPr>
            <w:tcW w:type="dxa" w:w="31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Chrome Web Store review delays / rejections</w:t>
            </w:r>
          </w:p>
        </w:tc>
        <w:tc>
          <w:tcPr>
            <w:tcW w:type="dxa" w:w="6600"/>
            <w:shd w:fill="ED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 review time into Phase 7; narrow permissions; consider open-sourcing the shipped build (Frontrun's approach).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Competitive pressure (Frontrun ~50k users, TradeWiz, others)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Differentiate on the per-token chat/social layer; chat is the wedge, trading is monetization.</w:t>
            </w:r>
          </w:p>
        </w:tc>
      </w:tr>
    </w:tbl>
    <w:p>
      <w:pPr>
        <w:pStyle w:val="Heading1"/>
        <w:spacing w:after="120" w:before="280"/>
      </w:pPr>
      <w:r>
        <w:t xml:space="preserve">8. Next Immediate Steps (First 5 Workdays)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Day 1–2: Run detection + CSP spike on GMGN, Axiom, Padre; publish findings incl. chain evidence (owner: frontend engineer).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Day 1 (parallel): Product decides launch chain — Solana vs Robinhood Chain — using spike evidence as it lands (owner: product).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Day 3: Initialize repo structure and Postgres schema with chain-aware CA normalization (owner: backend engineer).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Day 4–5: Minimal messages API + realtime adapter stub (owner: backend engineer).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Day 4–5: Bare-minimum chat UI (message list + composer) and /embed/&lt;CA&gt; route (owner: frontend engineer).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4E8C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2026-08-24T21:22:11.529Z</dcterms:created>
  <dcterms:modified xsi:type="dcterms:W3CDTF">2026-08-24T21:22:11.545Z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