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44"/>
          <w:szCs w:val="44"/>
        </w:rPr>
        <w:t xml:space="preserve">Token Chat — Trading Module Update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In-Extension Buy/Sell via Embedded Wallet + Execution Engine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Reference product: Frontrun (frontrun.pro)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Scope addendum to brief.md / prd.md / project-development.md  ·  August 24, 2026</w:t>
      </w:r>
    </w:p>
    <w:p>
      <w:pPr>
        <w:pStyle w:val="Heading1"/>
        <w:spacing w:after="120" w:before="280"/>
      </w:pPr>
      <w:r>
        <w:t xml:space="preserve">1. Summary of the Change</w:t>
      </w:r>
    </w:p>
    <w:p>
      <w:pPr>
        <w:spacing w:after="120"/>
      </w:pPr>
      <w:r>
        <w:t xml:space="preserve">The extension expands from a token-scoped chat widget into a chat + trading widget. Users keep browsing GMGN, Axiom, and Padre as their chart/data UI, but buy and sell through our own execution engine and embedded wallet, directly from the injected widget. We do not modify or hijack the host site's trade buttons; we render our own trade panel and route execution through our backend.</w:t>
      </w:r>
    </w:p>
    <w:p>
      <w:pPr>
        <w:spacing w:after="120"/>
      </w:pPr>
      <w:r>
        <w:t xml:space="preserve">This is a major scope expansion, not a feature toggle: it adds an embedded wallet, a transaction execution service, deposit/withdraw flows, and a per-trade fee revenue model. It also raises the security, store-review, and legal bar substantially. Chat remains the wedge and ships first (Phases 0–5 unchanged); trading follows as Phases 6–7.</w:t>
      </w:r>
    </w:p>
    <w:p>
      <w:pPr>
        <w:pStyle w:val="Heading1"/>
        <w:spacing w:after="120" w:before="280"/>
      </w:pPr>
      <w:r>
        <w:t xml:space="preserve">2. Reference: Frontrun (frontrun.pro)</w:t>
      </w:r>
    </w:p>
    <w:p>
      <w:pPr>
        <w:spacing w:after="120"/>
      </w:pPr>
      <w:r>
        <w:t xml:space="preserve">Frontrun has validated this exact model and is the closest comparable. Key facts observed (as of Aug 2026):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Product: </w:t>
      </w:r>
      <w:r>
        <w:t xml:space="preserve">Chrome extension wallet for onchain traders — fast execution, advanced tooling, and analytics overlaid on the terminals traders already use (GMGN, Axiom, Solscan, Photon, 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Execution: </w:t>
      </w:r>
      <w:r>
        <w:t xml:space="preserve">fills powered by Turnkey key infrastructure; 0.1% flat trading fee with up to 90% cashback as the acquisition 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Chains: </w:t>
      </w:r>
      <w:r>
        <w:t xml:space="preserve">started Solana-focused; has since added Robinhood Chain trading with cashback incentives — confirming target terminals span both chains.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Traction/backing: </w:t>
      </w:r>
      <w:r>
        <w:t xml:space="preserve">claims ~50,000 users; backed by Alliance and YZi Labs.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Trust posture: </w:t>
      </w:r>
      <w:r>
        <w:t xml:space="preserve">open-sourced the exact extension build shipped to the Chrome Web Store to counter wallet-extension distrust; requests broad permissions (scripting, webRequest, all-URLs hosts).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Pattern to copy: </w:t>
      </w:r>
      <w:r>
        <w:t xml:space="preserve">own trade panel + hotkeys injected as an overlay; execution through their wallet and backend; host site untouched underneath.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Our differentiator: </w:t>
      </w:r>
      <w:r>
        <w:t xml:space="preserve">Frontrun and peers (TradeWiz, etc.) compete on execution speed and cashback. None has a per-token social layer. Our chat rooms keyed to the CA are the wedge; trading monetizes that audience.</w:t>
      </w:r>
    </w:p>
    <w:p>
      <w:pPr>
        <w:pStyle w:val="Heading1"/>
        <w:spacing w:after="120" w:before="280"/>
      </w:pPr>
      <w:r>
        <w:t xml:space="preserve">3. Trading Architecture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decisions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Embedded wallet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Per-user wallet controlled via secure-enclave key infrastructure. Backend requests signatures through a policy-controlled API (per-tx caps, allowed programs, rate limits). We never hold raw keys.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Turnkey vs Privy. Self-managed key storage is prohibited (breach surface + store rejection risk).</w:t>
            </w:r>
          </w:p>
        </w:tc>
      </w:tr>
      <w:tr>
        <w:tc>
          <w:tcPr>
            <w:tcW w:type="dxa" w:w="20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Execution engine</w:t>
            </w:r>
          </w:p>
        </w:tc>
        <w:tc>
          <w:tcPr>
            <w:tcW w:type="dxa" w:w="43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service that builds and submits transactions: aggregator routing (Jupiter on Solana), priority-fee strategy, MEV-protected submission (Jito bundles), slippage guards, blockhash/retry management, confirmation tracking.</w:t>
            </w:r>
          </w:p>
        </w:tc>
        <w:tc>
          <w:tcPr>
            <w:tcW w:type="dxa" w:w="34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Treated as a first-class service with reliability SLOs, multi-RPC failover, and dedicated monitoring.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 UI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Buy/sell panel in the widget: preset amounts, quick-buy hotkeys, position and PnL for the active CA. Reuses the CA-detection layer already built for chat.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orders only at alpha; no limit orders, sniping, or copy-trading.</w:t>
            </w:r>
          </w:p>
        </w:tc>
      </w:tr>
      <w:tr>
        <w:tc>
          <w:tcPr>
            <w:tcW w:type="dxa" w:w="20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Deposit / withdraw</w:t>
            </w:r>
          </w:p>
        </w:tc>
        <w:tc>
          <w:tcPr>
            <w:tcW w:type="dxa" w:w="43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Fund the bot wallet via deposit address/QR or transfer from a connected wallet; withdrawal flow back out.</w:t>
            </w:r>
          </w:p>
        </w:tc>
        <w:tc>
          <w:tcPr>
            <w:tcW w:type="dxa" w:w="34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custody-UX and support-burden surface; deposit detection and withdrawal processing are backend tasks.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capture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Per-trade fee ledger; optional cashback program.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reference: 0.1% flat + cashback. This is the revenue line for the whole product.</w:t>
            </w:r>
          </w:p>
        </w:tc>
      </w:tr>
    </w:tbl>
    <w:p>
      <w:pPr>
        <w:pStyle w:val="Heading1"/>
        <w:spacing w:after="120" w:before="280"/>
      </w:pPr>
      <w:r>
        <w:t xml:space="preserve">4. Security, Review, and Legal Implications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Widget becomes attack surface #1. </w:t>
      </w:r>
      <w:r>
        <w:t xml:space="preserve">The iframe now moves money. Origin-locked postMessage, strict sandbox attributes, and in-widget trade confirmation UX are mandatory. Threat model: a malicious or compromised host page attempting to induce signatures.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Defense in depth via key policy. </w:t>
      </w:r>
      <w:r>
        <w:t xml:space="preserve">Per-transaction caps and allowed-program lists enforced at the key-infrastructure layer mean even a fully compromised widget cannot exceed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Chrome Web Store. </w:t>
      </w:r>
      <w:r>
        <w:t xml:space="preserve">A wallet extension injecting into financial sites gets maximum scrutiny — budget for longer review cycles and rejection loops in Phase 7. Consider open-sourcing the shipped extension build (Frontrun's trust approach).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Legal. </w:t>
      </w:r>
      <w:r>
        <w:t xml:space="preserve">Custody / money-transmission exposure requires counsel review before trading GA. Non-custodial key-policy architecture mitigates but does not eliminate.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Execution reliability is product risk. </w:t>
      </w:r>
      <w:r>
        <w:t xml:space="preserve">Dropped transactions, stale blockhashes, and RPC outages destroy trust fast. Retry/confirmation infrastructure and visible transaction status in the UI are launch requirements, not polish.</w:t>
      </w:r>
    </w:p>
    <w:p>
      <w:pPr>
        <w:pStyle w:val="Heading1"/>
        <w:spacing w:after="120" w:before="280"/>
      </w:pPr>
      <w:r>
        <w:t xml:space="preserve">5. Revised Phasing</w:t>
      </w:r>
    </w:p>
    <w:p>
      <w:pPr>
        <w:spacing w:after="120"/>
      </w:pPr>
      <w:r>
        <w:t xml:space="preserve">Chat phases 0–5 are unchanged and are not blocked on trading; they validate detection, injection, and distribution, all of which trading reuses.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24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— Trading Alpha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Turnkey/Privy integration (embedded wallet + signing policy), deposit flow, market buy/sell via aggregator, trade panel with presets, single chain, whitelist-only access, internal dogfooding with small real balances.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 weeks</w:t>
            </w:r>
          </w:p>
        </w:tc>
      </w:tr>
      <w:tr>
        <w:tc>
          <w:tcPr>
            <w:tcW w:type="dxa" w:w="15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— Trading GA</w:t>
            </w:r>
          </w:p>
        </w:tc>
        <w:tc>
          <w:tcPr>
            <w:tcW w:type="dxa" w:w="58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Withdrawals, quick-buy hotkeys, position + PnL display, fee capture + accounting, Jito/MEV hardening, security review + pen test of the widget boundary, legal sign-off, Chrome Web Store re-review, open access.</w:t>
            </w:r>
          </w:p>
        </w:tc>
        <w:tc>
          <w:tcPr>
            <w:tcW w:type="dxa" w:w="24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 weeks</w:t>
            </w:r>
          </w:p>
        </w:tc>
      </w:tr>
    </w:tbl>
    <w:p>
      <w:pPr>
        <w:spacing w:after="120"/>
      </w:pPr>
      <w:r>
        <w:t xml:space="preserve">Trading adds roughly 6–10 weeks on top of the chat MVP for the current 2-engineer team. At least one engineer on Phases 6–7 must have prior experience shipping on-chain transaction infrastructure; if neither current engineer does, plan for a third engineer or contractor on the execution engine.</w:t>
      </w:r>
    </w:p>
    <w:p>
      <w:pPr>
        <w:pStyle w:val="Heading1"/>
        <w:spacing w:after="120" w:before="280"/>
      </w:pPr>
      <w:r>
        <w:t xml:space="preserve">6. Data Model Additions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bot_wallets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identity_id, provider_wallet_id (Turnkey/Privy ref), chain, deposit_address, created_at</w:t>
            </w:r>
          </w:p>
        </w:tc>
      </w:tr>
      <w:tr>
        <w:tc>
          <w:tcPr>
            <w:tcW w:type="dxa" w:w="22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</w:t>
            </w:r>
          </w:p>
        </w:tc>
        <w:tc>
          <w:tcPr>
            <w:tcW w:type="dxa" w:w="75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identity_id, room_id (CA), side, amount_in, amount_out, tx_signature, status (pending/confirmed/failed), fee_amount, created_at, confirmed_at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deposits / withdrawals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identity_id, amount, tx_signature, status, created_at</w:t>
            </w:r>
          </w:p>
        </w:tc>
      </w:tr>
      <w:tr>
        <w:tc>
          <w:tcPr>
            <w:tcW w:type="dxa" w:w="22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fee_ledger</w:t>
            </w:r>
          </w:p>
        </w:tc>
        <w:tc>
          <w:tcPr>
            <w:tcW w:type="dxa" w:w="7500"/>
            <w:shd w:fill="ED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trade_id, fee_amount, cashback_amount, created_at</w:t>
            </w:r>
          </w:p>
        </w:tc>
      </w:tr>
    </w:tbl>
    <w:p>
      <w:pPr>
        <w:pStyle w:val="Heading1"/>
        <w:spacing w:after="120" w:before="280"/>
      </w:pPr>
      <w:r>
        <w:t xml:space="preserve">7. Open Decisions (Blocking for Phase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Launch chain — BLOCKING. </w:t>
      </w:r>
      <w:r>
        <w:t xml:space="preserve">Execution code is entirely chain-specific. The brief says Solana; the PRD/dev plan say Robinhood Chain. Frontrun supports both, so the target terminals may span both — decide the launch chain (or a sequence) before any execution work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infrastructure vendor: </w:t>
      </w:r>
      <w:r>
        <w:t xml:space="preserve">Turnkey vs Privy — evaluate on cost, chain support depth, and policy-engine flexibility.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Fee structure: </w:t>
      </w:r>
      <w:r>
        <w:t xml:space="preserve">bps per trade; cashback yes/no and its funding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Alpha scope: </w:t>
      </w:r>
      <w:r>
        <w:t xml:space="preserve">market orders only (recommended) vs limit orders at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Address normalization fix: </w:t>
      </w:r>
      <w:r>
        <w:t xml:space="preserve">room IDs must be chain-aware — Solana base58 addresses are case-sensitive and must not be lowercased; lowercase-normalize only EVM-style addresses.</w:t>
      </w:r>
    </w:p>
    <w:p>
      <w:pPr>
        <w:pStyle w:val="Heading1"/>
        <w:spacing w:after="120" w:before="280"/>
      </w:pPr>
      <w:r>
        <w:t xml:space="preserve">8. Strategic Framing</w:t>
      </w:r>
    </w:p>
    <w:p>
      <w:pPr>
        <w:spacing w:after="120"/>
      </w:pPr>
      <w:r>
        <w:t xml:space="preserve">We are entering a space where Frontrun (VC-backed, ~50k users) and others already compete on execution speed and cashback economics. We should not try to win on those axes at launch. The chat layer — one shared room per token, reachable from any terminal or the web — is the differentiator no pure trading extension has. Keep chat as the wedge; treat trading as the monetization of that audience, not the other way around.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4E8C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2026-08-24T21:12:35.199Z</dcterms:created>
  <dcterms:modified xsi:type="dcterms:W3CDTF">2026-08-24T21:12:35.214Z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