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31 March 2026</w:t>
      </w:r>
    </w:p>
    <w:p>
      <w:pPr>
        <w:spacing w:after="120"/>
      </w:pPr>
      <w:r>
        <w:t>Dear Editors,</w:t>
      </w:r>
    </w:p>
    <w:p>
      <w:pPr>
        <w:spacing w:after="120"/>
      </w:pPr>
      <w:r>
        <w:t>We submit for consideration in Results in Physics the manuscript “CP Violation from A-Factor Twist Angles of Hyperbolic Holonomy.”</w:t>
      </w:r>
    </w:p>
    <w:p>
      <w:pPr>
        <w:spacing w:after="120"/>
      </w:pPr>
      <w:r>
        <w:t>This paper completes the Iwasawa decomposition program for Standard Model flavor mixing. In companion papers submitted simultaneously to Results in Physics, the K-factor of the Iwasawa decomposition PSL(2,ℂ) = KAN yields the CKM matrix from manifold m006 (p &lt; 10⁻⁴ vs Haar-random unitaries), and the N-factor yields the PMNS matrix from m003 (p = 0.0002). Here we assign the remaining A-factor: the twist angles ϕ(γ) = Im(logλ(γ)) of loxodromic holonomy elements are the geometric source of CP violation.</w:t>
      </w:r>
    </w:p>
    <w:p>
      <w:pPr>
        <w:spacing w:after="120"/>
      </w:pPr>
      <w:r>
        <w:t>The central result is that the twist angles of the optimal word triple (aa, ab, aB) on m003 predict the CP phase δₜₚ = 203.5°, within 3.3% of the PDG 2024 value of 197°, with no free parameters.</w:t>
      </w:r>
    </w:p>
    <w:p>
      <w:pPr>
        <w:spacing w:after="120"/>
      </w:pPr>
      <w:r>
        <w:t>A chirality–CP correspondence theorem, verified computationally via SnapPy, explains why J = 0 in the quark sector (m006 is amphicheiral: Isom(m006) = ℤ/2×ℤ/2) and J ≠ 0 in the lepton sector (m003 is chiral: Isom(m003) = D₆). Both results follow from symmetry group computations with no free parameters.</w:t>
      </w:r>
    </w:p>
    <w:p>
      <w:pPr>
        <w:spacing w:after="120"/>
      </w:pPr>
      <w:r>
        <w:t>All code is openly available at https://github.com/drmlgentry/hyperbolic-flavor-scan.</w:t>
      </w:r>
    </w:p>
    <w:p>
      <w:pPr>
        <w:spacing w:after="120"/>
      </w:pPr>
      <w:r>
        <w:t>I declare no competing interests. This work has not been published elsewhere and is not under consideration at another journal. A waiver of the Article Publishing Charge will be requested if accepted.</w:t>
      </w:r>
    </w:p>
    <w:p>
      <w:pPr>
        <w:spacing w:after="120"/>
      </w:pPr>
      <w:r>
        <w:t>Sincerely,</w:t>
      </w:r>
    </w:p>
    <w:p>
      <w:pPr>
        <w:spacing w:after="120"/>
      </w:pPr>
      <w:r>
        <w:t>Marvin L. Gentry</w:t>
      </w:r>
    </w:p>
    <w:p>
      <w:pPr>
        <w:spacing w:after="120"/>
      </w:pPr>
      <w:r>
        <w:t>Independent Researcher, Seattle WA</w:t>
      </w:r>
    </w:p>
    <w:p>
      <w:pPr>
        <w:spacing w:after="120"/>
      </w:pPr>
      <w:r>
        <w:t>drmlgentry@protonmail.com</w:t>
      </w:r>
    </w:p>
    <w:p>
      <w:pPr>
        <w:spacing w:after="120"/>
      </w:pPr>
      <w:r>
        <w:t>ORCID: 0009-0006-4550-2663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