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31 March 2026</w:t>
      </w:r>
    </w:p>
    <w:p>
      <w:pPr>
        <w:spacing w:after="120"/>
      </w:pPr>
      <w:r>
        <w:t>Dear Editors,</w:t>
      </w:r>
    </w:p>
    <w:p>
      <w:pPr>
        <w:spacing w:after="120"/>
      </w:pPr>
      <w:r>
        <w:t>We submit for consideration in Results in Physics the manuscript “Lepton Mixing from Borel Structure of Hyperbolic Holonomy.”</w:t>
      </w:r>
    </w:p>
    <w:p>
      <w:pPr>
        <w:spacing w:after="120"/>
      </w:pPr>
      <w:r>
        <w:t>The paper makes two independent contributions. First, we prove that no positive-definite symmetric overlap matrix can reproduce the PMNS neutrino mixing pattern, with a kernel-independent Frobenius floor of 0.300. This obstruction is resolved by replacing the symmetric construction with the lower-triangular (Borel) factor of the Iwasawa decomposition PSL(2,ℂ) = KAN, yielding the PMNS matrix from manifold m003 (volume 0.981, H₁ = ℤ/5) with Frobenius fitness 0.019.</w:t>
      </w:r>
    </w:p>
    <w:p>
      <w:pPr>
        <w:spacing w:after="120"/>
      </w:pPr>
      <w:r>
        <w:t>Second, a Haar-random unitary null test confirms the result is non-trivial: 50,000 random 3×3 unitary matrices drawn from the Haar measure achieve mean Frobenius fitness 0.282 against the PDG 2024 PMNS matrix. The geometric construction achieves fitness 0.019, lying 3.0σ below the Haar mean (p = 0.0002), and is 15× better than the Haar mean.</w:t>
      </w:r>
    </w:p>
    <w:p>
      <w:pPr>
        <w:spacing w:after="120"/>
      </w:pPr>
      <w:r>
        <w:t>This paper is the lepton-sector companion to our CKM paper (submitted simultaneously to Results in Physics), which achieves p &lt; 10⁻⁴ against the Haar measure for the quark mixing matrix. Both constructions are unified by the Iwasawa decomposition of the holonomy of compact hyperbolic 3-manifolds with H₁ = ℤ/5. A chirality–CP correspondence theorem, verified computationally via SnapPy, shows that CP violation is suppressed in the quark sector (m006 is amphicheiral, J = 0) and survives in the lepton sector (m003 is chiral, J ≠ 0). Both results follow from symmetry group computations with no free parameters.</w:t>
      </w:r>
    </w:p>
    <w:p>
      <w:pPr>
        <w:spacing w:after="120"/>
      </w:pPr>
      <w:r>
        <w:t>All code is openly available at https://github.com/drmlgentry/hyperbolic-flavor-scan. The null test script is analysis/stronger_null_tests.py.</w:t>
      </w:r>
    </w:p>
    <w:p>
      <w:pPr>
        <w:spacing w:after="120"/>
      </w:pPr>
      <w:r>
        <w:t>I declare no competing interests. This work has not been published elsewhere and is not under consideration at another journal.</w:t>
      </w:r>
    </w:p>
    <w:p>
      <w:pPr>
        <w:spacing w:after="120"/>
      </w:pPr>
      <w:r>
        <w:t>Sincerely,</w:t>
      </w:r>
    </w:p>
    <w:p>
      <w:pPr>
        <w:spacing w:after="120"/>
      </w:pPr>
      <w:r>
        <w:t>Marvin L. Gentry</w:t>
      </w:r>
    </w:p>
    <w:p>
      <w:pPr>
        <w:spacing w:after="120"/>
      </w:pPr>
      <w:r>
        <w:t>Independent Researcher, Seattle WA</w:t>
      </w:r>
    </w:p>
    <w:p>
      <w:pPr>
        <w:spacing w:after="120"/>
      </w:pPr>
      <w:r>
        <w:t>drmlgentry@protonmail.com</w:t>
      </w:r>
    </w:p>
    <w:p>
      <w:pPr>
        <w:spacing w:after="0"/>
      </w:pPr>
      <w:r>
        <w:t>ORCID: 0009-0006-4550-2663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