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31 March 2026</w:t>
      </w:r>
    </w:p>
    <w:p>
      <w:pPr>
        <w:spacing w:after="120"/>
      </w:pPr>
      <w:r>
        <w:t>Dear Editors,</w:t>
      </w:r>
    </w:p>
    <w:p>
      <w:pPr>
        <w:spacing w:after="120"/>
      </w:pPr>
      <w:r>
        <w:t>We submit for consideration in Results in Physics the manuscript “Twist Angle Spectrum of Hyperbolic Holonomy: Encoding of Standard Model Flavor Parameters.”</w:t>
      </w:r>
    </w:p>
    <w:p>
      <w:pPr>
        <w:spacing w:after="120"/>
      </w:pPr>
      <w:r>
        <w:t>This paper performs a systematic census of twist angles ϕ(γ) = Im logλ(γ) for all closed geodesics up to word length five in the fundamental groups of two compact hyperbolic 3-manifolds: m003 (vol = 0.981, H₁ = ℤ/5) and m006 (vol = 2.029, H₁ = ℤ/5), which in companion papers reproduce the CKM and PMNS mixing matrices respectively.</w:t>
      </w:r>
    </w:p>
    <w:p>
      <w:pPr>
        <w:spacing w:after="120"/>
      </w:pPr>
      <w:r>
        <w:t>Key results with no free parameters: the ratio |λ(bbbb)|/|λ(bAbA)| on m003 recovers the mᵇ/mᶜ quark mass ratio to 0.01%; the length-2 word aa on m006 gives the CKM CP phase δₜₖₘ = 68.0° to 0.5%; and the length-5 word abbAB on m006 gives the PMNS solar angle θ¹² = 33.41° to 0.6%. We also compute the first Laplace eigenvalue of both manifolds via the Selberg zeta function: λ₁(m003) = 2.480 and λ₁(m006) = 2.821.</w:t>
      </w:r>
    </w:p>
    <w:p>
      <w:pPr>
        <w:spacing w:after="120"/>
      </w:pPr>
      <w:r>
        <w:t>This paper is the fourth in a series submitted simultaneously to Results in Physics: CKM (Haar p &lt; 10⁻⁴), PMNS (Haar p = 0.0002), CP A-factor (3.3% error), and this Twist Spectrum paper. All four constructions are unified by the Iwasawa decomposition PSL(2,ℂ) = KAN.</w:t>
      </w:r>
    </w:p>
    <w:p>
      <w:pPr>
        <w:spacing w:after="120"/>
      </w:pPr>
      <w:r>
        <w:t>All code is openly available at https://github.com/drmlgentry/hyperbolic-flavor-scan.</w:t>
      </w:r>
    </w:p>
    <w:p>
      <w:pPr>
        <w:spacing w:after="120"/>
      </w:pPr>
      <w:r>
        <w:t>I declare no competing interests. This work has not been published elsewhere and is not under consideration at another journal. A waiver of the Article Publishing Charge will be requested if accepted.</w:t>
      </w:r>
    </w:p>
    <w:p>
      <w:pPr>
        <w:spacing w:after="120"/>
      </w:pPr>
      <w:r>
        <w:t>Sincerely,</w:t>
      </w:r>
    </w:p>
    <w:p>
      <w:pPr>
        <w:spacing w:after="120"/>
      </w:pPr>
      <w:r>
        <w:t>Marvin L. Gentry</w:t>
      </w:r>
    </w:p>
    <w:p>
      <w:pPr>
        <w:spacing w:after="120"/>
      </w:pPr>
      <w:r>
        <w:t>Independent Researcher, Seattle WA</w:t>
      </w:r>
    </w:p>
    <w:p>
      <w:pPr>
        <w:spacing w:after="120"/>
      </w:pPr>
      <w:r>
        <w:t>drmlgentry@protonmail.com</w:t>
      </w:r>
    </w:p>
    <w:p>
      <w:pPr>
        <w:spacing w:after="120"/>
      </w:pPr>
      <w:r>
        <w:t>ORCID: 0009-0006-4550-2663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