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color w:val="1F4E79"/>
          <w:sz w:val="48"/>
          <w:szCs w:val="48"/>
        </w:rPr>
        <w:t xml:space="preserve">Business Requirements Document</w:t>
      </w:r>
    </w:p>
    <w:p>
      <w:pPr>
        <w:spacing w:after="800"/>
        <w:jc w:val="center"/>
      </w:pPr>
      <w:r>
        <w:rPr>
          <w:b/>
          <w:bCs/>
          <w:sz w:val="36"/>
          <w:szCs w:val="36"/>
        </w:rPr>
        <w:t xml:space="preserve">CoreBank - Core Banking System</w:t>
      </w:r>
    </w:p>
    <w:p>
      <w:pPr>
        <w:jc w:val="center"/>
      </w:pPr>
      <w:r>
        <w:rPr>
          <w:sz w:val="24"/>
          <w:szCs w:val="24"/>
        </w:rPr>
        <w:t xml:space="preserve">Version: 1.0</w:t>
      </w:r>
    </w:p>
    <w:p>
      <w:pPr>
        <w:jc w:val="center"/>
      </w:pPr>
      <w:r>
        <w:rPr>
          <w:sz w:val="24"/>
          <w:szCs w:val="24"/>
        </w:rPr>
        <w:t xml:space="preserve">Date: February 2025</w:t>
      </w:r>
    </w:p>
    <w:p>
      <w:pPr>
        <w:spacing w:after="400"/>
        <w:jc w:val="center"/>
      </w:pPr>
      <w:r>
        <w:rPr>
          <w:sz w:val="24"/>
          <w:szCs w:val="24"/>
        </w:rPr>
        <w:t xml:space="preserve">Domain: Retail &amp; Corporate Banking</w:t>
      </w:r>
    </w:p>
    <w:p>
      <w:r>
        <w:br w:type="page"/>
      </w:r>
    </w:p>
    <w:p>
      <w:pPr>
        <w:pStyle w:val="Heading1"/>
      </w:pPr>
      <w:r>
        <w:rPr>
          <w:b/>
          <w:bCs/>
        </w:rPr>
        <w:t xml:space="preserve">Table of Contents</w:t>
      </w:r>
    </w:p>
    <w:p>
      <w:pPr>
        <w:spacing w:after="400"/>
      </w:pPr>
      <w:r>
        <w:rPr>
          <w:i/>
          <w:iCs/>
          <w:sz w:val="20"/>
          <w:szCs w:val="20"/>
        </w:rPr>
        <w:t xml:space="preserve">(Update field to refresh page numbers)</w:t>
      </w:r>
    </w:p>
    <w:p>
      <w:r>
        <w:br w:type="page"/>
      </w:r>
    </w:p>
    <w:p>
      <w:pPr>
        <w:pStyle w:val="Heading1"/>
      </w:pPr>
      <w:r>
        <w:t xml:space="preserve">1. Introduction</w:t>
      </w:r>
    </w:p>
    <w:p>
      <w:pPr>
        <w:pStyle w:val="Heading2"/>
      </w:pPr>
      <w:r>
        <w:t xml:space="preserve">1.1 Document Purpose</w:t>
      </w:r>
    </w:p>
    <w:p>
      <w:pPr>
        <w:spacing w:after="200"/>
      </w:pPr>
      <w:r>
        <w:rPr>
          <w:sz w:val="22"/>
          <w:szCs w:val="22"/>
        </w:rPr>
        <w:t xml:space="preserve">The purpose of this document is to describe business requirements of the application completely, accurately and unambiguously in a technology-independent manner and to generate business and software/system requirements acceptable to the stakeholders.</w:t>
      </w:r>
    </w:p>
    <w:p>
      <w:pPr>
        <w:pStyle w:val="Heading2"/>
      </w:pPr>
      <w:r>
        <w:t xml:space="preserve">1.2 Intended Audience</w:t>
      </w:r>
    </w:p>
    <w:p>
      <w:pPr>
        <w:spacing w:after="200"/>
      </w:pPr>
      <w:r>
        <w:rPr>
          <w:sz w:val="22"/>
          <w:szCs w:val="22"/>
        </w:rPr>
        <w:t xml:space="preserve">The main intended audience for this document is the business owners of the proposed system. Data Architects, Application Architects and Technical Architects would also find the information in this document useful when they need to design a solution that will address these business requirements.</w:t>
      </w:r>
    </w:p>
    <w:p>
      <w:pPr>
        <w:pStyle w:val="Heading2"/>
      </w:pPr>
      <w:r>
        <w:t xml:space="preserve">1.3 Business Goals/Objectives/Benefits to be Achieved</w:t>
      </w:r>
    </w:p>
    <w:p>
      <w:pPr>
        <w:spacing w:after="100"/>
      </w:pPr>
      <w:r>
        <w:rPr>
          <w:b/>
          <w:bCs/>
          <w:sz w:val="22"/>
          <w:szCs w:val="22"/>
        </w:rPr>
        <w:t xml:space="preserve">Business Goals/Objectives: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Goals/Objectives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transaction processing time from minutes to milliseconds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Enable 24/7 real-time banking operations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Support open banking API compliance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operational costs by 40% through automation</w:t>
            </w:r>
          </w:p>
        </w:tc>
      </w:tr>
    </w:tbl>
    <w:p>
      <w:pPr>
        <w:spacing w:before="200" w:after="100"/>
      </w:pPr>
      <w:r>
        <w:rPr>
          <w:b/>
          <w:bCs/>
          <w:sz w:val="22"/>
          <w:szCs w:val="22"/>
        </w:rPr>
        <w:t xml:space="preserve">Key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Benefits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Provide customers with instant fund transfers and real-time balance updates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Enable seamless integration with fintech partners via Open Banking APIs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manual processing errors through automated workflows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Improve customer experience with modern digital channels</w:t>
            </w:r>
          </w:p>
        </w:tc>
      </w:tr>
    </w:tbl>
    <w:p>
      <w:pPr>
        <w:pStyle w:val="Heading2"/>
      </w:pPr>
      <w:r>
        <w:t xml:space="preserve">1.4 Product/Service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Product/Service Description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CoreBank is a modern core banking system replacing legacy mainframe systems with cloud-native architecture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The platform supports retail banking operations including account management, deposits, lending, and fund transfers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Real-time processing and Open Banking APIs enable digital transformation</w:t>
            </w:r>
          </w:p>
        </w:tc>
      </w:tr>
    </w:tbl>
    <w:p>
      <w:pPr>
        <w:pStyle w:val="Heading2"/>
      </w:pPr>
      <w:r>
        <w:t xml:space="preserve">1.5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Stakeholder Name</w:t>
            </w:r>
          </w:p>
        </w:tc>
        <w:tc>
          <w:tcPr>
            <w:tcW w:type="dxa" w:w="3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Consulted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5500"/>
            <w:tcBorders>
              <w:top w:val="single" w:color="000000" w:sz="1"/>
              <w:left w:val="single" w:color="000000" w:sz="1"/>
              <w:bottom w:val="single" w:color="000000" w:sz="1"/>
              <w:right w:val="single" w:color="000000" w:sz="1"/>
            </w:tcBorders>
          </w:tcPr>
          <w:p>
            <w:r>
              <w:rPr>
                <w:sz w:val="22"/>
                <w:szCs w:val="22"/>
              </w:rPr>
              <w:t xml:space="preserve">SAMA (Regulator)</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5500"/>
            <w:tcBorders>
              <w:top w:val="single" w:color="000000" w:sz="1"/>
              <w:left w:val="single" w:color="000000" w:sz="1"/>
              <w:bottom w:val="single" w:color="000000" w:sz="1"/>
              <w:right w:val="single" w:color="000000" w:sz="1"/>
            </w:tcBorders>
          </w:tcPr>
          <w:p>
            <w:r>
              <w:rPr>
                <w:sz w:val="22"/>
                <w:szCs w:val="22"/>
              </w:rPr>
              <w:t xml:space="preserve">Central Operations</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5500"/>
            <w:tcBorders>
              <w:top w:val="single" w:color="000000" w:sz="1"/>
              <w:left w:val="single" w:color="000000" w:sz="1"/>
              <w:bottom w:val="single" w:color="000000" w:sz="1"/>
              <w:right w:val="single" w:color="000000" w:sz="1"/>
            </w:tcBorders>
          </w:tcPr>
          <w:p>
            <w:r>
              <w:rPr>
                <w:sz w:val="22"/>
                <w:szCs w:val="22"/>
              </w:rPr>
              <w:t xml:space="preserve">Branch Operations</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5500"/>
            <w:tcBorders>
              <w:top w:val="single" w:color="000000" w:sz="1"/>
              <w:left w:val="single" w:color="000000" w:sz="1"/>
              <w:bottom w:val="single" w:color="000000" w:sz="1"/>
              <w:right w:val="single" w:color="000000" w:sz="1"/>
            </w:tcBorders>
          </w:tcPr>
          <w:p>
            <w:r>
              <w:rPr>
                <w:sz w:val="22"/>
                <w:szCs w:val="22"/>
              </w:rPr>
              <w:t xml:space="preserve">Treasury Department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5500"/>
            <w:tcBorders>
              <w:top w:val="single" w:color="000000" w:sz="1"/>
              <w:left w:val="single" w:color="000000" w:sz="1"/>
              <w:bottom w:val="single" w:color="000000" w:sz="1"/>
              <w:right w:val="single" w:color="000000" w:sz="1"/>
            </w:tcBorders>
          </w:tcPr>
          <w:p>
            <w:r>
              <w:rPr>
                <w:sz w:val="22"/>
                <w:szCs w:val="22"/>
              </w:rPr>
              <w:t xml:space="preserve">Risk Management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5500"/>
            <w:tcBorders>
              <w:top w:val="single" w:color="000000" w:sz="1"/>
              <w:left w:val="single" w:color="000000" w:sz="1"/>
              <w:bottom w:val="single" w:color="000000" w:sz="1"/>
              <w:right w:val="single" w:color="000000" w:sz="1"/>
            </w:tcBorders>
          </w:tcPr>
          <w:p>
            <w:r>
              <w:rPr>
                <w:sz w:val="22"/>
                <w:szCs w:val="22"/>
              </w:rPr>
              <w:t xml:space="preserve">Internal Audit</w:t>
            </w:r>
          </w:p>
        </w:tc>
        <w:tc>
          <w:tcPr>
            <w:tcW w:type="dxa" w:w="3000"/>
            <w:tcBorders>
              <w:top w:val="single" w:color="000000" w:sz="1"/>
              <w:left w:val="single" w:color="000000" w:sz="1"/>
              <w:bottom w:val="single" w:color="000000" w:sz="1"/>
              <w:right w:val="single" w:color="000000" w:sz="1"/>
            </w:tcBorders>
          </w:tcPr>
          <w:p>
            <w:r>
              <w:rPr>
                <w:sz w:val="22"/>
                <w:szCs w:val="22"/>
              </w:rPr>
              <w:t xml:space="preserve">Consulted</w:t>
            </w:r>
          </w:p>
        </w:tc>
      </w:tr>
    </w:tbl>
    <w:p>
      <w:pPr>
        <w:pStyle w:val="Heading2"/>
      </w:pPr>
      <w:r>
        <w:t xml:space="preserve">1.6 Assumptions &amp;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Assumptions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Core banking migration will be phased by product type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All GL postings will be real-time with no batch processing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Integration with existing card and loan systems will use APIs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Staff will receive training on new system before go-live</w:t>
            </w:r>
          </w:p>
        </w:tc>
      </w:tr>
    </w:tbl>
    <w:p>
      <w:r>
        <w:br w:type="page"/>
      </w:r>
    </w:p>
    <w:p>
      <w:pPr>
        <w:pStyle w:val="Heading1"/>
      </w:pPr>
      <w:r>
        <w:t xml:space="preserve">2. Business Requirements &amp; Process Description/Flow</w:t>
      </w:r>
    </w:p>
    <w:p>
      <w:pPr>
        <w:pStyle w:val="Heading2"/>
      </w:pPr>
      <w:r>
        <w:t xml:space="preserve">2.1 Business Service</w:t>
      </w:r>
    </w:p>
    <w:p>
      <w:pPr>
        <w:spacing w:after="200"/>
      </w:pPr>
      <w:r>
        <w:rPr>
          <w:sz w:val="22"/>
          <w:szCs w:val="22"/>
        </w:rPr>
        <w:t xml:space="preserve">CoreBank is a modern core banking system replacing legacy mainframe systems with cloud-native architecture</w:t>
      </w:r>
    </w:p>
    <w:p>
      <w:pPr>
        <w:pStyle w:val="Heading3"/>
      </w:pPr>
      <w:r>
        <w:t xml:space="preserve">2.1.1 Requirements Summary</w:t>
      </w:r>
    </w:p>
    <w:p>
      <w:pPr>
        <w:spacing w:after="200"/>
      </w:pPr>
      <w:r>
        <w:rPr>
          <w:sz w:val="22"/>
          <w:szCs w:val="22"/>
        </w:rPr>
        <w:t xml:space="preserve">This document outlines the business requirements for CoreBank - Core Banking System. The system will the platform supports retail banking operations including account management, deposits, lending, and fund transfers</w:t>
      </w:r>
    </w:p>
    <w:p>
      <w:pPr>
        <w:pStyle w:val="Heading3"/>
      </w:pPr>
      <w:r>
        <w:t xml:space="preserve">2.1.2 In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In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Customer onboarding (individual and corporate)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Account management (Current, Savings, Term Deposit)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Cash deposits and withdrawals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Internal fund transfers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8500"/>
            <w:tcBorders>
              <w:top w:val="single" w:color="000000" w:sz="1"/>
              <w:left w:val="single" w:color="000000" w:sz="1"/>
              <w:bottom w:val="single" w:color="000000" w:sz="1"/>
              <w:right w:val="single" w:color="000000" w:sz="1"/>
            </w:tcBorders>
          </w:tcPr>
          <w:p>
            <w:r>
              <w:rPr>
                <w:sz w:val="22"/>
                <w:szCs w:val="22"/>
              </w:rPr>
              <w:t xml:space="preserve">Domestic transfers via SARIE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8500"/>
            <w:tcBorders>
              <w:top w:val="single" w:color="000000" w:sz="1"/>
              <w:left w:val="single" w:color="000000" w:sz="1"/>
              <w:bottom w:val="single" w:color="000000" w:sz="1"/>
              <w:right w:val="single" w:color="000000" w:sz="1"/>
            </w:tcBorders>
          </w:tcPr>
          <w:p>
            <w:r>
              <w:rPr>
                <w:sz w:val="22"/>
                <w:szCs w:val="22"/>
              </w:rPr>
              <w:t xml:space="preserve">International transfers via SWIFT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7</w:t>
            </w:r>
          </w:p>
        </w:tc>
        <w:tc>
          <w:tcPr>
            <w:tcW w:type="dxa" w:w="8500"/>
            <w:tcBorders>
              <w:top w:val="single" w:color="000000" w:sz="1"/>
              <w:left w:val="single" w:color="000000" w:sz="1"/>
              <w:bottom w:val="single" w:color="000000" w:sz="1"/>
              <w:right w:val="single" w:color="000000" w:sz="1"/>
            </w:tcBorders>
          </w:tcPr>
          <w:p>
            <w:r>
              <w:rPr>
                <w:sz w:val="22"/>
                <w:szCs w:val="22"/>
              </w:rPr>
              <w:t xml:space="preserve">Personal loan origination and disbursement</w:t>
            </w:r>
          </w:p>
        </w:tc>
      </w:tr>
    </w:tbl>
    <w:p>
      <w:pPr>
        <w:pStyle w:val="Heading3"/>
      </w:pPr>
      <w:r>
        <w:t xml:space="preserve">2.1.3 Out of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Out of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Credit card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Trade finance operations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Treasury and investment banking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Islamic banking products</w:t>
            </w:r>
          </w:p>
        </w:tc>
      </w:tr>
    </w:tbl>
    <w:p>
      <w:pPr>
        <w:pStyle w:val="Heading3"/>
      </w:pPr>
      <w:r>
        <w:t xml:space="preserve">2.1.4 Process Workflow TO-BE</w:t>
      </w:r>
    </w:p>
    <w:p>
      <w:pPr>
        <w:spacing w:after="200"/>
      </w:pPr>
      <w:r>
        <w:rPr>
          <w:i/>
          <w:iCs/>
          <w:sz w:val="22"/>
          <w:szCs w:val="22"/>
        </w:rPr>
        <w:t xml:space="preserve">Refer to the sequence diagrams included in this project folder for detailed process workflows.</w:t>
      </w:r>
    </w:p>
    <w:p>
      <w:pPr>
        <w:pStyle w:val="Heading3"/>
      </w:pPr>
      <w:r>
        <w:t xml:space="preserve">2.1.5 Business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Requirement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Requirement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BR-001</w:t>
            </w:r>
          </w:p>
        </w:tc>
        <w:tc>
          <w:tcPr>
            <w:tcW w:type="dxa" w:w="2500"/>
            <w:tcBorders>
              <w:top w:val="single" w:color="000000" w:sz="1"/>
              <w:left w:val="single" w:color="000000" w:sz="1"/>
              <w:bottom w:val="single" w:color="000000" w:sz="1"/>
              <w:right w:val="single" w:color="000000" w:sz="1"/>
            </w:tcBorders>
          </w:tcPr>
          <w:p>
            <w:r>
              <w:rPr>
                <w:sz w:val="22"/>
                <w:szCs w:val="22"/>
              </w:rPr>
              <w:t xml:space="preserve">Customer Onboarding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individual and corporate customer onboarding</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BR-002</w:t>
            </w:r>
          </w:p>
        </w:tc>
        <w:tc>
          <w:tcPr>
            <w:tcW w:type="dxa" w:w="2500"/>
            <w:tcBorders>
              <w:top w:val="single" w:color="000000" w:sz="1"/>
              <w:left w:val="single" w:color="000000" w:sz="1"/>
              <w:bottom w:val="single" w:color="000000" w:sz="1"/>
              <w:right w:val="single" w:color="000000" w:sz="1"/>
            </w:tcBorders>
          </w:tcPr>
          <w:p>
            <w:r>
              <w:rPr>
                <w:sz w:val="22"/>
                <w:szCs w:val="22"/>
              </w:rPr>
              <w:t xml:space="preserve">360 View</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maintain 360-degree customer view with all relationships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BR-003</w:t>
            </w:r>
          </w:p>
        </w:tc>
        <w:tc>
          <w:tcPr>
            <w:tcW w:type="dxa" w:w="2500"/>
            <w:tcBorders>
              <w:top w:val="single" w:color="000000" w:sz="1"/>
              <w:left w:val="single" w:color="000000" w:sz="1"/>
              <w:bottom w:val="single" w:color="000000" w:sz="1"/>
              <w:right w:val="single" w:color="000000" w:sz="1"/>
            </w:tcBorders>
          </w:tcPr>
          <w:p>
            <w:r>
              <w:rPr>
                <w:sz w:val="22"/>
                <w:szCs w:val="22"/>
              </w:rPr>
              <w:t xml:space="preserve">Account Types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multiple account types (Current, Savings, Term Deposit)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BR-004</w:t>
            </w:r>
          </w:p>
        </w:tc>
        <w:tc>
          <w:tcPr>
            <w:tcW w:type="dxa" w:w="2500"/>
            <w:tcBorders>
              <w:top w:val="single" w:color="000000" w:sz="1"/>
              <w:left w:val="single" w:color="000000" w:sz="1"/>
              <w:bottom w:val="single" w:color="000000" w:sz="1"/>
              <w:right w:val="single" w:color="000000" w:sz="1"/>
            </w:tcBorders>
          </w:tcPr>
          <w:p>
            <w:r>
              <w:rPr>
                <w:sz w:val="22"/>
                <w:szCs w:val="22"/>
              </w:rPr>
              <w:t xml:space="preserve">Multi-Currency</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enable multi-currency accounts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BR-005</w:t>
            </w:r>
          </w:p>
        </w:tc>
        <w:tc>
          <w:tcPr>
            <w:tcW w:type="dxa" w:w="2500"/>
            <w:tcBorders>
              <w:top w:val="single" w:color="000000" w:sz="1"/>
              <w:left w:val="single" w:color="000000" w:sz="1"/>
              <w:bottom w:val="single" w:color="000000" w:sz="1"/>
              <w:right w:val="single" w:color="000000" w:sz="1"/>
            </w:tcBorders>
          </w:tcPr>
          <w:p>
            <w:r>
              <w:rPr>
                <w:sz w:val="22"/>
                <w:szCs w:val="22"/>
              </w:rPr>
              <w:t xml:space="preserve">Real-time Balance</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maintain account balance in real-time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BR-006</w:t>
            </w:r>
          </w:p>
        </w:tc>
        <w:tc>
          <w:tcPr>
            <w:tcW w:type="dxa" w:w="2500"/>
            <w:tcBorders>
              <w:top w:val="single" w:color="000000" w:sz="1"/>
              <w:left w:val="single" w:color="000000" w:sz="1"/>
              <w:bottom w:val="single" w:color="000000" w:sz="1"/>
              <w:right w:val="single" w:color="000000" w:sz="1"/>
            </w:tcBorders>
          </w:tcPr>
          <w:p>
            <w:r>
              <w:rPr>
                <w:sz w:val="22"/>
                <w:szCs w:val="22"/>
              </w:rPr>
              <w:t xml:space="preserve">SARIE Transfer</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process domestic transfers via SARIE instant payment network</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BR-007</w:t>
            </w:r>
          </w:p>
        </w:tc>
        <w:tc>
          <w:tcPr>
            <w:tcW w:type="dxa" w:w="2500"/>
            <w:tcBorders>
              <w:top w:val="single" w:color="000000" w:sz="1"/>
              <w:left w:val="single" w:color="000000" w:sz="1"/>
              <w:bottom w:val="single" w:color="000000" w:sz="1"/>
              <w:right w:val="single" w:color="000000" w:sz="1"/>
            </w:tcBorders>
          </w:tcPr>
          <w:p>
            <w:r>
              <w:rPr>
                <w:sz w:val="22"/>
                <w:szCs w:val="22"/>
              </w:rPr>
              <w:t xml:space="preserve">SWIFT Transfer</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process international transfers via SWIFT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BR-008</w:t>
            </w:r>
          </w:p>
        </w:tc>
        <w:tc>
          <w:tcPr>
            <w:tcW w:type="dxa" w:w="2500"/>
            <w:tcBorders>
              <w:top w:val="single" w:color="000000" w:sz="1"/>
              <w:left w:val="single" w:color="000000" w:sz="1"/>
              <w:bottom w:val="single" w:color="000000" w:sz="1"/>
              <w:right w:val="single" w:color="000000" w:sz="1"/>
            </w:tcBorders>
          </w:tcPr>
          <w:p>
            <w:r>
              <w:rPr>
                <w:sz w:val="22"/>
                <w:szCs w:val="22"/>
              </w:rPr>
              <w:t xml:space="preserve">Loan Origination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support loan origination workflow with credit assessment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BR-009</w:t>
            </w:r>
          </w:p>
        </w:tc>
        <w:tc>
          <w:tcPr>
            <w:tcW w:type="dxa" w:w="2500"/>
            <w:tcBorders>
              <w:top w:val="single" w:color="000000" w:sz="1"/>
              <w:left w:val="single" w:color="000000" w:sz="1"/>
              <w:bottom w:val="single" w:color="000000" w:sz="1"/>
              <w:right w:val="single" w:color="000000" w:sz="1"/>
            </w:tcBorders>
          </w:tcPr>
          <w:p>
            <w:r>
              <w:rPr>
                <w:sz w:val="22"/>
                <w:szCs w:val="22"/>
              </w:rPr>
              <w:t xml:space="preserve">EMI Calculation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calculate EMI schedules and amortization tables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BR-010</w:t>
            </w:r>
          </w:p>
        </w:tc>
        <w:tc>
          <w:tcPr>
            <w:tcW w:type="dxa" w:w="2500"/>
            <w:tcBorders>
              <w:top w:val="single" w:color="000000" w:sz="1"/>
              <w:left w:val="single" w:color="000000" w:sz="1"/>
              <w:bottom w:val="single" w:color="000000" w:sz="1"/>
              <w:right w:val="single" w:color="000000" w:sz="1"/>
            </w:tcBorders>
          </w:tcPr>
          <w:p>
            <w:r>
              <w:rPr>
                <w:sz w:val="22"/>
                <w:szCs w:val="22"/>
              </w:rPr>
              <w:t xml:space="preserve">GL Posting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post accounting entries in real-time</w:t>
            </w:r>
          </w:p>
        </w:tc>
      </w:tr>
    </w:tbl>
    <w:p>
      <w:pPr>
        <w:pStyle w:val="Heading3"/>
      </w:pPr>
      <w:r>
        <w:t xml:space="preserve">2.1.6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Rule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BRL-001</w:t>
            </w:r>
          </w:p>
        </w:tc>
        <w:tc>
          <w:tcPr>
            <w:tcW w:type="dxa" w:w="2500"/>
            <w:tcBorders>
              <w:top w:val="single" w:color="000000" w:sz="1"/>
              <w:left w:val="single" w:color="000000" w:sz="1"/>
              <w:bottom w:val="single" w:color="000000" w:sz="1"/>
              <w:right w:val="single" w:color="000000" w:sz="1"/>
            </w:tcBorders>
          </w:tcPr>
          <w:p>
            <w:r>
              <w:rPr>
                <w:sz w:val="22"/>
                <w:szCs w:val="22"/>
              </w:rPr>
              <w:t xml:space="preserve">Minimum Balance</w:t>
            </w:r>
          </w:p>
        </w:tc>
        <w:tc>
          <w:tcPr>
            <w:tcW w:type="dxa" w:w="5500"/>
            <w:tcBorders>
              <w:top w:val="single" w:color="000000" w:sz="1"/>
              <w:left w:val="single" w:color="000000" w:sz="1"/>
              <w:bottom w:val="single" w:color="000000" w:sz="1"/>
              <w:right w:val="single" w:color="000000" w:sz="1"/>
            </w:tcBorders>
          </w:tcPr>
          <w:p>
            <w:r>
              <w:rPr>
                <w:sz w:val="22"/>
                <w:szCs w:val="22"/>
              </w:rPr>
              <w:t xml:space="preserve">Savings accounts require minimum balance of 500 SAR</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BRL-002</w:t>
            </w:r>
          </w:p>
        </w:tc>
        <w:tc>
          <w:tcPr>
            <w:tcW w:type="dxa" w:w="2500"/>
            <w:tcBorders>
              <w:top w:val="single" w:color="000000" w:sz="1"/>
              <w:left w:val="single" w:color="000000" w:sz="1"/>
              <w:bottom w:val="single" w:color="000000" w:sz="1"/>
              <w:right w:val="single" w:color="000000" w:sz="1"/>
            </w:tcBorders>
          </w:tcPr>
          <w:p>
            <w:r>
              <w:rPr>
                <w:sz w:val="22"/>
                <w:szCs w:val="22"/>
              </w:rPr>
              <w:t xml:space="preserve">Transfer Limits</w:t>
            </w:r>
          </w:p>
        </w:tc>
        <w:tc>
          <w:tcPr>
            <w:tcW w:type="dxa" w:w="5500"/>
            <w:tcBorders>
              <w:top w:val="single" w:color="000000" w:sz="1"/>
              <w:left w:val="single" w:color="000000" w:sz="1"/>
              <w:bottom w:val="single" w:color="000000" w:sz="1"/>
              <w:right w:val="single" w:color="000000" w:sz="1"/>
            </w:tcBorders>
          </w:tcPr>
          <w:p>
            <w:r>
              <w:rPr>
                <w:sz w:val="22"/>
                <w:szCs w:val="22"/>
              </w:rPr>
              <w:t xml:space="preserve">Daily SARIE transfer limit is 250,000 SAR for retail customers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BRL-003</w:t>
            </w:r>
          </w:p>
        </w:tc>
        <w:tc>
          <w:tcPr>
            <w:tcW w:type="dxa" w:w="2500"/>
            <w:tcBorders>
              <w:top w:val="single" w:color="000000" w:sz="1"/>
              <w:left w:val="single" w:color="000000" w:sz="1"/>
              <w:bottom w:val="single" w:color="000000" w:sz="1"/>
              <w:right w:val="single" w:color="000000" w:sz="1"/>
            </w:tcBorders>
          </w:tcPr>
          <w:p>
            <w:r>
              <w:rPr>
                <w:sz w:val="22"/>
                <w:szCs w:val="22"/>
              </w:rPr>
              <w:t xml:space="preserve">Loan DBR</w:t>
            </w:r>
          </w:p>
        </w:tc>
        <w:tc>
          <w:tcPr>
            <w:tcW w:type="dxa" w:w="5500"/>
            <w:tcBorders>
              <w:top w:val="single" w:color="000000" w:sz="1"/>
              <w:left w:val="single" w:color="000000" w:sz="1"/>
              <w:bottom w:val="single" w:color="000000" w:sz="1"/>
              <w:right w:val="single" w:color="000000" w:sz="1"/>
            </w:tcBorders>
          </w:tcPr>
          <w:p>
            <w:r>
              <w:rPr>
                <w:sz w:val="22"/>
                <w:szCs w:val="22"/>
              </w:rPr>
              <w:t xml:space="preserve">Debt Burden Ratio must not exceed 45% for personal loans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BRL-004</w:t>
            </w:r>
          </w:p>
        </w:tc>
        <w:tc>
          <w:tcPr>
            <w:tcW w:type="dxa" w:w="2500"/>
            <w:tcBorders>
              <w:top w:val="single" w:color="000000" w:sz="1"/>
              <w:left w:val="single" w:color="000000" w:sz="1"/>
              <w:bottom w:val="single" w:color="000000" w:sz="1"/>
              <w:right w:val="single" w:color="000000" w:sz="1"/>
            </w:tcBorders>
          </w:tcPr>
          <w:p>
            <w:r>
              <w:rPr>
                <w:sz w:val="22"/>
                <w:szCs w:val="22"/>
              </w:rPr>
              <w:t xml:space="preserve">Dormancy</w:t>
            </w:r>
          </w:p>
        </w:tc>
        <w:tc>
          <w:tcPr>
            <w:tcW w:type="dxa" w:w="5500"/>
            <w:tcBorders>
              <w:top w:val="single" w:color="000000" w:sz="1"/>
              <w:left w:val="single" w:color="000000" w:sz="1"/>
              <w:bottom w:val="single" w:color="000000" w:sz="1"/>
              <w:right w:val="single" w:color="000000" w:sz="1"/>
            </w:tcBorders>
          </w:tcPr>
          <w:p>
            <w:r>
              <w:rPr>
                <w:sz w:val="22"/>
                <w:szCs w:val="22"/>
              </w:rPr>
              <w:t xml:space="preserve">Accounts with no activity for 12 months are marked dormant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F4E79"/>
      <w:sz w:val="28"/>
      <w:szCs w:val="28"/>
    </w:rPr>
  </w:style>
  <w:style w:type="paragraph" w:styleId="Heading2">
    <w:name w:val="Heading 2"/>
    <w:basedOn w:val="Normal"/>
    <w:next w:val="Normal"/>
    <w:qFormat/>
    <w:pPr>
      <w:spacing w:before="300" w:after="150"/>
      <w:outlineLvl w:val="1"/>
    </w:pPr>
    <w:rPr>
      <w:b/>
      <w:bCs/>
      <w:color w:val="2E75B6"/>
      <w:sz w:val="26"/>
      <w:szCs w:val="26"/>
    </w:rPr>
  </w:style>
  <w:style w:type="paragraph" w:styleId="Heading3">
    <w:name w:val="Heading 3"/>
    <w:basedOn w:val="Normal"/>
    <w:next w:val="Normal"/>
    <w:qFormat/>
    <w:pPr>
      <w:spacing w:before="200" w:after="1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2026-02-17T08:43:50.184Z</dcterms:created>
  <dcterms:modified xsi:type="dcterms:W3CDTF">2026-02-17T08:43:50.184Z</dcterms:modified>
</cp:coreProperties>
</file>

<file path=docProps/custom.xml><?xml version="1.0" encoding="utf-8"?>
<Properties xmlns="http://schemas.openxmlformats.org/officeDocument/2006/custom-properties" xmlns:vt="http://schemas.openxmlformats.org/officeDocument/2006/docPropsVTypes"/>
</file>