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b/>
          <w:bCs/>
          <w:color w:val="1F4E79"/>
          <w:sz w:val="48"/>
          <w:szCs w:val="48"/>
        </w:rPr>
        <w:t xml:space="preserve">Business Requirements Document</w:t>
      </w:r>
    </w:p>
    <w:p>
      <w:pPr>
        <w:spacing w:after="800"/>
        <w:jc w:val="center"/>
      </w:pPr>
      <w:r>
        <w:rPr>
          <w:b/>
          <w:bCs/>
          <w:sz w:val="36"/>
          <w:szCs w:val="36"/>
        </w:rPr>
        <w:t xml:space="preserve">Digital Wallet Platform - FinWallet</w:t>
      </w:r>
    </w:p>
    <w:p>
      <w:pPr>
        <w:jc w:val="center"/>
      </w:pPr>
      <w:r>
        <w:rPr>
          <w:sz w:val="24"/>
          <w:szCs w:val="24"/>
        </w:rPr>
        <w:t xml:space="preserve">Version: 1.0</w:t>
      </w:r>
    </w:p>
    <w:p>
      <w:pPr>
        <w:jc w:val="center"/>
      </w:pPr>
      <w:r>
        <w:rPr>
          <w:sz w:val="24"/>
          <w:szCs w:val="24"/>
        </w:rPr>
        <w:t xml:space="preserve">Date: February 2025</w:t>
      </w:r>
    </w:p>
    <w:p>
      <w:pPr>
        <w:spacing w:after="400"/>
        <w:jc w:val="center"/>
      </w:pPr>
      <w:r>
        <w:rPr>
          <w:sz w:val="24"/>
          <w:szCs w:val="24"/>
        </w:rPr>
        <w:t xml:space="preserve">Domain: Fintech / Digital Payments</w:t>
      </w:r>
    </w:p>
    <w:p>
      <w:r>
        <w:br w:type="page"/>
      </w:r>
    </w:p>
    <w:p>
      <w:pPr>
        <w:pStyle w:val="Heading1"/>
      </w:pPr>
      <w:r>
        <w:rPr>
          <w:b/>
          <w:bCs/>
        </w:rPr>
        <w:t xml:space="preserve">Table of Contents</w:t>
      </w:r>
    </w:p>
    <w:p>
      <w:pPr>
        <w:spacing w:after="400"/>
      </w:pPr>
      <w:r>
        <w:rPr>
          <w:i/>
          <w:iCs/>
          <w:sz w:val="20"/>
          <w:szCs w:val="20"/>
        </w:rPr>
        <w:t xml:space="preserve">(Update field to refresh page numbers)</w:t>
      </w:r>
    </w:p>
    <w:p>
      <w:r>
        <w:br w:type="page"/>
      </w:r>
    </w:p>
    <w:p>
      <w:pPr>
        <w:pStyle w:val="Heading1"/>
      </w:pPr>
      <w:r>
        <w:t xml:space="preserve">1. Introduction</w:t>
      </w:r>
    </w:p>
    <w:p>
      <w:pPr>
        <w:pStyle w:val="Heading2"/>
      </w:pPr>
      <w:r>
        <w:t xml:space="preserve">1.1 Document Purpose</w:t>
      </w:r>
    </w:p>
    <w:p>
      <w:pPr>
        <w:spacing w:after="200"/>
      </w:pPr>
      <w:r>
        <w:rPr>
          <w:sz w:val="22"/>
          <w:szCs w:val="22"/>
        </w:rPr>
        <w:t xml:space="preserve">The purpose of this document is to describe business requirements of the application completely, accurately and unambiguously in a technology-independent manner and to generate business and software/system requirements acceptable to the stakeholders.</w:t>
      </w:r>
    </w:p>
    <w:p>
      <w:pPr>
        <w:pStyle w:val="Heading2"/>
      </w:pPr>
      <w:r>
        <w:t xml:space="preserve">1.2 Intended Audience</w:t>
      </w:r>
    </w:p>
    <w:p>
      <w:pPr>
        <w:spacing w:after="200"/>
      </w:pPr>
      <w:r>
        <w:rPr>
          <w:sz w:val="22"/>
          <w:szCs w:val="22"/>
        </w:rPr>
        <w:t xml:space="preserve">The main intended audience for this document is the business owners of the proposed system. Data Architects, Application Architects and Technical Architects would also find the information in this document useful when they need to design a solution that will address these business requirements.</w:t>
      </w:r>
    </w:p>
    <w:p>
      <w:pPr>
        <w:pStyle w:val="Heading2"/>
      </w:pPr>
      <w:r>
        <w:t xml:space="preserve">1.3 Business Goals/Objectives/Benefits to be Achieved</w:t>
      </w:r>
    </w:p>
    <w:p>
      <w:pPr>
        <w:spacing w:after="100"/>
      </w:pPr>
      <w:r>
        <w:rPr>
          <w:b/>
          <w:bCs/>
          <w:sz w:val="22"/>
          <w:szCs w:val="22"/>
        </w:rPr>
        <w:t xml:space="preserve">Business Goals/Objectives: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Goals/Objectives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Launch a fully licensed digital wallet compliant with SAMA regulations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Achieve 500,000 active users within the first year</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Process over 10 million transactions monthly</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Integrate with major payment networks (VISA, Mastercard, mada)</w:t>
            </w:r>
          </w:p>
        </w:tc>
      </w:tr>
    </w:tbl>
    <w:p>
      <w:pPr>
        <w:spacing w:before="200" w:after="100"/>
      </w:pPr>
      <w:r>
        <w:rPr>
          <w:b/>
          <w:bCs/>
          <w:sz w:val="22"/>
          <w:szCs w:val="22"/>
        </w:rPr>
        <w:t xml:space="preserve">Key Benefits: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Benefits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Enable customers to manage their finances through a single mobile application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Provide instant P2P transfers and bill payments 24/7</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transaction costs compared to traditional banking channels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Improve customer satisfaction through seamless digital experience</w:t>
            </w:r>
          </w:p>
        </w:tc>
      </w:tr>
    </w:tbl>
    <w:p>
      <w:pPr>
        <w:pStyle w:val="Heading2"/>
      </w:pPr>
      <w:r>
        <w:t xml:space="preserve">1.4 Product/Service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Product/Service Description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FinWallet is a comprehensive digital wallet platform enabling users to store funds, make payments, and transfer money through mobile and web applications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The platform supports multi-currency wallets, P2P transfers, bill payments, and merchant QR payments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Integration with national ID verification (Elm Yakeen) ensures KYC compliance</w:t>
            </w:r>
          </w:p>
        </w:tc>
      </w:tr>
    </w:tbl>
    <w:p>
      <w:pPr>
        <w:pStyle w:val="Heading2"/>
      </w:pPr>
      <w:r>
        <w:t xml:space="preserve">1.5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Stakeholder Name</w:t>
            </w:r>
          </w:p>
        </w:tc>
        <w:tc>
          <w:tcPr>
            <w:tcW w:type="dxa" w:w="3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Consulted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5500"/>
            <w:tcBorders>
              <w:top w:val="single" w:color="000000" w:sz="1"/>
              <w:left w:val="single" w:color="000000" w:sz="1"/>
              <w:bottom w:val="single" w:color="000000" w:sz="1"/>
              <w:right w:val="single" w:color="000000" w:sz="1"/>
            </w:tcBorders>
          </w:tcPr>
          <w:p>
            <w:r>
              <w:rPr>
                <w:sz w:val="22"/>
                <w:szCs w:val="22"/>
              </w:rPr>
              <w:t xml:space="preserve">SAMA (Regulator)</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5500"/>
            <w:tcBorders>
              <w:top w:val="single" w:color="000000" w:sz="1"/>
              <w:left w:val="single" w:color="000000" w:sz="1"/>
              <w:bottom w:val="single" w:color="000000" w:sz="1"/>
              <w:right w:val="single" w:color="000000" w:sz="1"/>
            </w:tcBorders>
          </w:tcPr>
          <w:p>
            <w:r>
              <w:rPr>
                <w:sz w:val="22"/>
                <w:szCs w:val="22"/>
              </w:rPr>
              <w:t xml:space="preserve">Compliance Department</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5500"/>
            <w:tcBorders>
              <w:top w:val="single" w:color="000000" w:sz="1"/>
              <w:left w:val="single" w:color="000000" w:sz="1"/>
              <w:bottom w:val="single" w:color="000000" w:sz="1"/>
              <w:right w:val="single" w:color="000000" w:sz="1"/>
            </w:tcBorders>
          </w:tcPr>
          <w:p>
            <w:r>
              <w:rPr>
                <w:sz w:val="22"/>
                <w:szCs w:val="22"/>
              </w:rPr>
              <w:t xml:space="preserve">Information Security</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5500"/>
            <w:tcBorders>
              <w:top w:val="single" w:color="000000" w:sz="1"/>
              <w:left w:val="single" w:color="000000" w:sz="1"/>
              <w:bottom w:val="single" w:color="000000" w:sz="1"/>
              <w:right w:val="single" w:color="000000" w:sz="1"/>
            </w:tcBorders>
          </w:tcPr>
          <w:p>
            <w:r>
              <w:rPr>
                <w:sz w:val="22"/>
                <w:szCs w:val="22"/>
              </w:rPr>
              <w:t xml:space="preserve">Legal Department</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5500"/>
            <w:tcBorders>
              <w:top w:val="single" w:color="000000" w:sz="1"/>
              <w:left w:val="single" w:color="000000" w:sz="1"/>
              <w:bottom w:val="single" w:color="000000" w:sz="1"/>
              <w:right w:val="single" w:color="000000" w:sz="1"/>
            </w:tcBorders>
          </w:tcPr>
          <w:p>
            <w:r>
              <w:rPr>
                <w:sz w:val="22"/>
                <w:szCs w:val="22"/>
              </w:rPr>
              <w:t xml:space="preserve">Finance Department</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5500"/>
            <w:tcBorders>
              <w:top w:val="single" w:color="000000" w:sz="1"/>
              <w:left w:val="single" w:color="000000" w:sz="1"/>
              <w:bottom w:val="single" w:color="000000" w:sz="1"/>
              <w:right w:val="single" w:color="000000" w:sz="1"/>
            </w:tcBorders>
          </w:tcPr>
          <w:p>
            <w:r>
              <w:rPr>
                <w:sz w:val="22"/>
                <w:szCs w:val="22"/>
              </w:rPr>
              <w:t xml:space="preserve">Customer Service</w:t>
            </w:r>
          </w:p>
        </w:tc>
        <w:tc>
          <w:tcPr>
            <w:tcW w:type="dxa" w:w="3000"/>
            <w:tcBorders>
              <w:top w:val="single" w:color="000000" w:sz="1"/>
              <w:left w:val="single" w:color="000000" w:sz="1"/>
              <w:bottom w:val="single" w:color="000000" w:sz="1"/>
              <w:right w:val="single" w:color="000000" w:sz="1"/>
            </w:tcBorders>
          </w:tcPr>
          <w:p>
            <w:r>
              <w:rPr>
                <w:sz w:val="22"/>
                <w:szCs w:val="22"/>
              </w:rPr>
              <w:t xml:space="preserve">Consulted</w:t>
            </w:r>
          </w:p>
        </w:tc>
      </w:tr>
    </w:tbl>
    <w:p>
      <w:pPr>
        <w:pStyle w:val="Heading2"/>
      </w:pPr>
      <w:r>
        <w:t xml:space="preserve">1.6 Assumptions &amp;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Assumptions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Users will have smartphones with internet connectivity</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Integration APIs from Elm, SARIE, and SADAD will be available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Users must complete KYC verification before accessing full features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All transactions will be processed in real-time</w:t>
            </w:r>
          </w:p>
        </w:tc>
      </w:tr>
    </w:tbl>
    <w:p>
      <w:r>
        <w:br w:type="page"/>
      </w:r>
    </w:p>
    <w:p>
      <w:pPr>
        <w:pStyle w:val="Heading1"/>
      </w:pPr>
      <w:r>
        <w:t xml:space="preserve">2. Business Requirements &amp; Process Description/Flow</w:t>
      </w:r>
    </w:p>
    <w:p>
      <w:pPr>
        <w:pStyle w:val="Heading2"/>
      </w:pPr>
      <w:r>
        <w:t xml:space="preserve">2.1 Business Service</w:t>
      </w:r>
    </w:p>
    <w:p>
      <w:pPr>
        <w:spacing w:after="200"/>
      </w:pPr>
      <w:r>
        <w:rPr>
          <w:sz w:val="22"/>
          <w:szCs w:val="22"/>
        </w:rPr>
        <w:t xml:space="preserve">FinWallet is a comprehensive digital wallet platform enabling users to store funds, make payments, and transfer money through mobile and web applications</w:t>
      </w:r>
    </w:p>
    <w:p>
      <w:pPr>
        <w:pStyle w:val="Heading3"/>
      </w:pPr>
      <w:r>
        <w:t xml:space="preserve">2.1.1 Requirements Summary</w:t>
      </w:r>
    </w:p>
    <w:p>
      <w:pPr>
        <w:spacing w:after="200"/>
      </w:pPr>
      <w:r>
        <w:rPr>
          <w:sz w:val="22"/>
          <w:szCs w:val="22"/>
        </w:rPr>
        <w:t xml:space="preserve">This document outlines the business requirements for Digital Wallet Platform - FinWallet. The system will the platform supports multi-currency wallets, p2p transfers, bill payments, and merchant qr payments</w:t>
      </w:r>
    </w:p>
    <w:p>
      <w:pPr>
        <w:pStyle w:val="Heading3"/>
      </w:pPr>
      <w:r>
        <w:t xml:space="preserve">2.1.2 In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In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User registration with mobile OTP verification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KYC verification via national ID and selfie capture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Multi-currency wallet creation and management (SAR, USD, AED)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P2P transfers to other FinWallet users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8500"/>
            <w:tcBorders>
              <w:top w:val="single" w:color="000000" w:sz="1"/>
              <w:left w:val="single" w:color="000000" w:sz="1"/>
              <w:bottom w:val="single" w:color="000000" w:sz="1"/>
              <w:right w:val="single" w:color="000000" w:sz="1"/>
            </w:tcBorders>
          </w:tcPr>
          <w:p>
            <w:r>
              <w:rPr>
                <w:sz w:val="22"/>
                <w:szCs w:val="22"/>
              </w:rPr>
              <w:t xml:space="preserve">Domestic bank transfers via SARIE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8500"/>
            <w:tcBorders>
              <w:top w:val="single" w:color="000000" w:sz="1"/>
              <w:left w:val="single" w:color="000000" w:sz="1"/>
              <w:bottom w:val="single" w:color="000000" w:sz="1"/>
              <w:right w:val="single" w:color="000000" w:sz="1"/>
            </w:tcBorders>
          </w:tcPr>
          <w:p>
            <w:r>
              <w:rPr>
                <w:sz w:val="22"/>
                <w:szCs w:val="22"/>
              </w:rPr>
              <w:t xml:space="preserve">Bill payments via SADAD integration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7</w:t>
            </w:r>
          </w:p>
        </w:tc>
        <w:tc>
          <w:tcPr>
            <w:tcW w:type="dxa" w:w="8500"/>
            <w:tcBorders>
              <w:top w:val="single" w:color="000000" w:sz="1"/>
              <w:left w:val="single" w:color="000000" w:sz="1"/>
              <w:bottom w:val="single" w:color="000000" w:sz="1"/>
              <w:right w:val="single" w:color="000000" w:sz="1"/>
            </w:tcBorders>
          </w:tcPr>
          <w:p>
            <w:r>
              <w:rPr>
                <w:sz w:val="22"/>
                <w:szCs w:val="22"/>
              </w:rPr>
              <w:t xml:space="preserve">Wallet top-up via card and Apple Pay</w:t>
            </w:r>
          </w:p>
        </w:tc>
      </w:tr>
    </w:tbl>
    <w:p>
      <w:pPr>
        <w:pStyle w:val="Heading3"/>
      </w:pPr>
      <w:r>
        <w:t xml:space="preserve">2.1.3 Out of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Out of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International remittances via SWIFT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Physical card issuance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Merchant onboarding and management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Cryptocurrency transactions</w:t>
            </w:r>
          </w:p>
        </w:tc>
      </w:tr>
    </w:tbl>
    <w:p>
      <w:pPr>
        <w:pStyle w:val="Heading3"/>
      </w:pPr>
      <w:r>
        <w:t xml:space="preserve">2.1.4 Process Workflow TO-BE</w:t>
      </w:r>
    </w:p>
    <w:p>
      <w:pPr>
        <w:spacing w:after="200"/>
      </w:pPr>
      <w:r>
        <w:rPr>
          <w:i/>
          <w:iCs/>
          <w:sz w:val="22"/>
          <w:szCs w:val="22"/>
        </w:rPr>
        <w:t xml:space="preserve">Refer to the sequence diagrams included in this project folder for detailed process workflows.</w:t>
      </w:r>
    </w:p>
    <w:p>
      <w:pPr>
        <w:pStyle w:val="Heading3"/>
      </w:pPr>
      <w:r>
        <w:t xml:space="preserve">2.1.5 Business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Requirement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Requirement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BR-001</w:t>
            </w:r>
          </w:p>
        </w:tc>
        <w:tc>
          <w:tcPr>
            <w:tcW w:type="dxa" w:w="2500"/>
            <w:tcBorders>
              <w:top w:val="single" w:color="000000" w:sz="1"/>
              <w:left w:val="single" w:color="000000" w:sz="1"/>
              <w:bottom w:val="single" w:color="000000" w:sz="1"/>
              <w:right w:val="single" w:color="000000" w:sz="1"/>
            </w:tcBorders>
          </w:tcPr>
          <w:p>
            <w:r>
              <w:rPr>
                <w:sz w:val="22"/>
                <w:szCs w:val="22"/>
              </w:rPr>
              <w:t xml:space="preserve">User Registration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allow user registration via mobile number with OTP verification</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BR-002</w:t>
            </w:r>
          </w:p>
        </w:tc>
        <w:tc>
          <w:tcPr>
            <w:tcW w:type="dxa" w:w="2500"/>
            <w:tcBorders>
              <w:top w:val="single" w:color="000000" w:sz="1"/>
              <w:left w:val="single" w:color="000000" w:sz="1"/>
              <w:bottom w:val="single" w:color="000000" w:sz="1"/>
              <w:right w:val="single" w:color="000000" w:sz="1"/>
            </w:tcBorders>
          </w:tcPr>
          <w:p>
            <w:r>
              <w:rPr>
                <w:sz w:val="22"/>
                <w:szCs w:val="22"/>
              </w:rPr>
              <w:t xml:space="preserve">KYC Capture</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capture user KYC information including national ID, address, and selfie</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BR-003</w:t>
            </w:r>
          </w:p>
        </w:tc>
        <w:tc>
          <w:tcPr>
            <w:tcW w:type="dxa" w:w="2500"/>
            <w:tcBorders>
              <w:top w:val="single" w:color="000000" w:sz="1"/>
              <w:left w:val="single" w:color="000000" w:sz="1"/>
              <w:bottom w:val="single" w:color="000000" w:sz="1"/>
              <w:right w:val="single" w:color="000000" w:sz="1"/>
            </w:tcBorders>
          </w:tcPr>
          <w:p>
            <w:r>
              <w:rPr>
                <w:sz w:val="22"/>
                <w:szCs w:val="22"/>
              </w:rPr>
              <w:t xml:space="preserve">ID Verification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integrate with Elm Yakeen for national ID verification</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BR-004</w:t>
            </w:r>
          </w:p>
        </w:tc>
        <w:tc>
          <w:tcPr>
            <w:tcW w:type="dxa" w:w="2500"/>
            <w:tcBorders>
              <w:top w:val="single" w:color="000000" w:sz="1"/>
              <w:left w:val="single" w:color="000000" w:sz="1"/>
              <w:bottom w:val="single" w:color="000000" w:sz="1"/>
              <w:right w:val="single" w:color="000000" w:sz="1"/>
            </w:tcBorders>
          </w:tcPr>
          <w:p>
            <w:r>
              <w:rPr>
                <w:sz w:val="22"/>
                <w:szCs w:val="22"/>
              </w:rPr>
              <w:t xml:space="preserve">Sanctions Screening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perform sanctions screening via WorldCheck integration</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BR-005</w:t>
            </w:r>
          </w:p>
        </w:tc>
        <w:tc>
          <w:tcPr>
            <w:tcW w:type="dxa" w:w="2500"/>
            <w:tcBorders>
              <w:top w:val="single" w:color="000000" w:sz="1"/>
              <w:left w:val="single" w:color="000000" w:sz="1"/>
              <w:bottom w:val="single" w:color="000000" w:sz="1"/>
              <w:right w:val="single" w:color="000000" w:sz="1"/>
            </w:tcBorders>
          </w:tcPr>
          <w:p>
            <w:r>
              <w:rPr>
                <w:sz w:val="22"/>
                <w:szCs w:val="22"/>
              </w:rPr>
              <w:t xml:space="preserve">Wallet Creation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create a primary SAR wallet upon successful KYC approval</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BR-006</w:t>
            </w:r>
          </w:p>
        </w:tc>
        <w:tc>
          <w:tcPr>
            <w:tcW w:type="dxa" w:w="2500"/>
            <w:tcBorders>
              <w:top w:val="single" w:color="000000" w:sz="1"/>
              <w:left w:val="single" w:color="000000" w:sz="1"/>
              <w:bottom w:val="single" w:color="000000" w:sz="1"/>
              <w:right w:val="single" w:color="000000" w:sz="1"/>
            </w:tcBorders>
          </w:tcPr>
          <w:p>
            <w:r>
              <w:rPr>
                <w:sz w:val="22"/>
                <w:szCs w:val="22"/>
              </w:rPr>
              <w:t xml:space="preserve">Multi-Currency</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support multiple currency wallets (SAR, USD, AED, EUR)</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BR-007</w:t>
            </w:r>
          </w:p>
        </w:tc>
        <w:tc>
          <w:tcPr>
            <w:tcW w:type="dxa" w:w="2500"/>
            <w:tcBorders>
              <w:top w:val="single" w:color="000000" w:sz="1"/>
              <w:left w:val="single" w:color="000000" w:sz="1"/>
              <w:bottom w:val="single" w:color="000000" w:sz="1"/>
              <w:right w:val="single" w:color="000000" w:sz="1"/>
            </w:tcBorders>
          </w:tcPr>
          <w:p>
            <w:r>
              <w:rPr>
                <w:sz w:val="22"/>
                <w:szCs w:val="22"/>
              </w:rPr>
              <w:t xml:space="preserve">Balance Display</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display real-time wallet balance and transaction history</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BR-008</w:t>
            </w:r>
          </w:p>
        </w:tc>
        <w:tc>
          <w:tcPr>
            <w:tcW w:type="dxa" w:w="2500"/>
            <w:tcBorders>
              <w:top w:val="single" w:color="000000" w:sz="1"/>
              <w:left w:val="single" w:color="000000" w:sz="1"/>
              <w:bottom w:val="single" w:color="000000" w:sz="1"/>
              <w:right w:val="single" w:color="000000" w:sz="1"/>
            </w:tcBorders>
          </w:tcPr>
          <w:p>
            <w:r>
              <w:rPr>
                <w:sz w:val="22"/>
                <w:szCs w:val="22"/>
              </w:rPr>
              <w:t xml:space="preserve">P2P Transfer</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enable P2P transfers to other FinWallet users via mobile number</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BR-009</w:t>
            </w:r>
          </w:p>
        </w:tc>
        <w:tc>
          <w:tcPr>
            <w:tcW w:type="dxa" w:w="2500"/>
            <w:tcBorders>
              <w:top w:val="single" w:color="000000" w:sz="1"/>
              <w:left w:val="single" w:color="000000" w:sz="1"/>
              <w:bottom w:val="single" w:color="000000" w:sz="1"/>
              <w:right w:val="single" w:color="000000" w:sz="1"/>
            </w:tcBorders>
          </w:tcPr>
          <w:p>
            <w:r>
              <w:rPr>
                <w:sz w:val="22"/>
                <w:szCs w:val="22"/>
              </w:rPr>
              <w:t xml:space="preserve">Bank Transfer</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support domestic bank transfers via SARIE (instant)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BR-010</w:t>
            </w:r>
          </w:p>
        </w:tc>
        <w:tc>
          <w:tcPr>
            <w:tcW w:type="dxa" w:w="2500"/>
            <w:tcBorders>
              <w:top w:val="single" w:color="000000" w:sz="1"/>
              <w:left w:val="single" w:color="000000" w:sz="1"/>
              <w:bottom w:val="single" w:color="000000" w:sz="1"/>
              <w:right w:val="single" w:color="000000" w:sz="1"/>
            </w:tcBorders>
          </w:tcPr>
          <w:p>
            <w:r>
              <w:rPr>
                <w:sz w:val="22"/>
                <w:szCs w:val="22"/>
              </w:rPr>
              <w:t xml:space="preserve">Bill Payment</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support bill payments for utilities, telecom, and government services via SADAD</w:t>
            </w:r>
          </w:p>
        </w:tc>
      </w:tr>
    </w:tbl>
    <w:p>
      <w:pPr>
        <w:pStyle w:val="Heading3"/>
      </w:pPr>
      <w:r>
        <w:t xml:space="preserve">2.1.6 Business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Rule</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BRL-001</w:t>
            </w:r>
          </w:p>
        </w:tc>
        <w:tc>
          <w:tcPr>
            <w:tcW w:type="dxa" w:w="2500"/>
            <w:tcBorders>
              <w:top w:val="single" w:color="000000" w:sz="1"/>
              <w:left w:val="single" w:color="000000" w:sz="1"/>
              <w:bottom w:val="single" w:color="000000" w:sz="1"/>
              <w:right w:val="single" w:color="000000" w:sz="1"/>
            </w:tcBorders>
          </w:tcPr>
          <w:p>
            <w:r>
              <w:rPr>
                <w:sz w:val="22"/>
                <w:szCs w:val="22"/>
              </w:rPr>
              <w:t xml:space="preserve">KYC Tiers</w:t>
            </w:r>
          </w:p>
        </w:tc>
        <w:tc>
          <w:tcPr>
            <w:tcW w:type="dxa" w:w="5500"/>
            <w:tcBorders>
              <w:top w:val="single" w:color="000000" w:sz="1"/>
              <w:left w:val="single" w:color="000000" w:sz="1"/>
              <w:bottom w:val="single" w:color="000000" w:sz="1"/>
              <w:right w:val="single" w:color="000000" w:sz="1"/>
            </w:tcBorders>
          </w:tcPr>
          <w:p>
            <w:r>
              <w:rPr>
                <w:sz w:val="22"/>
                <w:szCs w:val="22"/>
              </w:rPr>
              <w:t xml:space="preserve">Users without full KYC are limited to 5,000 SAR monthly transaction volume</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BRL-002</w:t>
            </w:r>
          </w:p>
        </w:tc>
        <w:tc>
          <w:tcPr>
            <w:tcW w:type="dxa" w:w="2500"/>
            <w:tcBorders>
              <w:top w:val="single" w:color="000000" w:sz="1"/>
              <w:left w:val="single" w:color="000000" w:sz="1"/>
              <w:bottom w:val="single" w:color="000000" w:sz="1"/>
              <w:right w:val="single" w:color="000000" w:sz="1"/>
            </w:tcBorders>
          </w:tcPr>
          <w:p>
            <w:r>
              <w:rPr>
                <w:sz w:val="22"/>
                <w:szCs w:val="22"/>
              </w:rPr>
              <w:t xml:space="preserve">Transfer Limits</w:t>
            </w:r>
          </w:p>
        </w:tc>
        <w:tc>
          <w:tcPr>
            <w:tcW w:type="dxa" w:w="5500"/>
            <w:tcBorders>
              <w:top w:val="single" w:color="000000" w:sz="1"/>
              <w:left w:val="single" w:color="000000" w:sz="1"/>
              <w:bottom w:val="single" w:color="000000" w:sz="1"/>
              <w:right w:val="single" w:color="000000" w:sz="1"/>
            </w:tcBorders>
          </w:tcPr>
          <w:p>
            <w:r>
              <w:rPr>
                <w:sz w:val="22"/>
                <w:szCs w:val="22"/>
              </w:rPr>
              <w:t xml:space="preserve">Daily P2P transfer limit is 20,000 SAR for fully verified users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BRL-003</w:t>
            </w:r>
          </w:p>
        </w:tc>
        <w:tc>
          <w:tcPr>
            <w:tcW w:type="dxa" w:w="2500"/>
            <w:tcBorders>
              <w:top w:val="single" w:color="000000" w:sz="1"/>
              <w:left w:val="single" w:color="000000" w:sz="1"/>
              <w:bottom w:val="single" w:color="000000" w:sz="1"/>
              <w:right w:val="single" w:color="000000" w:sz="1"/>
            </w:tcBorders>
          </w:tcPr>
          <w:p>
            <w:r>
              <w:rPr>
                <w:sz w:val="22"/>
                <w:szCs w:val="22"/>
              </w:rPr>
              <w:t xml:space="preserve">OTP Validity</w:t>
            </w:r>
          </w:p>
        </w:tc>
        <w:tc>
          <w:tcPr>
            <w:tcW w:type="dxa" w:w="5500"/>
            <w:tcBorders>
              <w:top w:val="single" w:color="000000" w:sz="1"/>
              <w:left w:val="single" w:color="000000" w:sz="1"/>
              <w:bottom w:val="single" w:color="000000" w:sz="1"/>
              <w:right w:val="single" w:color="000000" w:sz="1"/>
            </w:tcBorders>
          </w:tcPr>
          <w:p>
            <w:r>
              <w:rPr>
                <w:sz w:val="22"/>
                <w:szCs w:val="22"/>
              </w:rPr>
              <w:t xml:space="preserve">OTP codes expire after 3 minutes and maximum 3 retry attempts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BRL-004</w:t>
            </w:r>
          </w:p>
        </w:tc>
        <w:tc>
          <w:tcPr>
            <w:tcW w:type="dxa" w:w="2500"/>
            <w:tcBorders>
              <w:top w:val="single" w:color="000000" w:sz="1"/>
              <w:left w:val="single" w:color="000000" w:sz="1"/>
              <w:bottom w:val="single" w:color="000000" w:sz="1"/>
              <w:right w:val="single" w:color="000000" w:sz="1"/>
            </w:tcBorders>
          </w:tcPr>
          <w:p>
            <w:r>
              <w:rPr>
                <w:sz w:val="22"/>
                <w:szCs w:val="22"/>
              </w:rPr>
              <w:t xml:space="preserve">Session Timeout</w:t>
            </w:r>
          </w:p>
        </w:tc>
        <w:tc>
          <w:tcPr>
            <w:tcW w:type="dxa" w:w="5500"/>
            <w:tcBorders>
              <w:top w:val="single" w:color="000000" w:sz="1"/>
              <w:left w:val="single" w:color="000000" w:sz="1"/>
              <w:bottom w:val="single" w:color="000000" w:sz="1"/>
              <w:right w:val="single" w:color="000000" w:sz="1"/>
            </w:tcBorders>
          </w:tcPr>
          <w:p>
            <w:r>
              <w:rPr>
                <w:sz w:val="22"/>
                <w:szCs w:val="22"/>
              </w:rPr>
              <w:t xml:space="preserve">User sessions expire after 15 minutes of inactivity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1F4E79"/>
      <w:sz w:val="28"/>
      <w:szCs w:val="28"/>
    </w:rPr>
  </w:style>
  <w:style w:type="paragraph" w:styleId="Heading2">
    <w:name w:val="Heading 2"/>
    <w:basedOn w:val="Normal"/>
    <w:next w:val="Normal"/>
    <w:qFormat/>
    <w:pPr>
      <w:spacing w:before="300" w:after="150"/>
      <w:outlineLvl w:val="1"/>
    </w:pPr>
    <w:rPr>
      <w:b/>
      <w:bCs/>
      <w:color w:val="2E75B6"/>
      <w:sz w:val="26"/>
      <w:szCs w:val="26"/>
    </w:rPr>
  </w:style>
  <w:style w:type="paragraph" w:styleId="Heading3">
    <w:name w:val="Heading 3"/>
    <w:basedOn w:val="Normal"/>
    <w:next w:val="Normal"/>
    <w:qFormat/>
    <w:pPr>
      <w:spacing w:before="200" w:after="10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2026-02-17T08:43:50.083Z</dcterms:created>
  <dcterms:modified xsi:type="dcterms:W3CDTF">2026-02-17T08:43:50.084Z</dcterms:modified>
</cp:coreProperties>
</file>

<file path=docProps/custom.xml><?xml version="1.0" encoding="utf-8"?>
<Properties xmlns="http://schemas.openxmlformats.org/officeDocument/2006/custom-properties" xmlns:vt="http://schemas.openxmlformats.org/officeDocument/2006/docPropsVTypes"/>
</file>