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0"/>
        <w:jc w:val="center"/>
      </w:pPr>
      <w:r>
        <w:rPr>
          <w:b/>
          <w:bCs/>
          <w:color w:val="1F4E79"/>
          <w:sz w:val="48"/>
          <w:szCs w:val="48"/>
        </w:rPr>
        <w:t xml:space="preserve">Business Requirements Document</w:t>
      </w:r>
    </w:p>
    <w:p>
      <w:pPr>
        <w:spacing w:after="800"/>
        <w:jc w:val="center"/>
      </w:pPr>
      <w:r>
        <w:rPr>
          <w:b/>
          <w:bCs/>
          <w:sz w:val="36"/>
          <w:szCs w:val="36"/>
        </w:rPr>
        <w:t xml:space="preserve">ClaimsPro - Insurance Claims Management</w:t>
      </w:r>
    </w:p>
    <w:p>
      <w:pPr>
        <w:jc w:val="center"/>
      </w:pPr>
      <w:r>
        <w:rPr>
          <w:sz w:val="24"/>
          <w:szCs w:val="24"/>
        </w:rPr>
        <w:t xml:space="preserve">Version: 1.0</w:t>
      </w:r>
    </w:p>
    <w:p>
      <w:pPr>
        <w:jc w:val="center"/>
      </w:pPr>
      <w:r>
        <w:rPr>
          <w:sz w:val="24"/>
          <w:szCs w:val="24"/>
        </w:rPr>
        <w:t xml:space="preserve">Date: February 2025</w:t>
      </w:r>
    </w:p>
    <w:p>
      <w:pPr>
        <w:spacing w:after="400"/>
        <w:jc w:val="center"/>
      </w:pPr>
      <w:r>
        <w:rPr>
          <w:sz w:val="24"/>
          <w:szCs w:val="24"/>
        </w:rPr>
        <w:t xml:space="preserve">Domain: Insurance / InsurTech</w:t>
      </w:r>
    </w:p>
    <w:p>
      <w:r>
        <w:br w:type="page"/>
      </w:r>
    </w:p>
    <w:p>
      <w:pPr>
        <w:pStyle w:val="Heading1"/>
      </w:pPr>
      <w:r>
        <w:rPr>
          <w:b/>
          <w:bCs/>
        </w:rPr>
        <w:t xml:space="preserve">Table of Contents</w:t>
      </w:r>
    </w:p>
    <w:p>
      <w:pPr>
        <w:spacing w:after="400"/>
      </w:pPr>
      <w:r>
        <w:rPr>
          <w:i/>
          <w:iCs/>
          <w:sz w:val="20"/>
          <w:szCs w:val="20"/>
        </w:rPr>
        <w:t xml:space="preserve">(Update field to refresh page numbers)</w:t>
      </w:r>
    </w:p>
    <w:p>
      <w:r>
        <w:br w:type="page"/>
      </w:r>
    </w:p>
    <w:p>
      <w:pPr>
        <w:pStyle w:val="Heading1"/>
      </w:pPr>
      <w:r>
        <w:t xml:space="preserve">1. Introduction</w:t>
      </w:r>
    </w:p>
    <w:p>
      <w:pPr>
        <w:pStyle w:val="Heading2"/>
      </w:pPr>
      <w:r>
        <w:t xml:space="preserve">1.1 Document Purpose</w:t>
      </w:r>
    </w:p>
    <w:p>
      <w:pPr>
        <w:spacing w:after="200"/>
      </w:pPr>
      <w:r>
        <w:rPr>
          <w:sz w:val="22"/>
          <w:szCs w:val="22"/>
        </w:rPr>
        <w:t xml:space="preserve">The purpose of this document is to describe business requirements of the application completely, accurately and unambiguously in a technology-independent manner and to generate business and software/system requirements acceptable to the stakeholders.</w:t>
      </w:r>
    </w:p>
    <w:p>
      <w:pPr>
        <w:pStyle w:val="Heading2"/>
      </w:pPr>
      <w:r>
        <w:t xml:space="preserve">1.2 Intended Audience</w:t>
      </w:r>
    </w:p>
    <w:p>
      <w:pPr>
        <w:spacing w:after="200"/>
      </w:pPr>
      <w:r>
        <w:rPr>
          <w:sz w:val="22"/>
          <w:szCs w:val="22"/>
        </w:rPr>
        <w:t xml:space="preserve">The main intended audience for this document is the business owners of the proposed system. Data Architects, Application Architects and Technical Architects would also find the information in this document useful when they need to design a solution that will address these business requirements.</w:t>
      </w:r>
    </w:p>
    <w:p>
      <w:pPr>
        <w:pStyle w:val="Heading2"/>
      </w:pPr>
      <w:r>
        <w:t xml:space="preserve">1.3 Business Goals/Objectives/Benefits to be Achieved</w:t>
      </w:r>
    </w:p>
    <w:p>
      <w:pPr>
        <w:spacing w:after="100"/>
      </w:pPr>
      <w:r>
        <w:rPr>
          <w:b/>
          <w:bCs/>
          <w:sz w:val="22"/>
          <w:szCs w:val="22"/>
        </w:rPr>
        <w:t xml:space="preserve">Business Goals/Objectives: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Goals/Objectives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Reduce average claim processing time from 15 days to 3 days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Achieve 60% straight-through processing for simple claims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Improve customer satisfaction score to 4.5/5</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Reduce claims leakage by 25% through fraud detection</w:t>
            </w:r>
          </w:p>
        </w:tc>
      </w:tr>
    </w:tbl>
    <w:p>
      <w:pPr>
        <w:spacing w:before="200" w:after="100"/>
      </w:pPr>
      <w:r>
        <w:rPr>
          <w:b/>
          <w:bCs/>
          <w:sz w:val="22"/>
          <w:szCs w:val="22"/>
        </w:rPr>
        <w:t xml:space="preserve">Key Benefits: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Key Benefits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Enable customers to file claims digitally from anywhere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Reduce manual assessment effort through AI-powered damage analysis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Improve fraud detection with ML-based pattern recognition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Accelerate settlements with automated adjudication</w:t>
            </w:r>
          </w:p>
        </w:tc>
      </w:tr>
    </w:tbl>
    <w:p>
      <w:pPr>
        <w:pStyle w:val="Heading2"/>
      </w:pPr>
      <w:r>
        <w:t xml:space="preserve">1.4 Product/Service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Product/Service Description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ClaimsPro is a digital-first insurance claims management platform for motor, health, and property claims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AI-powered damage assessment and automated adjudication enable faster claim processing</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Integration with repair networks enables direct settlement with service providers</w:t>
            </w:r>
          </w:p>
        </w:tc>
      </w:tr>
    </w:tbl>
    <w:p>
      <w:pPr>
        <w:pStyle w:val="Heading2"/>
      </w:pPr>
      <w:r>
        <w:t xml:space="preserve">1.5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Stakeholder Name</w:t>
            </w:r>
          </w:p>
        </w:tc>
        <w:tc>
          <w:tcPr>
            <w:tcW w:type="dxa" w:w="3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Consulted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5500"/>
            <w:tcBorders>
              <w:top w:val="single" w:color="000000" w:sz="1"/>
              <w:left w:val="single" w:color="000000" w:sz="1"/>
              <w:bottom w:val="single" w:color="000000" w:sz="1"/>
              <w:right w:val="single" w:color="000000" w:sz="1"/>
            </w:tcBorders>
          </w:tcPr>
          <w:p>
            <w:r>
              <w:rPr>
                <w:sz w:val="22"/>
                <w:szCs w:val="22"/>
              </w:rPr>
              <w:t xml:space="preserve">Claims Department</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5500"/>
            <w:tcBorders>
              <w:top w:val="single" w:color="000000" w:sz="1"/>
              <w:left w:val="single" w:color="000000" w:sz="1"/>
              <w:bottom w:val="single" w:color="000000" w:sz="1"/>
              <w:right w:val="single" w:color="000000" w:sz="1"/>
            </w:tcBorders>
          </w:tcPr>
          <w:p>
            <w:r>
              <w:rPr>
                <w:sz w:val="22"/>
                <w:szCs w:val="22"/>
              </w:rPr>
              <w:t xml:space="preserve">Underwriting</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5500"/>
            <w:tcBorders>
              <w:top w:val="single" w:color="000000" w:sz="1"/>
              <w:left w:val="single" w:color="000000" w:sz="1"/>
              <w:bottom w:val="single" w:color="000000" w:sz="1"/>
              <w:right w:val="single" w:color="000000" w:sz="1"/>
            </w:tcBorders>
          </w:tcPr>
          <w:p>
            <w:r>
              <w:rPr>
                <w:sz w:val="22"/>
                <w:szCs w:val="22"/>
              </w:rPr>
              <w:t xml:space="preserve">Fraud Investigation Unit</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5500"/>
            <w:tcBorders>
              <w:top w:val="single" w:color="000000" w:sz="1"/>
              <w:left w:val="single" w:color="000000" w:sz="1"/>
              <w:bottom w:val="single" w:color="000000" w:sz="1"/>
              <w:right w:val="single" w:color="000000" w:sz="1"/>
            </w:tcBorders>
          </w:tcPr>
          <w:p>
            <w:r>
              <w:rPr>
                <w:sz w:val="22"/>
                <w:szCs w:val="22"/>
              </w:rPr>
              <w:t xml:space="preserve">Finance Department</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5</w:t>
            </w:r>
          </w:p>
        </w:tc>
        <w:tc>
          <w:tcPr>
            <w:tcW w:type="dxa" w:w="5500"/>
            <w:tcBorders>
              <w:top w:val="single" w:color="000000" w:sz="1"/>
              <w:left w:val="single" w:color="000000" w:sz="1"/>
              <w:bottom w:val="single" w:color="000000" w:sz="1"/>
              <w:right w:val="single" w:color="000000" w:sz="1"/>
            </w:tcBorders>
          </w:tcPr>
          <w:p>
            <w:r>
              <w:rPr>
                <w:sz w:val="22"/>
                <w:szCs w:val="22"/>
              </w:rPr>
              <w:t xml:space="preserve">Customer Service</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6</w:t>
            </w:r>
          </w:p>
        </w:tc>
        <w:tc>
          <w:tcPr>
            <w:tcW w:type="dxa" w:w="5500"/>
            <w:tcBorders>
              <w:top w:val="single" w:color="000000" w:sz="1"/>
              <w:left w:val="single" w:color="000000" w:sz="1"/>
              <w:bottom w:val="single" w:color="000000" w:sz="1"/>
              <w:right w:val="single" w:color="000000" w:sz="1"/>
            </w:tcBorders>
          </w:tcPr>
          <w:p>
            <w:r>
              <w:rPr>
                <w:sz w:val="22"/>
                <w:szCs w:val="22"/>
              </w:rPr>
              <w:t xml:space="preserve">Repair Network Partners</w:t>
            </w:r>
          </w:p>
        </w:tc>
        <w:tc>
          <w:tcPr>
            <w:tcW w:type="dxa" w:w="3000"/>
            <w:tcBorders>
              <w:top w:val="single" w:color="000000" w:sz="1"/>
              <w:left w:val="single" w:color="000000" w:sz="1"/>
              <w:bottom w:val="single" w:color="000000" w:sz="1"/>
              <w:right w:val="single" w:color="000000" w:sz="1"/>
            </w:tcBorders>
          </w:tcPr>
          <w:p>
            <w:r>
              <w:rPr>
                <w:sz w:val="22"/>
                <w:szCs w:val="22"/>
              </w:rPr>
              <w:t xml:space="preserve">Consulted</w:t>
            </w:r>
          </w:p>
        </w:tc>
      </w:tr>
    </w:tbl>
    <w:p>
      <w:pPr>
        <w:pStyle w:val="Heading2"/>
      </w:pPr>
      <w:r>
        <w:t xml:space="preserve">1.6 Assumptions &amp;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Key Assumptions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Customers will submit claims via mobile app with photos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AI damage assessment will be used for initial triage only</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Complex claims will still require manual adjuster review</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Repair network partners will accept direct settlement</w:t>
            </w:r>
          </w:p>
        </w:tc>
      </w:tr>
    </w:tbl>
    <w:p>
      <w:r>
        <w:br w:type="page"/>
      </w:r>
    </w:p>
    <w:p>
      <w:pPr>
        <w:pStyle w:val="Heading1"/>
      </w:pPr>
      <w:r>
        <w:t xml:space="preserve">2. Business Requirements &amp; Process Description/Flow</w:t>
      </w:r>
    </w:p>
    <w:p>
      <w:pPr>
        <w:pStyle w:val="Heading2"/>
      </w:pPr>
      <w:r>
        <w:t xml:space="preserve">2.1 Business Service</w:t>
      </w:r>
    </w:p>
    <w:p>
      <w:pPr>
        <w:spacing w:after="200"/>
      </w:pPr>
      <w:r>
        <w:rPr>
          <w:sz w:val="22"/>
          <w:szCs w:val="22"/>
        </w:rPr>
        <w:t xml:space="preserve">ClaimsPro is a digital-first insurance claims management platform for motor, health, and property claims</w:t>
      </w:r>
    </w:p>
    <w:p>
      <w:pPr>
        <w:pStyle w:val="Heading3"/>
      </w:pPr>
      <w:r>
        <w:t xml:space="preserve">2.1.1 Requirements Summary</w:t>
      </w:r>
    </w:p>
    <w:p>
      <w:pPr>
        <w:spacing w:after="200"/>
      </w:pPr>
      <w:r>
        <w:rPr>
          <w:sz w:val="22"/>
          <w:szCs w:val="22"/>
        </w:rPr>
        <w:t xml:space="preserve">This document outlines the business requirements for ClaimsPro - Insurance Claims Management. The system will ai-powered damage assessment and automated adjudication enable faster claim processing</w:t>
      </w:r>
    </w:p>
    <w:p>
      <w:pPr>
        <w:pStyle w:val="Heading3"/>
      </w:pPr>
      <w:r>
        <w:t xml:space="preserve">2.1.2 In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In Scope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First Notice of Loss (FNOL) via mobile app</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Photo and video capture for damage documentation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AI-based damage assessment and cost estimation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Automated claim routing and assignment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5</w:t>
            </w:r>
          </w:p>
        </w:tc>
        <w:tc>
          <w:tcPr>
            <w:tcW w:type="dxa" w:w="8500"/>
            <w:tcBorders>
              <w:top w:val="single" w:color="000000" w:sz="1"/>
              <w:left w:val="single" w:color="000000" w:sz="1"/>
              <w:bottom w:val="single" w:color="000000" w:sz="1"/>
              <w:right w:val="single" w:color="000000" w:sz="1"/>
            </w:tcBorders>
          </w:tcPr>
          <w:p>
            <w:r>
              <w:rPr>
                <w:sz w:val="22"/>
                <w:szCs w:val="22"/>
              </w:rPr>
              <w:t xml:space="preserve">Fraud scoring and detection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6</w:t>
            </w:r>
          </w:p>
        </w:tc>
        <w:tc>
          <w:tcPr>
            <w:tcW w:type="dxa" w:w="8500"/>
            <w:tcBorders>
              <w:top w:val="single" w:color="000000" w:sz="1"/>
              <w:left w:val="single" w:color="000000" w:sz="1"/>
              <w:bottom w:val="single" w:color="000000" w:sz="1"/>
              <w:right w:val="single" w:color="000000" w:sz="1"/>
            </w:tcBorders>
          </w:tcPr>
          <w:p>
            <w:r>
              <w:rPr>
                <w:sz w:val="22"/>
                <w:szCs w:val="22"/>
              </w:rPr>
              <w:t xml:space="preserve">Settlement offer generation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7</w:t>
            </w:r>
          </w:p>
        </w:tc>
        <w:tc>
          <w:tcPr>
            <w:tcW w:type="dxa" w:w="8500"/>
            <w:tcBorders>
              <w:top w:val="single" w:color="000000" w:sz="1"/>
              <w:left w:val="single" w:color="000000" w:sz="1"/>
              <w:bottom w:val="single" w:color="000000" w:sz="1"/>
              <w:right w:val="single" w:color="000000" w:sz="1"/>
            </w:tcBorders>
          </w:tcPr>
          <w:p>
            <w:r>
              <w:rPr>
                <w:sz w:val="22"/>
                <w:szCs w:val="22"/>
              </w:rPr>
              <w:t xml:space="preserve">Direct payment to repair shops or customers</w:t>
            </w:r>
          </w:p>
        </w:tc>
      </w:tr>
    </w:tbl>
    <w:p>
      <w:pPr>
        <w:pStyle w:val="Heading3"/>
      </w:pPr>
      <w:r>
        <w:t xml:space="preserve">2.1.3 Out of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Out of Scope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Policy administration and underwriting</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Reinsurance management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Litigation and subrogation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Third-party liability claims</w:t>
            </w:r>
          </w:p>
        </w:tc>
      </w:tr>
    </w:tbl>
    <w:p>
      <w:pPr>
        <w:pStyle w:val="Heading3"/>
      </w:pPr>
      <w:r>
        <w:t xml:space="preserve">2.1.4 Process Workflow TO-BE</w:t>
      </w:r>
    </w:p>
    <w:p>
      <w:pPr>
        <w:spacing w:after="200"/>
      </w:pPr>
      <w:r>
        <w:rPr>
          <w:i/>
          <w:iCs/>
          <w:sz w:val="22"/>
          <w:szCs w:val="22"/>
        </w:rPr>
        <w:t xml:space="preserve">Refer to the sequence diagrams included in this project folder for detailed process workflows.</w:t>
      </w:r>
    </w:p>
    <w:p>
      <w:pPr>
        <w:pStyle w:val="Heading3"/>
      </w:pPr>
      <w:r>
        <w:t xml:space="preserve">2.1.5 Business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Req ID</w:t>
            </w:r>
          </w:p>
        </w:tc>
        <w:tc>
          <w:tcPr>
            <w:tcW w:type="dxa" w:w="2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Requirement Name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Requirement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BR-001</w:t>
            </w:r>
          </w:p>
        </w:tc>
        <w:tc>
          <w:tcPr>
            <w:tcW w:type="dxa" w:w="2500"/>
            <w:tcBorders>
              <w:top w:val="single" w:color="000000" w:sz="1"/>
              <w:left w:val="single" w:color="000000" w:sz="1"/>
              <w:bottom w:val="single" w:color="000000" w:sz="1"/>
              <w:right w:val="single" w:color="000000" w:sz="1"/>
            </w:tcBorders>
          </w:tcPr>
          <w:p>
            <w:r>
              <w:rPr>
                <w:sz w:val="22"/>
                <w:szCs w:val="22"/>
              </w:rPr>
              <w:t xml:space="preserve">FNOL Submission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enable First Notice of Loss submission via mobile app</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BR-002</w:t>
            </w:r>
          </w:p>
        </w:tc>
        <w:tc>
          <w:tcPr>
            <w:tcW w:type="dxa" w:w="2500"/>
            <w:tcBorders>
              <w:top w:val="single" w:color="000000" w:sz="1"/>
              <w:left w:val="single" w:color="000000" w:sz="1"/>
              <w:bottom w:val="single" w:color="000000" w:sz="1"/>
              <w:right w:val="single" w:color="000000" w:sz="1"/>
            </w:tcBorders>
          </w:tcPr>
          <w:p>
            <w:r>
              <w:rPr>
                <w:sz w:val="22"/>
                <w:szCs w:val="22"/>
              </w:rPr>
              <w:t xml:space="preserve">Photo Capture</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capture accident photos and videos with GPS location</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BR-003</w:t>
            </w:r>
          </w:p>
        </w:tc>
        <w:tc>
          <w:tcPr>
            <w:tcW w:type="dxa" w:w="2500"/>
            <w:tcBorders>
              <w:top w:val="single" w:color="000000" w:sz="1"/>
              <w:left w:val="single" w:color="000000" w:sz="1"/>
              <w:bottom w:val="single" w:color="000000" w:sz="1"/>
              <w:right w:val="single" w:color="000000" w:sz="1"/>
            </w:tcBorders>
          </w:tcPr>
          <w:p>
            <w:r>
              <w:rPr>
                <w:sz w:val="22"/>
                <w:szCs w:val="22"/>
              </w:rPr>
              <w:t xml:space="preserve">AI Assessment</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perform AI-based damage assessment from photos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BR-004</w:t>
            </w:r>
          </w:p>
        </w:tc>
        <w:tc>
          <w:tcPr>
            <w:tcW w:type="dxa" w:w="2500"/>
            <w:tcBorders>
              <w:top w:val="single" w:color="000000" w:sz="1"/>
              <w:left w:val="single" w:color="000000" w:sz="1"/>
              <w:bottom w:val="single" w:color="000000" w:sz="1"/>
              <w:right w:val="single" w:color="000000" w:sz="1"/>
            </w:tcBorders>
          </w:tcPr>
          <w:p>
            <w:r>
              <w:rPr>
                <w:sz w:val="22"/>
                <w:szCs w:val="22"/>
              </w:rPr>
              <w:t xml:space="preserve">Cost Estimation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estimate repair costs using ML models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BR-005</w:t>
            </w:r>
          </w:p>
        </w:tc>
        <w:tc>
          <w:tcPr>
            <w:tcW w:type="dxa" w:w="2500"/>
            <w:tcBorders>
              <w:top w:val="single" w:color="000000" w:sz="1"/>
              <w:left w:val="single" w:color="000000" w:sz="1"/>
              <w:bottom w:val="single" w:color="000000" w:sz="1"/>
              <w:right w:val="single" w:color="000000" w:sz="1"/>
            </w:tcBorders>
          </w:tcPr>
          <w:p>
            <w:r>
              <w:rPr>
                <w:sz w:val="22"/>
                <w:szCs w:val="22"/>
              </w:rPr>
              <w:t xml:space="preserve">Claim Routing</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route claims to appropriate adjusters based on complexity</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BR-006</w:t>
            </w:r>
          </w:p>
        </w:tc>
        <w:tc>
          <w:tcPr>
            <w:tcW w:type="dxa" w:w="2500"/>
            <w:tcBorders>
              <w:top w:val="single" w:color="000000" w:sz="1"/>
              <w:left w:val="single" w:color="000000" w:sz="1"/>
              <w:bottom w:val="single" w:color="000000" w:sz="1"/>
              <w:right w:val="single" w:color="000000" w:sz="1"/>
            </w:tcBorders>
          </w:tcPr>
          <w:p>
            <w:r>
              <w:rPr>
                <w:sz w:val="22"/>
                <w:szCs w:val="22"/>
              </w:rPr>
              <w:t xml:space="preserve">Fraud Scoring</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score claims for fraud probability in real-time</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BR-007</w:t>
            </w:r>
          </w:p>
        </w:tc>
        <w:tc>
          <w:tcPr>
            <w:tcW w:type="dxa" w:w="2500"/>
            <w:tcBorders>
              <w:top w:val="single" w:color="000000" w:sz="1"/>
              <w:left w:val="single" w:color="000000" w:sz="1"/>
              <w:bottom w:val="single" w:color="000000" w:sz="1"/>
              <w:right w:val="single" w:color="000000" w:sz="1"/>
            </w:tcBorders>
          </w:tcPr>
          <w:p>
            <w:r>
              <w:rPr>
                <w:sz w:val="22"/>
                <w:szCs w:val="22"/>
              </w:rPr>
              <w:t xml:space="preserve">Auto-Adjudication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auto-adjudicate claims below threshold amount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BR-008</w:t>
            </w:r>
          </w:p>
        </w:tc>
        <w:tc>
          <w:tcPr>
            <w:tcW w:type="dxa" w:w="2500"/>
            <w:tcBorders>
              <w:top w:val="single" w:color="000000" w:sz="1"/>
              <w:left w:val="single" w:color="000000" w:sz="1"/>
              <w:bottom w:val="single" w:color="000000" w:sz="1"/>
              <w:right w:val="single" w:color="000000" w:sz="1"/>
            </w:tcBorders>
          </w:tcPr>
          <w:p>
            <w:r>
              <w:rPr>
                <w:sz w:val="22"/>
                <w:szCs w:val="22"/>
              </w:rPr>
              <w:t xml:space="preserve">Settlement Offer</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generate settlement offers with policy deductibles applied</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BR-009</w:t>
            </w:r>
          </w:p>
        </w:tc>
        <w:tc>
          <w:tcPr>
            <w:tcW w:type="dxa" w:w="2500"/>
            <w:tcBorders>
              <w:top w:val="single" w:color="000000" w:sz="1"/>
              <w:left w:val="single" w:color="000000" w:sz="1"/>
              <w:bottom w:val="single" w:color="000000" w:sz="1"/>
              <w:right w:val="single" w:color="000000" w:sz="1"/>
            </w:tcBorders>
          </w:tcPr>
          <w:p>
            <w:r>
              <w:rPr>
                <w:sz w:val="22"/>
                <w:szCs w:val="22"/>
              </w:rPr>
              <w:t xml:space="preserve">Direct Payment</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process direct payments to repair shops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BR-010</w:t>
            </w:r>
          </w:p>
        </w:tc>
        <w:tc>
          <w:tcPr>
            <w:tcW w:type="dxa" w:w="2500"/>
            <w:tcBorders>
              <w:top w:val="single" w:color="000000" w:sz="1"/>
              <w:left w:val="single" w:color="000000" w:sz="1"/>
              <w:bottom w:val="single" w:color="000000" w:sz="1"/>
              <w:right w:val="single" w:color="000000" w:sz="1"/>
            </w:tcBorders>
          </w:tcPr>
          <w:p>
            <w:r>
              <w:rPr>
                <w:sz w:val="22"/>
                <w:szCs w:val="22"/>
              </w:rPr>
              <w:t xml:space="preserve">Claim Tracking</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provide real-time claim status tracking to customers</w:t>
            </w:r>
          </w:p>
        </w:tc>
      </w:tr>
    </w:tbl>
    <w:p>
      <w:pPr>
        <w:pStyle w:val="Heading3"/>
      </w:pPr>
      <w:r>
        <w:t xml:space="preserve">2.1.6 Business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Rule ID</w:t>
            </w:r>
          </w:p>
        </w:tc>
        <w:tc>
          <w:tcPr>
            <w:tcW w:type="dxa" w:w="2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Rule Name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Rule</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BRL-001</w:t>
            </w:r>
          </w:p>
        </w:tc>
        <w:tc>
          <w:tcPr>
            <w:tcW w:type="dxa" w:w="2500"/>
            <w:tcBorders>
              <w:top w:val="single" w:color="000000" w:sz="1"/>
              <w:left w:val="single" w:color="000000" w:sz="1"/>
              <w:bottom w:val="single" w:color="000000" w:sz="1"/>
              <w:right w:val="single" w:color="000000" w:sz="1"/>
            </w:tcBorders>
          </w:tcPr>
          <w:p>
            <w:r>
              <w:rPr>
                <w:sz w:val="22"/>
                <w:szCs w:val="22"/>
              </w:rPr>
              <w:t xml:space="preserve">Auto-Adjudication Limit</w:t>
            </w:r>
          </w:p>
        </w:tc>
        <w:tc>
          <w:tcPr>
            <w:tcW w:type="dxa" w:w="5500"/>
            <w:tcBorders>
              <w:top w:val="single" w:color="000000" w:sz="1"/>
              <w:left w:val="single" w:color="000000" w:sz="1"/>
              <w:bottom w:val="single" w:color="000000" w:sz="1"/>
              <w:right w:val="single" w:color="000000" w:sz="1"/>
            </w:tcBorders>
          </w:tcPr>
          <w:p>
            <w:r>
              <w:rPr>
                <w:sz w:val="22"/>
                <w:szCs w:val="22"/>
              </w:rPr>
              <w:t xml:space="preserve">Claims under 5,000 SAR with low fraud score are auto-adjudicated</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BRL-002</w:t>
            </w:r>
          </w:p>
        </w:tc>
        <w:tc>
          <w:tcPr>
            <w:tcW w:type="dxa" w:w="2500"/>
            <w:tcBorders>
              <w:top w:val="single" w:color="000000" w:sz="1"/>
              <w:left w:val="single" w:color="000000" w:sz="1"/>
              <w:bottom w:val="single" w:color="000000" w:sz="1"/>
              <w:right w:val="single" w:color="000000" w:sz="1"/>
            </w:tcBorders>
          </w:tcPr>
          <w:p>
            <w:r>
              <w:rPr>
                <w:sz w:val="22"/>
                <w:szCs w:val="22"/>
              </w:rPr>
              <w:t xml:space="preserve">Fraud Review</w:t>
            </w:r>
          </w:p>
        </w:tc>
        <w:tc>
          <w:tcPr>
            <w:tcW w:type="dxa" w:w="5500"/>
            <w:tcBorders>
              <w:top w:val="single" w:color="000000" w:sz="1"/>
              <w:left w:val="single" w:color="000000" w:sz="1"/>
              <w:bottom w:val="single" w:color="000000" w:sz="1"/>
              <w:right w:val="single" w:color="000000" w:sz="1"/>
            </w:tcBorders>
          </w:tcPr>
          <w:p>
            <w:r>
              <w:rPr>
                <w:sz w:val="22"/>
                <w:szCs w:val="22"/>
              </w:rPr>
              <w:t xml:space="preserve">Claims with fraud score &gt; 70 are routed to Special Investigation Unit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BRL-003</w:t>
            </w:r>
          </w:p>
        </w:tc>
        <w:tc>
          <w:tcPr>
            <w:tcW w:type="dxa" w:w="2500"/>
            <w:tcBorders>
              <w:top w:val="single" w:color="000000" w:sz="1"/>
              <w:left w:val="single" w:color="000000" w:sz="1"/>
              <w:bottom w:val="single" w:color="000000" w:sz="1"/>
              <w:right w:val="single" w:color="000000" w:sz="1"/>
            </w:tcBorders>
          </w:tcPr>
          <w:p>
            <w:r>
              <w:rPr>
                <w:sz w:val="22"/>
                <w:szCs w:val="22"/>
              </w:rPr>
              <w:t xml:space="preserve">Salvage Threshold</w:t>
            </w:r>
          </w:p>
        </w:tc>
        <w:tc>
          <w:tcPr>
            <w:tcW w:type="dxa" w:w="5500"/>
            <w:tcBorders>
              <w:top w:val="single" w:color="000000" w:sz="1"/>
              <w:left w:val="single" w:color="000000" w:sz="1"/>
              <w:bottom w:val="single" w:color="000000" w:sz="1"/>
              <w:right w:val="single" w:color="000000" w:sz="1"/>
            </w:tcBorders>
          </w:tcPr>
          <w:p>
            <w:r>
              <w:rPr>
                <w:sz w:val="22"/>
                <w:szCs w:val="22"/>
              </w:rPr>
              <w:t xml:space="preserve">Vehicles with damage &gt; 75% of value are declared total loss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BRL-004</w:t>
            </w:r>
          </w:p>
        </w:tc>
        <w:tc>
          <w:tcPr>
            <w:tcW w:type="dxa" w:w="2500"/>
            <w:tcBorders>
              <w:top w:val="single" w:color="000000" w:sz="1"/>
              <w:left w:val="single" w:color="000000" w:sz="1"/>
              <w:bottom w:val="single" w:color="000000" w:sz="1"/>
              <w:right w:val="single" w:color="000000" w:sz="1"/>
            </w:tcBorders>
          </w:tcPr>
          <w:p>
            <w:r>
              <w:rPr>
                <w:sz w:val="22"/>
                <w:szCs w:val="22"/>
              </w:rPr>
              <w:t xml:space="preserve">Claim Window</w:t>
            </w:r>
          </w:p>
        </w:tc>
        <w:tc>
          <w:tcPr>
            <w:tcW w:type="dxa" w:w="5500"/>
            <w:tcBorders>
              <w:top w:val="single" w:color="000000" w:sz="1"/>
              <w:left w:val="single" w:color="000000" w:sz="1"/>
              <w:bottom w:val="single" w:color="000000" w:sz="1"/>
              <w:right w:val="single" w:color="000000" w:sz="1"/>
            </w:tcBorders>
          </w:tcPr>
          <w:p>
            <w:r>
              <w:rPr>
                <w:sz w:val="22"/>
                <w:szCs w:val="22"/>
              </w:rPr>
              <w:t xml:space="preserve">Claims must be filed within 30 days of incident date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1F4E79"/>
      <w:sz w:val="28"/>
      <w:szCs w:val="28"/>
    </w:rPr>
  </w:style>
  <w:style w:type="paragraph" w:styleId="Heading2">
    <w:name w:val="Heading 2"/>
    <w:basedOn w:val="Normal"/>
    <w:next w:val="Normal"/>
    <w:qFormat/>
    <w:pPr>
      <w:spacing w:before="300" w:after="150"/>
      <w:outlineLvl w:val="1"/>
    </w:pPr>
    <w:rPr>
      <w:b/>
      <w:bCs/>
      <w:color w:val="2E75B6"/>
      <w:sz w:val="26"/>
      <w:szCs w:val="26"/>
    </w:rPr>
  </w:style>
  <w:style w:type="paragraph" w:styleId="Heading3">
    <w:name w:val="Heading 3"/>
    <w:basedOn w:val="Normal"/>
    <w:next w:val="Normal"/>
    <w:qFormat/>
    <w:pPr>
      <w:spacing w:before="200" w:after="100"/>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2026-02-17T08:43:50.213Z</dcterms:created>
  <dcterms:modified xsi:type="dcterms:W3CDTF">2026-02-17T08:43:50.213Z</dcterms:modified>
</cp:coreProperties>
</file>

<file path=docProps/custom.xml><?xml version="1.0" encoding="utf-8"?>
<Properties xmlns="http://schemas.openxmlformats.org/officeDocument/2006/custom-properties" xmlns:vt="http://schemas.openxmlformats.org/officeDocument/2006/docPropsVTypes"/>
</file>