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400"/>
        <w:jc w:val="center"/>
      </w:pPr>
      <w:r>
        <w:rPr>
          <w:b/>
          <w:bCs/>
          <w:color w:val="1F4E79"/>
          <w:sz w:val="48"/>
          <w:szCs w:val="48"/>
        </w:rPr>
        <w:t xml:space="preserve">Business Requirements Document</w:t>
      </w:r>
    </w:p>
    <w:p>
      <w:pPr>
        <w:spacing w:after="800"/>
        <w:jc w:val="center"/>
      </w:pPr>
      <w:r>
        <w:rPr>
          <w:b/>
          <w:bCs/>
          <w:sz w:val="36"/>
          <w:szCs w:val="36"/>
        </w:rPr>
        <w:t xml:space="preserve">PayFlow - Payment Gateway Platform</w:t>
      </w:r>
    </w:p>
    <w:p>
      <w:pPr>
        <w:jc w:val="center"/>
      </w:pPr>
      <w:r>
        <w:rPr>
          <w:sz w:val="24"/>
          <w:szCs w:val="24"/>
        </w:rPr>
        <w:t xml:space="preserve">Version: 1.0</w:t>
      </w:r>
    </w:p>
    <w:p>
      <w:pPr>
        <w:jc w:val="center"/>
      </w:pPr>
      <w:r>
        <w:rPr>
          <w:sz w:val="24"/>
          <w:szCs w:val="24"/>
        </w:rPr>
        <w:t xml:space="preserve">Date: February 2025</w:t>
      </w:r>
    </w:p>
    <w:p>
      <w:pPr>
        <w:spacing w:after="400"/>
        <w:jc w:val="center"/>
      </w:pPr>
      <w:r>
        <w:rPr>
          <w:sz w:val="24"/>
          <w:szCs w:val="24"/>
        </w:rPr>
        <w:t xml:space="preserve">Domain: Payment Processing / E-commerce</w:t>
      </w:r>
    </w:p>
    <w:p>
      <w:r>
        <w:br w:type="page"/>
      </w:r>
    </w:p>
    <w:p>
      <w:pPr>
        <w:pStyle w:val="Heading1"/>
      </w:pPr>
      <w:r>
        <w:rPr>
          <w:b/>
          <w:bCs/>
        </w:rPr>
        <w:t xml:space="preserve">Table of Contents</w:t>
      </w:r>
    </w:p>
    <w:p>
      <w:pPr>
        <w:spacing w:after="400"/>
      </w:pPr>
      <w:r>
        <w:rPr>
          <w:i/>
          <w:iCs/>
          <w:sz w:val="20"/>
          <w:szCs w:val="20"/>
        </w:rPr>
        <w:t xml:space="preserve">(Update field to refresh page numbers)</w:t>
      </w:r>
    </w:p>
    <w:p>
      <w:r>
        <w:br w:type="page"/>
      </w:r>
    </w:p>
    <w:p>
      <w:pPr>
        <w:pStyle w:val="Heading1"/>
      </w:pPr>
      <w:r>
        <w:t xml:space="preserve">1. Introduction</w:t>
      </w:r>
    </w:p>
    <w:p>
      <w:pPr>
        <w:pStyle w:val="Heading2"/>
      </w:pPr>
      <w:r>
        <w:t xml:space="preserve">1.1 Document Purpose</w:t>
      </w:r>
    </w:p>
    <w:p>
      <w:pPr>
        <w:spacing w:after="200"/>
      </w:pPr>
      <w:r>
        <w:rPr>
          <w:sz w:val="22"/>
          <w:szCs w:val="22"/>
        </w:rPr>
        <w:t xml:space="preserve">The purpose of this document is to describe business requirements of the application completely, accurately and unambiguously in a technology-independent manner and to generate business and software/system requirements acceptable to the stakeholders.</w:t>
      </w:r>
    </w:p>
    <w:p>
      <w:pPr>
        <w:pStyle w:val="Heading2"/>
      </w:pPr>
      <w:r>
        <w:t xml:space="preserve">1.2 Intended Audience</w:t>
      </w:r>
    </w:p>
    <w:p>
      <w:pPr>
        <w:spacing w:after="200"/>
      </w:pPr>
      <w:r>
        <w:rPr>
          <w:sz w:val="22"/>
          <w:szCs w:val="22"/>
        </w:rPr>
        <w:t xml:space="preserve">The main intended audience for this document is the business owners of the proposed system. Data Architects, Application Architects and Technical Architects would also find the information in this document useful when they need to design a solution that will address these business requirements.</w:t>
      </w:r>
    </w:p>
    <w:p>
      <w:pPr>
        <w:pStyle w:val="Heading2"/>
      </w:pPr>
      <w:r>
        <w:t xml:space="preserve">1.3 Business Goals/Objectives/Benefits to be Achieved</w:t>
      </w:r>
    </w:p>
    <w:p>
      <w:pPr>
        <w:spacing w:after="100"/>
      </w:pPr>
      <w:r>
        <w:rPr>
          <w:b/>
          <w:bCs/>
          <w:sz w:val="22"/>
          <w:szCs w:val="22"/>
        </w:rPr>
        <w:t xml:space="preserve">Business Goals/Objectives: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Business Goals/Objectives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Process $1 billion in annual payment volume within two years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Onboard 5,000 merchants across GCC region</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Achieve PCI-DSS Level 1 certification</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8500"/>
            <w:tcBorders>
              <w:top w:val="single" w:color="000000" w:sz="1"/>
              <w:left w:val="single" w:color="000000" w:sz="1"/>
              <w:bottom w:val="single" w:color="000000" w:sz="1"/>
              <w:right w:val="single" w:color="000000" w:sz="1"/>
            </w:tcBorders>
          </w:tcPr>
          <w:p>
            <w:r>
              <w:rPr>
                <w:sz w:val="22"/>
                <w:szCs w:val="22"/>
              </w:rPr>
              <w:t xml:space="preserve">Maintain transaction success rate above 95%</w:t>
            </w:r>
          </w:p>
        </w:tc>
      </w:tr>
    </w:tbl>
    <w:p>
      <w:pPr>
        <w:spacing w:before="200" w:after="100"/>
      </w:pPr>
      <w:r>
        <w:rPr>
          <w:b/>
          <w:bCs/>
          <w:sz w:val="22"/>
          <w:szCs w:val="22"/>
        </w:rPr>
        <w:t xml:space="preserve">Key Benefits: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Key Benefits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Enable merchants to accept payments through multiple channels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Provide sub-second payment authorization for improved checkout experience</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Reduce fraud losses through ML-powered fraud detection</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8500"/>
            <w:tcBorders>
              <w:top w:val="single" w:color="000000" w:sz="1"/>
              <w:left w:val="single" w:color="000000" w:sz="1"/>
              <w:bottom w:val="single" w:color="000000" w:sz="1"/>
              <w:right w:val="single" w:color="000000" w:sz="1"/>
            </w:tcBorders>
          </w:tcPr>
          <w:p>
            <w:r>
              <w:rPr>
                <w:sz w:val="22"/>
                <w:szCs w:val="22"/>
              </w:rPr>
              <w:t xml:space="preserve">Simplify reconciliation with automated settlement reports</w:t>
            </w:r>
          </w:p>
        </w:tc>
      </w:tr>
    </w:tbl>
    <w:p>
      <w:pPr>
        <w:pStyle w:val="Heading2"/>
      </w:pPr>
      <w:r>
        <w:t xml:space="preserve">1.4 Product/Service Description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Product/Service Description</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PayFlow is an enterprise payment gateway enabling merchants to accept online payments through credit cards, debit cards, and digital wallets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The platform provides secure payment processing, fraud prevention, and automated settlement</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Support for 3D Secure 2.0 ensures strong customer authentication</w:t>
            </w:r>
          </w:p>
        </w:tc>
      </w:tr>
    </w:tbl>
    <w:p>
      <w:pPr>
        <w:pStyle w:val="Heading2"/>
      </w:pPr>
      <w:r>
        <w:t xml:space="preserve">1.5 Stakeholders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5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Stakeholder Name</w:t>
            </w:r>
          </w:p>
        </w:tc>
        <w:tc>
          <w:tcPr>
            <w:tcW w:type="dxa" w:w="30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Consulted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5500"/>
            <w:tcBorders>
              <w:top w:val="single" w:color="000000" w:sz="1"/>
              <w:left w:val="single" w:color="000000" w:sz="1"/>
              <w:bottom w:val="single" w:color="000000" w:sz="1"/>
              <w:right w:val="single" w:color="000000" w:sz="1"/>
            </w:tcBorders>
          </w:tcPr>
          <w:p>
            <w:r>
              <w:rPr>
                <w:sz w:val="22"/>
                <w:szCs w:val="22"/>
              </w:rPr>
              <w:t xml:space="preserve">Card Networks (VISA/MC)</w:t>
            </w:r>
          </w:p>
        </w:tc>
        <w:tc>
          <w:tcPr>
            <w:tcW w:type="dxa" w:w="3000"/>
            <w:tcBorders>
              <w:top w:val="single" w:color="000000" w:sz="1"/>
              <w:left w:val="single" w:color="000000" w:sz="1"/>
              <w:bottom w:val="single" w:color="000000" w:sz="1"/>
              <w:right w:val="single" w:color="000000" w:sz="1"/>
            </w:tcBorders>
          </w:tcPr>
          <w:p>
            <w:r>
              <w:rPr>
                <w:sz w:val="22"/>
                <w:szCs w:val="22"/>
              </w:rPr>
              <w:t xml:space="preserve">Required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5500"/>
            <w:tcBorders>
              <w:top w:val="single" w:color="000000" w:sz="1"/>
              <w:left w:val="single" w:color="000000" w:sz="1"/>
              <w:bottom w:val="single" w:color="000000" w:sz="1"/>
              <w:right w:val="single" w:color="000000" w:sz="1"/>
            </w:tcBorders>
          </w:tcPr>
          <w:p>
            <w:r>
              <w:rPr>
                <w:sz w:val="22"/>
                <w:szCs w:val="22"/>
              </w:rPr>
              <w:t xml:space="preserve">Acquiring Banks</w:t>
            </w:r>
          </w:p>
        </w:tc>
        <w:tc>
          <w:tcPr>
            <w:tcW w:type="dxa" w:w="3000"/>
            <w:tcBorders>
              <w:top w:val="single" w:color="000000" w:sz="1"/>
              <w:left w:val="single" w:color="000000" w:sz="1"/>
              <w:bottom w:val="single" w:color="000000" w:sz="1"/>
              <w:right w:val="single" w:color="000000" w:sz="1"/>
            </w:tcBorders>
          </w:tcPr>
          <w:p>
            <w:r>
              <w:rPr>
                <w:sz w:val="22"/>
                <w:szCs w:val="22"/>
              </w:rPr>
              <w:t xml:space="preserve">Required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5500"/>
            <w:tcBorders>
              <w:top w:val="single" w:color="000000" w:sz="1"/>
              <w:left w:val="single" w:color="000000" w:sz="1"/>
              <w:bottom w:val="single" w:color="000000" w:sz="1"/>
              <w:right w:val="single" w:color="000000" w:sz="1"/>
            </w:tcBorders>
          </w:tcPr>
          <w:p>
            <w:r>
              <w:rPr>
                <w:sz w:val="22"/>
                <w:szCs w:val="22"/>
              </w:rPr>
              <w:t xml:space="preserve">PCI QSA Auditor</w:t>
            </w:r>
          </w:p>
        </w:tc>
        <w:tc>
          <w:tcPr>
            <w:tcW w:type="dxa" w:w="3000"/>
            <w:tcBorders>
              <w:top w:val="single" w:color="000000" w:sz="1"/>
              <w:left w:val="single" w:color="000000" w:sz="1"/>
              <w:bottom w:val="single" w:color="000000" w:sz="1"/>
              <w:right w:val="single" w:color="000000" w:sz="1"/>
            </w:tcBorders>
          </w:tcPr>
          <w:p>
            <w:r>
              <w:rPr>
                <w:sz w:val="22"/>
                <w:szCs w:val="22"/>
              </w:rPr>
              <w:t xml:space="preserve">Required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5500"/>
            <w:tcBorders>
              <w:top w:val="single" w:color="000000" w:sz="1"/>
              <w:left w:val="single" w:color="000000" w:sz="1"/>
              <w:bottom w:val="single" w:color="000000" w:sz="1"/>
              <w:right w:val="single" w:color="000000" w:sz="1"/>
            </w:tcBorders>
          </w:tcPr>
          <w:p>
            <w:r>
              <w:rPr>
                <w:sz w:val="22"/>
                <w:szCs w:val="22"/>
              </w:rPr>
              <w:t xml:space="preserve">Merchant Operations</w:t>
            </w:r>
          </w:p>
        </w:tc>
        <w:tc>
          <w:tcPr>
            <w:tcW w:type="dxa" w:w="3000"/>
            <w:tcBorders>
              <w:top w:val="single" w:color="000000" w:sz="1"/>
              <w:left w:val="single" w:color="000000" w:sz="1"/>
              <w:bottom w:val="single" w:color="000000" w:sz="1"/>
              <w:right w:val="single" w:color="000000" w:sz="1"/>
            </w:tcBorders>
          </w:tcPr>
          <w:p>
            <w:r>
              <w:rPr>
                <w:sz w:val="22"/>
                <w:szCs w:val="22"/>
              </w:rPr>
              <w:t xml:space="preserve">Required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5</w:t>
            </w:r>
          </w:p>
        </w:tc>
        <w:tc>
          <w:tcPr>
            <w:tcW w:type="dxa" w:w="5500"/>
            <w:tcBorders>
              <w:top w:val="single" w:color="000000" w:sz="1"/>
              <w:left w:val="single" w:color="000000" w:sz="1"/>
              <w:bottom w:val="single" w:color="000000" w:sz="1"/>
              <w:right w:val="single" w:color="000000" w:sz="1"/>
            </w:tcBorders>
          </w:tcPr>
          <w:p>
            <w:r>
              <w:rPr>
                <w:sz w:val="22"/>
                <w:szCs w:val="22"/>
              </w:rPr>
              <w:t xml:space="preserve">Risk Management</w:t>
            </w:r>
          </w:p>
        </w:tc>
        <w:tc>
          <w:tcPr>
            <w:tcW w:type="dxa" w:w="3000"/>
            <w:tcBorders>
              <w:top w:val="single" w:color="000000" w:sz="1"/>
              <w:left w:val="single" w:color="000000" w:sz="1"/>
              <w:bottom w:val="single" w:color="000000" w:sz="1"/>
              <w:right w:val="single" w:color="000000" w:sz="1"/>
            </w:tcBorders>
          </w:tcPr>
          <w:p>
            <w:r>
              <w:rPr>
                <w:sz w:val="22"/>
                <w:szCs w:val="22"/>
              </w:rPr>
              <w:t xml:space="preserve">Required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6</w:t>
            </w:r>
          </w:p>
        </w:tc>
        <w:tc>
          <w:tcPr>
            <w:tcW w:type="dxa" w:w="5500"/>
            <w:tcBorders>
              <w:top w:val="single" w:color="000000" w:sz="1"/>
              <w:left w:val="single" w:color="000000" w:sz="1"/>
              <w:bottom w:val="single" w:color="000000" w:sz="1"/>
              <w:right w:val="single" w:color="000000" w:sz="1"/>
            </w:tcBorders>
          </w:tcPr>
          <w:p>
            <w:r>
              <w:rPr>
                <w:sz w:val="22"/>
                <w:szCs w:val="22"/>
              </w:rPr>
              <w:t xml:space="preserve">Finance Department</w:t>
            </w:r>
          </w:p>
        </w:tc>
        <w:tc>
          <w:tcPr>
            <w:tcW w:type="dxa" w:w="3000"/>
            <w:tcBorders>
              <w:top w:val="single" w:color="000000" w:sz="1"/>
              <w:left w:val="single" w:color="000000" w:sz="1"/>
              <w:bottom w:val="single" w:color="000000" w:sz="1"/>
              <w:right w:val="single" w:color="000000" w:sz="1"/>
            </w:tcBorders>
          </w:tcPr>
          <w:p>
            <w:r>
              <w:rPr>
                <w:sz w:val="22"/>
                <w:szCs w:val="22"/>
              </w:rPr>
              <w:t xml:space="preserve">Consulted</w:t>
            </w:r>
          </w:p>
        </w:tc>
      </w:tr>
    </w:tbl>
    <w:p>
      <w:pPr>
        <w:pStyle w:val="Heading2"/>
      </w:pPr>
      <w:r>
        <w:t xml:space="preserve">1.6 Assumptions &amp; Constraints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Key Assumptions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Merchants will integrate using provided SDKs or hosted checkout</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All card data will be tokenized before storage</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3D Secure authentication will be mandatory for card-not-present transactions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8500"/>
            <w:tcBorders>
              <w:top w:val="single" w:color="000000" w:sz="1"/>
              <w:left w:val="single" w:color="000000" w:sz="1"/>
              <w:bottom w:val="single" w:color="000000" w:sz="1"/>
              <w:right w:val="single" w:color="000000" w:sz="1"/>
            </w:tcBorders>
          </w:tcPr>
          <w:p>
            <w:r>
              <w:rPr>
                <w:sz w:val="22"/>
                <w:szCs w:val="22"/>
              </w:rPr>
              <w:t xml:space="preserve">Settlement will occur on T+1 basis</w:t>
            </w:r>
          </w:p>
        </w:tc>
      </w:tr>
    </w:tbl>
    <w:p>
      <w:r>
        <w:br w:type="page"/>
      </w:r>
    </w:p>
    <w:p>
      <w:pPr>
        <w:pStyle w:val="Heading1"/>
      </w:pPr>
      <w:r>
        <w:t xml:space="preserve">2. Business Requirements &amp; Process Description/Flow</w:t>
      </w:r>
    </w:p>
    <w:p>
      <w:pPr>
        <w:pStyle w:val="Heading2"/>
      </w:pPr>
      <w:r>
        <w:t xml:space="preserve">2.1 Business Service</w:t>
      </w:r>
    </w:p>
    <w:p>
      <w:pPr>
        <w:spacing w:after="200"/>
      </w:pPr>
      <w:r>
        <w:rPr>
          <w:sz w:val="22"/>
          <w:szCs w:val="22"/>
        </w:rPr>
        <w:t xml:space="preserve">PayFlow is an enterprise payment gateway enabling merchants to accept online payments through credit cards, debit cards, and digital wallets</w:t>
      </w:r>
    </w:p>
    <w:p>
      <w:pPr>
        <w:pStyle w:val="Heading3"/>
      </w:pPr>
      <w:r>
        <w:t xml:space="preserve">2.1.1 Requirements Summary</w:t>
      </w:r>
    </w:p>
    <w:p>
      <w:pPr>
        <w:spacing w:after="200"/>
      </w:pPr>
      <w:r>
        <w:rPr>
          <w:sz w:val="22"/>
          <w:szCs w:val="22"/>
        </w:rPr>
        <w:t xml:space="preserve">This document outlines the business requirements for PayFlow - Payment Gateway Platform. The system will the platform provides secure payment processing, fraud prevention, and automated settlement</w:t>
      </w:r>
    </w:p>
    <w:p>
      <w:pPr>
        <w:pStyle w:val="Heading3"/>
      </w:pPr>
      <w:r>
        <w:t xml:space="preserve">2.1.2 In 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In Scope</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Card payment processing (VISA, Mastercard, AMEX, mada)</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3D Secure 2.0 authentication</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Tokenized payments (Apple Pay, Google Pay)</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8500"/>
            <w:tcBorders>
              <w:top w:val="single" w:color="000000" w:sz="1"/>
              <w:left w:val="single" w:color="000000" w:sz="1"/>
              <w:bottom w:val="single" w:color="000000" w:sz="1"/>
              <w:right w:val="single" w:color="000000" w:sz="1"/>
            </w:tcBorders>
          </w:tcPr>
          <w:p>
            <w:r>
              <w:rPr>
                <w:sz w:val="22"/>
                <w:szCs w:val="22"/>
              </w:rPr>
              <w:t xml:space="preserve">Full and partial refunds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5</w:t>
            </w:r>
          </w:p>
        </w:tc>
        <w:tc>
          <w:tcPr>
            <w:tcW w:type="dxa" w:w="8500"/>
            <w:tcBorders>
              <w:top w:val="single" w:color="000000" w:sz="1"/>
              <w:left w:val="single" w:color="000000" w:sz="1"/>
              <w:bottom w:val="single" w:color="000000" w:sz="1"/>
              <w:right w:val="single" w:color="000000" w:sz="1"/>
            </w:tcBorders>
          </w:tcPr>
          <w:p>
            <w:r>
              <w:rPr>
                <w:sz w:val="22"/>
                <w:szCs w:val="22"/>
              </w:rPr>
              <w:t xml:space="preserve">Real-time fraud scoring</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6</w:t>
            </w:r>
          </w:p>
        </w:tc>
        <w:tc>
          <w:tcPr>
            <w:tcW w:type="dxa" w:w="8500"/>
            <w:tcBorders>
              <w:top w:val="single" w:color="000000" w:sz="1"/>
              <w:left w:val="single" w:color="000000" w:sz="1"/>
              <w:bottom w:val="single" w:color="000000" w:sz="1"/>
              <w:right w:val="single" w:color="000000" w:sz="1"/>
            </w:tcBorders>
          </w:tcPr>
          <w:p>
            <w:r>
              <w:rPr>
                <w:sz w:val="22"/>
                <w:szCs w:val="22"/>
              </w:rPr>
              <w:t xml:space="preserve">Daily merchant settlement</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7</w:t>
            </w:r>
          </w:p>
        </w:tc>
        <w:tc>
          <w:tcPr>
            <w:tcW w:type="dxa" w:w="8500"/>
            <w:tcBorders>
              <w:top w:val="single" w:color="000000" w:sz="1"/>
              <w:left w:val="single" w:color="000000" w:sz="1"/>
              <w:bottom w:val="single" w:color="000000" w:sz="1"/>
              <w:right w:val="single" w:color="000000" w:sz="1"/>
            </w:tcBorders>
          </w:tcPr>
          <w:p>
            <w:r>
              <w:rPr>
                <w:sz w:val="22"/>
                <w:szCs w:val="22"/>
              </w:rPr>
              <w:t xml:space="preserve">Merchant portal and reporting</w:t>
            </w:r>
          </w:p>
        </w:tc>
      </w:tr>
    </w:tbl>
    <w:p>
      <w:pPr>
        <w:pStyle w:val="Heading3"/>
      </w:pPr>
      <w:r>
        <w:t xml:space="preserve">2.1.3 Out of 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Out of Scope</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Merchant acquiring and underwriting</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POS terminal management</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Recurring billing and subscriptions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8500"/>
            <w:tcBorders>
              <w:top w:val="single" w:color="000000" w:sz="1"/>
              <w:left w:val="single" w:color="000000" w:sz="1"/>
              <w:bottom w:val="single" w:color="000000" w:sz="1"/>
              <w:right w:val="single" w:color="000000" w:sz="1"/>
            </w:tcBorders>
          </w:tcPr>
          <w:p>
            <w:r>
              <w:rPr>
                <w:sz w:val="22"/>
                <w:szCs w:val="22"/>
              </w:rPr>
              <w:t xml:space="preserve">Multi-currency settlement</w:t>
            </w:r>
          </w:p>
        </w:tc>
      </w:tr>
    </w:tbl>
    <w:p>
      <w:pPr>
        <w:pStyle w:val="Heading3"/>
      </w:pPr>
      <w:r>
        <w:t xml:space="preserve">2.1.4 Process Workflow TO-BE</w:t>
      </w:r>
    </w:p>
    <w:p>
      <w:pPr>
        <w:spacing w:after="200"/>
      </w:pPr>
      <w:r>
        <w:rPr>
          <w:i/>
          <w:iCs/>
          <w:sz w:val="22"/>
          <w:szCs w:val="22"/>
        </w:rPr>
        <w:t xml:space="preserve">Refer to the sequence diagrams included in this project folder for detailed process workflows.</w:t>
      </w:r>
    </w:p>
    <w:p>
      <w:pPr>
        <w:pStyle w:val="Heading3"/>
      </w:pPr>
      <w:r>
        <w:t xml:space="preserve">2.1.5 Business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Req ID</w:t>
            </w:r>
          </w:p>
        </w:tc>
        <w:tc>
          <w:tcPr>
            <w:tcW w:type="dxa" w:w="2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Requirement Name</w:t>
            </w:r>
          </w:p>
        </w:tc>
        <w:tc>
          <w:tcPr>
            <w:tcW w:type="dxa" w:w="5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Business Requirement</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BR-001</w:t>
            </w:r>
          </w:p>
        </w:tc>
        <w:tc>
          <w:tcPr>
            <w:tcW w:type="dxa" w:w="2500"/>
            <w:tcBorders>
              <w:top w:val="single" w:color="000000" w:sz="1"/>
              <w:left w:val="single" w:color="000000" w:sz="1"/>
              <w:bottom w:val="single" w:color="000000" w:sz="1"/>
              <w:right w:val="single" w:color="000000" w:sz="1"/>
            </w:tcBorders>
          </w:tcPr>
          <w:p>
            <w:r>
              <w:rPr>
                <w:sz w:val="22"/>
                <w:szCs w:val="22"/>
              </w:rPr>
              <w:t xml:space="preserve">Merchant Onboarding</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support merchant self-registration with business documentation</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BR-002</w:t>
            </w:r>
          </w:p>
        </w:tc>
        <w:tc>
          <w:tcPr>
            <w:tcW w:type="dxa" w:w="2500"/>
            <w:tcBorders>
              <w:top w:val="single" w:color="000000" w:sz="1"/>
              <w:left w:val="single" w:color="000000" w:sz="1"/>
              <w:bottom w:val="single" w:color="000000" w:sz="1"/>
              <w:right w:val="single" w:color="000000" w:sz="1"/>
            </w:tcBorders>
          </w:tcPr>
          <w:p>
            <w:r>
              <w:rPr>
                <w:sz w:val="22"/>
                <w:szCs w:val="22"/>
              </w:rPr>
              <w:t xml:space="preserve">API Credentials</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generate unique API keys and webhook endpoints per merchant</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BR-003</w:t>
            </w:r>
          </w:p>
        </w:tc>
        <w:tc>
          <w:tcPr>
            <w:tcW w:type="dxa" w:w="2500"/>
            <w:tcBorders>
              <w:top w:val="single" w:color="000000" w:sz="1"/>
              <w:left w:val="single" w:color="000000" w:sz="1"/>
              <w:bottom w:val="single" w:color="000000" w:sz="1"/>
              <w:right w:val="single" w:color="000000" w:sz="1"/>
            </w:tcBorders>
          </w:tcPr>
          <w:p>
            <w:r>
              <w:rPr>
                <w:sz w:val="22"/>
                <w:szCs w:val="22"/>
              </w:rPr>
              <w:t xml:space="preserve">Card Authorization</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process card authorization requests within 500ms</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BR-004</w:t>
            </w:r>
          </w:p>
        </w:tc>
        <w:tc>
          <w:tcPr>
            <w:tcW w:type="dxa" w:w="2500"/>
            <w:tcBorders>
              <w:top w:val="single" w:color="000000" w:sz="1"/>
              <w:left w:val="single" w:color="000000" w:sz="1"/>
              <w:bottom w:val="single" w:color="000000" w:sz="1"/>
              <w:right w:val="single" w:color="000000" w:sz="1"/>
            </w:tcBorders>
          </w:tcPr>
          <w:p>
            <w:r>
              <w:rPr>
                <w:sz w:val="22"/>
                <w:szCs w:val="22"/>
              </w:rPr>
              <w:t xml:space="preserve">3D Secure</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support 3D Secure 2.0 authentication flow</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BR-005</w:t>
            </w:r>
          </w:p>
        </w:tc>
        <w:tc>
          <w:tcPr>
            <w:tcW w:type="dxa" w:w="2500"/>
            <w:tcBorders>
              <w:top w:val="single" w:color="000000" w:sz="1"/>
              <w:left w:val="single" w:color="000000" w:sz="1"/>
              <w:bottom w:val="single" w:color="000000" w:sz="1"/>
              <w:right w:val="single" w:color="000000" w:sz="1"/>
            </w:tcBorders>
          </w:tcPr>
          <w:p>
            <w:r>
              <w:rPr>
                <w:sz w:val="22"/>
                <w:szCs w:val="22"/>
              </w:rPr>
              <w:t xml:space="preserve">Tokenization</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tokenize card data using HSM-backed encryption</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BR-006</w:t>
            </w:r>
          </w:p>
        </w:tc>
        <w:tc>
          <w:tcPr>
            <w:tcW w:type="dxa" w:w="2500"/>
            <w:tcBorders>
              <w:top w:val="single" w:color="000000" w:sz="1"/>
              <w:left w:val="single" w:color="000000" w:sz="1"/>
              <w:bottom w:val="single" w:color="000000" w:sz="1"/>
              <w:right w:val="single" w:color="000000" w:sz="1"/>
            </w:tcBorders>
          </w:tcPr>
          <w:p>
            <w:r>
              <w:rPr>
                <w:sz w:val="22"/>
                <w:szCs w:val="22"/>
              </w:rPr>
              <w:t xml:space="preserve">Fraud Scoring</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perform real-time fraud scoring using ML models</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BR-007</w:t>
            </w:r>
          </w:p>
        </w:tc>
        <w:tc>
          <w:tcPr>
            <w:tcW w:type="dxa" w:w="2500"/>
            <w:tcBorders>
              <w:top w:val="single" w:color="000000" w:sz="1"/>
              <w:left w:val="single" w:color="000000" w:sz="1"/>
              <w:bottom w:val="single" w:color="000000" w:sz="1"/>
              <w:right w:val="single" w:color="000000" w:sz="1"/>
            </w:tcBorders>
          </w:tcPr>
          <w:p>
            <w:r>
              <w:rPr>
                <w:sz w:val="22"/>
                <w:szCs w:val="22"/>
              </w:rPr>
              <w:t xml:space="preserve">Refunds</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support full and partial refunds within 180 days</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BR-008</w:t>
            </w:r>
          </w:p>
        </w:tc>
        <w:tc>
          <w:tcPr>
            <w:tcW w:type="dxa" w:w="2500"/>
            <w:tcBorders>
              <w:top w:val="single" w:color="000000" w:sz="1"/>
              <w:left w:val="single" w:color="000000" w:sz="1"/>
              <w:bottom w:val="single" w:color="000000" w:sz="1"/>
              <w:right w:val="single" w:color="000000" w:sz="1"/>
            </w:tcBorders>
          </w:tcPr>
          <w:p>
            <w:r>
              <w:rPr>
                <w:sz w:val="22"/>
                <w:szCs w:val="22"/>
              </w:rPr>
              <w:t xml:space="preserve">Settlement</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calculate daily settlement amounts per merchant</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BR-009</w:t>
            </w:r>
          </w:p>
        </w:tc>
        <w:tc>
          <w:tcPr>
            <w:tcW w:type="dxa" w:w="2500"/>
            <w:tcBorders>
              <w:top w:val="single" w:color="000000" w:sz="1"/>
              <w:left w:val="single" w:color="000000" w:sz="1"/>
              <w:bottom w:val="single" w:color="000000" w:sz="1"/>
              <w:right w:val="single" w:color="000000" w:sz="1"/>
            </w:tcBorders>
          </w:tcPr>
          <w:p>
            <w:r>
              <w:rPr>
                <w:sz w:val="22"/>
                <w:szCs w:val="22"/>
              </w:rPr>
              <w:t xml:space="preserve">Reconciliation</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reconcile transactions with acquiring bank statements</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BR-010</w:t>
            </w:r>
          </w:p>
        </w:tc>
        <w:tc>
          <w:tcPr>
            <w:tcW w:type="dxa" w:w="2500"/>
            <w:tcBorders>
              <w:top w:val="single" w:color="000000" w:sz="1"/>
              <w:left w:val="single" w:color="000000" w:sz="1"/>
              <w:bottom w:val="single" w:color="000000" w:sz="1"/>
              <w:right w:val="single" w:color="000000" w:sz="1"/>
            </w:tcBorders>
          </w:tcPr>
          <w:p>
            <w:r>
              <w:rPr>
                <w:sz w:val="22"/>
                <w:szCs w:val="22"/>
              </w:rPr>
              <w:t xml:space="preserve">Webhooks</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send real-time webhooks for payment status changes</w:t>
            </w:r>
          </w:p>
        </w:tc>
      </w:tr>
    </w:tbl>
    <w:p>
      <w:pPr>
        <w:pStyle w:val="Heading3"/>
      </w:pPr>
      <w:r>
        <w:t xml:space="preserve">2.1.6 Business Rules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Rule ID</w:t>
            </w:r>
          </w:p>
        </w:tc>
        <w:tc>
          <w:tcPr>
            <w:tcW w:type="dxa" w:w="2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Rule Name</w:t>
            </w:r>
          </w:p>
        </w:tc>
        <w:tc>
          <w:tcPr>
            <w:tcW w:type="dxa" w:w="5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Business Rule</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BRL-001</w:t>
            </w:r>
          </w:p>
        </w:tc>
        <w:tc>
          <w:tcPr>
            <w:tcW w:type="dxa" w:w="2500"/>
            <w:tcBorders>
              <w:top w:val="single" w:color="000000" w:sz="1"/>
              <w:left w:val="single" w:color="000000" w:sz="1"/>
              <w:bottom w:val="single" w:color="000000" w:sz="1"/>
              <w:right w:val="single" w:color="000000" w:sz="1"/>
            </w:tcBorders>
          </w:tcPr>
          <w:p>
            <w:r>
              <w:rPr>
                <w:sz w:val="22"/>
                <w:szCs w:val="22"/>
              </w:rPr>
              <w:t xml:space="preserve">Authorization Hold</w:t>
            </w:r>
          </w:p>
        </w:tc>
        <w:tc>
          <w:tcPr>
            <w:tcW w:type="dxa" w:w="5500"/>
            <w:tcBorders>
              <w:top w:val="single" w:color="000000" w:sz="1"/>
              <w:left w:val="single" w:color="000000" w:sz="1"/>
              <w:bottom w:val="single" w:color="000000" w:sz="1"/>
              <w:right w:val="single" w:color="000000" w:sz="1"/>
            </w:tcBorders>
          </w:tcPr>
          <w:p>
            <w:r>
              <w:rPr>
                <w:sz w:val="22"/>
                <w:szCs w:val="22"/>
              </w:rPr>
              <w:t xml:space="preserve">Authorization holds expire after 7 days if not captured</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BRL-002</w:t>
            </w:r>
          </w:p>
        </w:tc>
        <w:tc>
          <w:tcPr>
            <w:tcW w:type="dxa" w:w="2500"/>
            <w:tcBorders>
              <w:top w:val="single" w:color="000000" w:sz="1"/>
              <w:left w:val="single" w:color="000000" w:sz="1"/>
              <w:bottom w:val="single" w:color="000000" w:sz="1"/>
              <w:right w:val="single" w:color="000000" w:sz="1"/>
            </w:tcBorders>
          </w:tcPr>
          <w:p>
            <w:r>
              <w:rPr>
                <w:sz w:val="22"/>
                <w:szCs w:val="22"/>
              </w:rPr>
              <w:t xml:space="preserve">Refund Window</w:t>
            </w:r>
          </w:p>
        </w:tc>
        <w:tc>
          <w:tcPr>
            <w:tcW w:type="dxa" w:w="5500"/>
            <w:tcBorders>
              <w:top w:val="single" w:color="000000" w:sz="1"/>
              <w:left w:val="single" w:color="000000" w:sz="1"/>
              <w:bottom w:val="single" w:color="000000" w:sz="1"/>
              <w:right w:val="single" w:color="000000" w:sz="1"/>
            </w:tcBorders>
          </w:tcPr>
          <w:p>
            <w:r>
              <w:rPr>
                <w:sz w:val="22"/>
                <w:szCs w:val="22"/>
              </w:rPr>
              <w:t xml:space="preserve">Refunds must be processed within 180 days of original transaction</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BRL-003</w:t>
            </w:r>
          </w:p>
        </w:tc>
        <w:tc>
          <w:tcPr>
            <w:tcW w:type="dxa" w:w="2500"/>
            <w:tcBorders>
              <w:top w:val="single" w:color="000000" w:sz="1"/>
              <w:left w:val="single" w:color="000000" w:sz="1"/>
              <w:bottom w:val="single" w:color="000000" w:sz="1"/>
              <w:right w:val="single" w:color="000000" w:sz="1"/>
            </w:tcBorders>
          </w:tcPr>
          <w:p>
            <w:r>
              <w:rPr>
                <w:sz w:val="22"/>
                <w:szCs w:val="22"/>
              </w:rPr>
              <w:t xml:space="preserve">Fraud Threshold</w:t>
            </w:r>
          </w:p>
        </w:tc>
        <w:tc>
          <w:tcPr>
            <w:tcW w:type="dxa" w:w="5500"/>
            <w:tcBorders>
              <w:top w:val="single" w:color="000000" w:sz="1"/>
              <w:left w:val="single" w:color="000000" w:sz="1"/>
              <w:bottom w:val="single" w:color="000000" w:sz="1"/>
              <w:right w:val="single" w:color="000000" w:sz="1"/>
            </w:tcBorders>
          </w:tcPr>
          <w:p>
            <w:r>
              <w:rPr>
                <w:sz w:val="22"/>
                <w:szCs w:val="22"/>
              </w:rPr>
              <w:t xml:space="preserve">Transactions with fraud score &gt; 80 are automatically declined</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BRL-004</w:t>
            </w:r>
          </w:p>
        </w:tc>
        <w:tc>
          <w:tcPr>
            <w:tcW w:type="dxa" w:w="2500"/>
            <w:tcBorders>
              <w:top w:val="single" w:color="000000" w:sz="1"/>
              <w:left w:val="single" w:color="000000" w:sz="1"/>
              <w:bottom w:val="single" w:color="000000" w:sz="1"/>
              <w:right w:val="single" w:color="000000" w:sz="1"/>
            </w:tcBorders>
          </w:tcPr>
          <w:p>
            <w:r>
              <w:rPr>
                <w:sz w:val="22"/>
                <w:szCs w:val="22"/>
              </w:rPr>
              <w:t xml:space="preserve">Settlement Holdback</w:t>
            </w:r>
          </w:p>
        </w:tc>
        <w:tc>
          <w:tcPr>
            <w:tcW w:type="dxa" w:w="5500"/>
            <w:tcBorders>
              <w:top w:val="single" w:color="000000" w:sz="1"/>
              <w:left w:val="single" w:color="000000" w:sz="1"/>
              <w:bottom w:val="single" w:color="000000" w:sz="1"/>
              <w:right w:val="single" w:color="000000" w:sz="1"/>
            </w:tcBorders>
          </w:tcPr>
          <w:p>
            <w:r>
              <w:rPr>
                <w:sz w:val="22"/>
                <w:szCs w:val="22"/>
              </w:rPr>
              <w:t xml:space="preserve">10% holdback applies to merchants in first 90 days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b/>
      <w:bCs/>
      <w:color w:val="1F4E79"/>
      <w:sz w:val="28"/>
      <w:szCs w:val="28"/>
    </w:rPr>
  </w:style>
  <w:style w:type="paragraph" w:styleId="Heading2">
    <w:name w:val="Heading 2"/>
    <w:basedOn w:val="Normal"/>
    <w:next w:val="Normal"/>
    <w:qFormat/>
    <w:pPr>
      <w:spacing w:before="300" w:after="150"/>
      <w:outlineLvl w:val="1"/>
    </w:pPr>
    <w:rPr>
      <w:b/>
      <w:bCs/>
      <w:color w:val="2E75B6"/>
      <w:sz w:val="26"/>
      <w:szCs w:val="26"/>
    </w:rPr>
  </w:style>
  <w:style w:type="paragraph" w:styleId="Heading3">
    <w:name w:val="Heading 3"/>
    <w:basedOn w:val="Normal"/>
    <w:next w:val="Normal"/>
    <w:qFormat/>
    <w:pPr>
      <w:spacing w:before="200" w:after="100"/>
      <w:outlineLvl w:val="2"/>
    </w:pPr>
    <w:rPr>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2026-02-17T08:43:50.157Z</dcterms:created>
  <dcterms:modified xsi:type="dcterms:W3CDTF">2026-02-17T08:43:50.157Z</dcterms:modified>
</cp:coreProperties>
</file>

<file path=docProps/custom.xml><?xml version="1.0" encoding="utf-8"?>
<Properties xmlns="http://schemas.openxmlformats.org/officeDocument/2006/custom-properties" xmlns:vt="http://schemas.openxmlformats.org/officeDocument/2006/docPropsVTypes"/>
</file>