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6B4F"/>
          <w:sz w:val="22"/>
        </w:rPr>
        <w:t>A MODERN FARM GUIDE TO</w:t>
      </w:r>
    </w:p>
    <w:p>
      <w:pPr>
        <w:spacing w:before="500"/>
        <w:jc w:val="center"/>
      </w:pPr>
      <w:r>
        <w:rPr>
          <w:rFonts w:ascii="Aptos Display" w:hAnsi="Aptos Display"/>
          <w:b/>
          <w:color w:val="15334A"/>
          <w:sz w:val="62"/>
        </w:rPr>
        <w:t>FROM RATION</w:t>
        <w:br/>
        <w:t>TO RESPONSE</w:t>
      </w:r>
    </w:p>
    <w:p>
      <w:pPr>
        <w:spacing w:before="240"/>
        <w:jc w:val="center"/>
      </w:pPr>
      <w:r>
        <w:rPr>
          <w:color w:val="5D6870"/>
          <w:sz w:val="26"/>
        </w:rPr>
        <w:t>A Modern Farm Guide to Fiber, Manure, Rumen Function and Precision Ruminant Nutrition</w:t>
      </w:r>
    </w:p>
    <w:tbl>
      <w:tblPr>
        <w:tblW w:type="auto" w:w="0"/>
        <w:jc w:val="center"/>
        <w:tblLayout w:type="fixed"/>
        <w:tblLook w:firstColumn="1" w:firstRow="1" w:lastColumn="0" w:lastRow="0" w:noHBand="0" w:noVBand="1" w:val="04A0"/>
      </w:tblPr>
      <w:tblGrid>
        <w:gridCol w:w="1080"/>
        <w:gridCol w:w="1080"/>
        <w:gridCol w:w="1080"/>
        <w:gridCol w:w="1080"/>
        <w:gridCol w:w="1080"/>
        <w:gridCol w:w="1080"/>
      </w:tblGrid>
      <w:tr>
        <w:tc>
          <w:tcPr>
            <w:tcW w:type="dxa" w:w="1037"/>
            <w:shd w:fill="15334A"/>
          </w:tcPr>
          <w:p>
            <w:pPr>
              <w:jc w:val="center"/>
            </w:pPr>
            <w:r>
              <w:rPr>
                <w:b/>
                <w:color w:val="FFFFFF"/>
                <w:sz w:val="14"/>
              </w:rPr>
              <w:t>FEED</w:t>
            </w:r>
          </w:p>
        </w:tc>
        <w:tc>
          <w:tcPr>
            <w:tcW w:type="dxa" w:w="1037"/>
            <w:shd w:fill="2F6B4F"/>
          </w:tcPr>
          <w:p>
            <w:pPr>
              <w:jc w:val="center"/>
            </w:pPr>
            <w:r>
              <w:rPr>
                <w:b/>
                <w:color w:val="FFFFFF"/>
                <w:sz w:val="14"/>
              </w:rPr>
              <w:t>RUMEN</w:t>
            </w:r>
          </w:p>
        </w:tc>
        <w:tc>
          <w:tcPr>
            <w:tcW w:type="dxa" w:w="1037"/>
            <w:shd w:fill="15334A"/>
          </w:tcPr>
          <w:p>
            <w:pPr>
              <w:jc w:val="center"/>
            </w:pPr>
            <w:r>
              <w:rPr>
                <w:b/>
                <w:color w:val="FFFFFF"/>
                <w:sz w:val="14"/>
              </w:rPr>
              <w:t>COW</w:t>
            </w:r>
          </w:p>
        </w:tc>
        <w:tc>
          <w:tcPr>
            <w:tcW w:type="dxa" w:w="1037"/>
            <w:shd w:fill="2F6B4F"/>
          </w:tcPr>
          <w:p>
            <w:pPr>
              <w:jc w:val="center"/>
            </w:pPr>
            <w:r>
              <w:rPr>
                <w:b/>
                <w:color w:val="FFFFFF"/>
                <w:sz w:val="14"/>
              </w:rPr>
              <w:t>MILK</w:t>
            </w:r>
          </w:p>
        </w:tc>
        <w:tc>
          <w:tcPr>
            <w:tcW w:type="dxa" w:w="1037"/>
            <w:shd w:fill="15334A"/>
          </w:tcPr>
          <w:p>
            <w:pPr>
              <w:jc w:val="center"/>
            </w:pPr>
            <w:r>
              <w:rPr>
                <w:b/>
                <w:color w:val="FFFFFF"/>
                <w:sz w:val="14"/>
              </w:rPr>
              <w:t>MANURE</w:t>
            </w:r>
          </w:p>
        </w:tc>
        <w:tc>
          <w:tcPr>
            <w:tcW w:type="dxa" w:w="1037"/>
            <w:shd w:fill="2F6B4F"/>
          </w:tcPr>
          <w:p>
            <w:pPr>
              <w:jc w:val="center"/>
            </w:pPr>
            <w:r>
              <w:rPr>
                <w:b/>
                <w:color w:val="FFFFFF"/>
                <w:sz w:val="14"/>
              </w:rPr>
              <w:t>RESPONSE</w:t>
            </w:r>
          </w:p>
        </w:tc>
      </w:tr>
    </w:tbl>
    <w:p>
      <w:pPr>
        <w:spacing w:before="520"/>
        <w:jc w:val="center"/>
      </w:pPr>
      <w:r>
        <w:rPr>
          <w:i/>
          <w:color w:val="4D9690"/>
          <w:sz w:val="26"/>
        </w:rPr>
        <w:t>Better data.  Healthier cows.  Greater efficiency.</w:t>
      </w:r>
    </w:p>
    <w:p>
      <w:pPr>
        <w:spacing w:after="58"/>
        <w:jc w:val="center"/>
      </w:pPr>
      <w:r>
        <w:drawing>
          <wp:inline xmlns:a="http://schemas.openxmlformats.org/drawingml/2006/main" xmlns:pic="http://schemas.openxmlformats.org/drawingml/2006/picture">
            <wp:extent cx="804672" cy="1005840"/>
            <wp:docPr id="1" name="Picture 1"/>
            <wp:cNvGraphicFramePr>
              <a:graphicFrameLocks noChangeAspect="1"/>
            </wp:cNvGraphicFramePr>
            <a:graphic>
              <a:graphicData uri="http://schemas.openxmlformats.org/drawingml/2006/picture">
                <pic:pic>
                  <pic:nvPicPr>
                    <pic:cNvPr id="0" name="author-portrait.jpg"/>
                    <pic:cNvPicPr/>
                  </pic:nvPicPr>
                  <pic:blipFill>
                    <a:blip r:embed="rId11"/>
                    <a:stretch>
                      <a:fillRect/>
                    </a:stretch>
                  </pic:blipFill>
                  <pic:spPr>
                    <a:xfrm>
                      <a:off x="0" y="0"/>
                      <a:ext cx="804672" cy="1005840"/>
                    </a:xfrm>
                    <a:prstGeom prst="rect"/>
                  </pic:spPr>
                </pic:pic>
              </a:graphicData>
            </a:graphic>
          </wp:inline>
        </w:drawing>
      </w:r>
    </w:p>
    <w:p>
      <w:pPr>
        <w:spacing w:before="680"/>
        <w:jc w:val="center"/>
      </w:pPr>
      <w:r>
        <w:rPr>
          <w:b/>
          <w:color w:val="15334A"/>
          <w:sz w:val="28"/>
        </w:rPr>
        <w:t>PROF. MOUSA M. A.</w:t>
      </w:r>
    </w:p>
    <w:p>
      <w:pPr>
        <w:jc w:val="center"/>
      </w:pPr>
      <w:r>
        <w:rPr>
          <w:color w:val="5D6870"/>
          <w:sz w:val="20"/>
        </w:rPr>
        <w:t>Professor of Nutrition and Clinical Nutrition</w:t>
        <w:br/>
        <w:t>Faculty of Veterinary Medicine, Sohag University, Egypt</w:t>
      </w:r>
    </w:p>
    <w:p>
      <w:r>
        <w:br w:type="page"/>
      </w:r>
    </w:p>
    <w:p>
      <w:pPr>
        <w:pStyle w:val="Title"/>
      </w:pPr>
      <w:r>
        <w:t>From Ration to Response</w:t>
      </w:r>
    </w:p>
    <w:p>
      <w:pPr>
        <w:pStyle w:val="Subtitle"/>
      </w:pPr>
      <w:r>
        <w:t>A Modern Farm Guide to Fiber, Manure, Rumen Function and Precision Ruminant Nutrition</w:t>
      </w:r>
    </w:p>
    <w:p>
      <w:r>
        <w:t>Prof. Mousa M. A.</w:t>
        <w:br/>
        <w:t>Professor of Nutrition and Clinical Nutrition</w:t>
        <w:br/>
        <w:t>Faculty of Veterinary Medicine, Sohag University, Egypt</w:t>
      </w:r>
    </w:p>
    <w:p>
      <w:r>
        <w:t>First edition | 2026</w:t>
      </w:r>
    </w:p>
    <w:p>
      <w:r>
        <w:t>Copyright © 2026 Prof. Mousa M. A. All rights reserved. Prepared as an educational farm guide. Publication details, ISBN, permissions, and final author-approved biographical information may be added before commercial release.</w:t>
      </w:r>
    </w:p>
    <w:p>
      <w:r>
        <w:br w:type="page"/>
      </w:r>
    </w:p>
    <w:p>
      <w:pPr>
        <w:pStyle w:val="Heading1"/>
      </w:pPr>
      <w:r>
        <w:t>Reader guidance</w:t>
      </w:r>
    </w:p>
    <w:p>
      <w:r>
        <w:t>This handbook is for veterinarians, animal nutritionists, dairy consultants, farm managers, and advanced dairy farmers. It connects feed analysis and ration delivery with practical observations of cows, milk, manure, and farm data. Its aim is to help a farm team ask better questions and follow changes through to a measurable result.</w:t>
      </w:r>
    </w:p>
    <w:p>
      <w:r>
        <w:t>The book supports professional practice; it is not an individual treatment plan or a substitute for a locally appropriate ration formulation, veterinary examination, laboratory analysis, or emergency care. Nutrient requirements and feeding recommendations depend on animal class, production, ingredients, climate, management, and current regional guidance. Work with a qualified nutritionist and veterinarian for herd-specific decisions.</w:t>
      </w:r>
    </w:p>
    <w:p>
      <w:pPr>
        <w:pStyle w:val="Heading2"/>
      </w:pPr>
      <w:r>
        <w:t>How to use this guide</w:t>
      </w:r>
    </w:p>
    <w:p>
      <w:r>
        <w:t>Read the opening chapters for the response-led framework, then use the feed, fiber, TMR, manure, and monitoring chapters as field references. The worksheets are designed to be copied into a farm log. References identify the principal technical sources used; consult the complete sources for methods and local adaptations.</w:t>
      </w:r>
    </w:p>
    <w:p>
      <w:r>
        <w:br w:type="page"/>
      </w:r>
    </w:p>
    <w:p>
      <w:pPr>
        <w:pStyle w:val="Heading1"/>
      </w:pPr>
      <w:r>
        <w:t>Contents</w:t>
      </w:r>
    </w:p>
    <w:p>
      <w:r>
        <w:t>1. A response-led way to feed cows</w:t>
      </w:r>
    </w:p>
    <w:p>
      <w:r>
        <w:t>2. The rumen as a working ecosystem</w:t>
      </w:r>
    </w:p>
    <w:p>
      <w:r>
        <w:t>3. Fiber, particle size, and physical effectiveness</w:t>
      </w:r>
    </w:p>
    <w:p>
      <w:r>
        <w:t>4. Forage quality from field to feed bunk</w:t>
      </w:r>
    </w:p>
    <w:p>
      <w:r>
        <w:t>5. Building and delivering a consistent TMR</w:t>
      </w:r>
    </w:p>
    <w:p>
      <w:r>
        <w:t>6. Feed intake, sorting, and the cow at the bunk</w:t>
      </w:r>
    </w:p>
    <w:p>
      <w:r>
        <w:t>7. Manure as a practical diagnostic clue</w:t>
      </w:r>
    </w:p>
    <w:p>
      <w:r>
        <w:t>8. Milk and production response</w:t>
      </w:r>
    </w:p>
    <w:p>
      <w:r>
        <w:t>9. Rumen function, rumination, and cow-side signals</w:t>
      </w:r>
    </w:p>
    <w:p>
      <w:r>
        <w:t>10. Transition cows and changing nutrient demands</w:t>
      </w:r>
    </w:p>
    <w:p>
      <w:r>
        <w:t>11. Precision nutrition and farm data</w:t>
      </w:r>
    </w:p>
    <w:p>
      <w:r>
        <w:t>12. A disciplined troubleshooting method</w:t>
      </w:r>
    </w:p>
    <w:p>
      <w:r>
        <w:t>13. A practical monitoring calendar</w:t>
      </w:r>
    </w:p>
    <w:p>
      <w:r>
        <w:t>14. Farm-ready worksheets</w:t>
      </w:r>
    </w:p>
    <w:p>
      <w:r>
        <w:t>15. Glossary</w:t>
      </w:r>
    </w:p>
    <w:p>
      <w:r>
        <w:t>16. References</w:t>
      </w:r>
    </w:p>
    <w:p>
      <w:r>
        <w:t>17. About the author</w:t>
      </w:r>
    </w:p>
    <w:p>
      <w:r>
        <w:t>18. Back cover</w:t>
      </w:r>
    </w:p>
    <w:p>
      <w:r>
        <w:br w:type="page"/>
      </w:r>
    </w:p>
    <w:p>
      <w:pPr>
        <w:pStyle w:val="Heading1"/>
      </w:pPr>
      <w:r>
        <w:t>Preface</w:t>
      </w:r>
    </w:p>
    <w:p>
      <w:r>
        <w:t>On a dairy farm, nutrition is sometimes discussed as though it ends when a ration is formulated. In practice, that is where a useful question begins: did the cow receive and consume the diet we intended, and did the animal respond as expected? A feed report, mixer record, rumination trend, manure sample, and milk test each describe only part of that answer.</w:t>
      </w:r>
    </w:p>
    <w:p>
      <w:r>
        <w:t>This guide brings those observations together. It favors repeatable measurements, clear records, and collaboration between the people who feed, manage, examine, and formulate for the herd. It also treats uncertainty honestly. Manure is not a diagnosis; a sensor alert is not a treatment; a laboratory number is only as representative as its sample. Interpreted in context, these clues can make farm decisions faster and more defensible.</w:t>
      </w:r>
    </w:p>
    <w:p>
      <w:r>
        <w:t>The practical goal is straightforward: connect feed to rumen function, cow comfort, production, and management response, then learn from what happens.</w:t>
      </w:r>
    </w:p>
    <w:p>
      <w:r>
        <w:br w:type="page"/>
      </w:r>
    </w:p>
    <w:p>
      <w:pPr>
        <w:pStyle w:val="Heading1"/>
      </w:pPr>
      <w:r>
        <w:t>1 | A response-led way to feed cows</w:t>
      </w:r>
    </w:p>
    <w:p>
      <w:pPr>
        <w:pStyle w:val="Heading2"/>
      </w:pPr>
      <w:r>
        <w:t>The central idea</w:t>
      </w:r>
    </w:p>
    <w:p>
      <w:r>
        <w:t>A ration is a hypothesis about what cows will eat, digest, absorb, and convert into milk, body reserves, and manure. Its value is established at the bunk and in the cows, not on the formulation screen. A response-led program joins the laboratory, mixer, feed bunk, cow, milk tank, and manure observations into one feedback loop.</w:t>
      </w:r>
    </w:p>
    <w:p>
      <w:pPr>
        <w:pStyle w:val="Heading2"/>
      </w:pPr>
      <w:r>
        <w:t>Follow the whole chain</w:t>
      </w:r>
    </w:p>
    <w:p>
      <w:r>
        <w:t>Start with the feed offered and refused. Ask whether dry matter and particle distribution are consistent, whether cows can reach and consume the ration, and whether the animal response agrees with the prediction. A change in milk yield alone rarely identifies the cause. Interpret production alongside intake, milk components, health, stage of lactation, and recent management.</w:t>
      </w:r>
    </w:p>
    <w:p>
      <w:pPr>
        <w:pStyle w:val="Heading2"/>
      </w:pPr>
      <w:r>
        <w:t>Use evidence in layers</w:t>
      </w:r>
    </w:p>
    <w:p>
      <w:r>
        <w:t>First verify the observation: sample correctly, compare like groups, and check the time window. Next inspect direct causes: feed dry matter, ingredient weights, mixing, delivery, access, and sorting. Then review cow-level signals and laboratory analyses. Change one manageable factor at a time where practical, record the change, and set a review date.</w:t>
      </w:r>
    </w:p>
    <w:tbl>
      <w:tblPr>
        <w:tblW w:type="auto" w:w="0"/>
        <w:tblLook w:firstColumn="1" w:firstRow="1" w:lastColumn="0" w:lastRow="0" w:noHBand="0" w:noVBand="1" w:val="04A0"/>
      </w:tblPr>
      <w:tblGrid>
        <w:gridCol w:w="6480"/>
      </w:tblGrid>
      <w:tr>
        <w:tc>
          <w:tcPr>
            <w:tcW w:type="dxa" w:w="6480"/>
            <w:shd w:fill="EAF1ED"/>
          </w:tcPr>
          <w:p>
            <w:r>
              <w:rPr>
                <w:b/>
                <w:color w:val="2F6B4F"/>
                <w:sz w:val="19"/>
              </w:rPr>
              <w:t>Treat a measurement as a clue. Combine it with an independent observation before changing a ration.</w:t>
            </w:r>
          </w:p>
        </w:tc>
      </w:tr>
    </w:tbl>
    <w:p/>
    <w:p>
      <w:pPr>
        <w:pStyle w:val="Heading1"/>
      </w:pPr>
      <w:r>
        <w:t>2 | The rumen as a working ecosystem</w:t>
      </w:r>
    </w:p>
    <w:p>
      <w:pPr>
        <w:pStyle w:val="Heading2"/>
      </w:pPr>
      <w:r>
        <w:t>Fermentation before absorption</w:t>
      </w:r>
    </w:p>
    <w:p>
      <w:r>
        <w:t>The rumen is a microbial fermentation chamber. Bacteria, archaea, protozoa, and fungi use feed substrates and produce volatile fatty acids, microbial biomass, gases, and heat. The cow absorbs much of the fermentation end-product energy through the rumen wall; microbial protein and undegraded feed then contribute nutrients farther along the digestive tract.</w:t>
      </w:r>
    </w:p>
    <w:p>
      <w:pPr>
        <w:pStyle w:val="Heading2"/>
      </w:pPr>
      <w:r>
        <w:t>Stability matters</w:t>
      </w:r>
    </w:p>
    <w:p>
      <w:r>
        <w:t>A rumen community adapts to its substrate and feeding pattern. Abrupt changes in fermentable carbohydrate, forage, or feeding schedule can disrupt that adaptation. Low rumen pH may occur for part of a day even in cows that appear normal; interpretation depends on population, measurement method, duration, and clinical context. A single spot sample or low milk-fat test is not a complete diagnosis.</w:t>
      </w:r>
    </w:p>
    <w:p>
      <w:pPr>
        <w:pStyle w:val="Heading2"/>
      </w:pPr>
      <w:r>
        <w:t>Chewing, saliva, and mixing</w:t>
      </w:r>
    </w:p>
    <w:p>
      <w:r>
        <w:t>Eating and rumination reduce particle size and add saliva. Retained feed forms a dynamic rumen mat, while contractions mix contents and support selective passage. Adequate physically effective fiber helps stimulate chewing, but particle length alone does not guarantee effective fiber: feed type, fragility, moisture, sorting, and total diet composition matter.</w:t>
      </w:r>
    </w:p>
    <w:p>
      <w:pPr>
        <w:pStyle w:val="Heading2"/>
      </w:pPr>
      <w:r>
        <w:t>Use the right level of interpretation</w:t>
      </w:r>
    </w:p>
    <w:p>
      <w:r>
        <w:t>A herd nutritionist balances the diet using a recognized model and the herd’s ingredients, production, and management. Farm observations help test the model’s assumptions. They do not replace ration balancing or veterinary diagnosis. [1, 2]</w:t>
      </w:r>
    </w:p>
    <w:tbl>
      <w:tblPr>
        <w:tblW w:type="auto" w:w="0"/>
        <w:tblLook w:firstColumn="1" w:firstRow="1" w:lastColumn="0" w:lastRow="0" w:noHBand="0" w:noVBand="1" w:val="04A0"/>
      </w:tblPr>
      <w:tblGrid>
        <w:gridCol w:w="6480"/>
      </w:tblGrid>
      <w:tr>
        <w:tc>
          <w:tcPr>
            <w:tcW w:type="dxa" w:w="6480"/>
            <w:shd w:fill="EAF1ED"/>
          </w:tcPr>
          <w:p>
            <w:r>
              <w:rPr>
                <w:b/>
                <w:color w:val="2F6B4F"/>
                <w:sz w:val="19"/>
              </w:rPr>
              <w:t>Watch intake, rumination, milk components, manure pattern, and feed-bunk consistency together.</w:t>
            </w:r>
          </w:p>
        </w:tc>
      </w:tr>
    </w:tbl>
    <w:p/>
    <w:p>
      <w:pPr>
        <w:pStyle w:val="Heading1"/>
      </w:pPr>
      <w:r>
        <w:t>3 | Fiber, particle size, and physical effectiveness</w:t>
      </w:r>
    </w:p>
    <w:p>
      <w:pPr>
        <w:pStyle w:val="Heading2"/>
      </w:pPr>
      <w:r>
        <w:t>Fiber is more than a number</w:t>
      </w:r>
    </w:p>
    <w:p>
      <w:r>
        <w:t>Neutral detergent fiber (NDF) estimates a broad cell-wall fraction. It does not describe digestibility, fragility, particle size, or how much of that fiber cows actually consume. Two forages with similar NDF can differ in digestibility and physical form. Consider forage NDF, total NDF, digestibility, starch, particle distribution, and the whole ration together.</w:t>
      </w:r>
    </w:p>
    <w:p>
      <w:pPr>
        <w:pStyle w:val="Heading2"/>
      </w:pPr>
      <w:r>
        <w:t>Effective particle distribution</w:t>
      </w:r>
    </w:p>
    <w:p>
      <w:r>
        <w:t>The Penn State Particle Separator is a practical way to compare particle-size distribution in forage, TMR, and refusals. Follow the version-specific procedure and use the same method over time. Do not treat a separator result as a universal target detached from ration composition, cow group, or method. Thresholds and interpretation depend on system and diet. [2, 7]</w:t>
      </w:r>
    </w:p>
    <w:p>
      <w:pPr>
        <w:pStyle w:val="Heading2"/>
      </w:pPr>
      <w:r>
        <w:t>Too fine and too long both matter</w:t>
      </w:r>
    </w:p>
    <w:p>
      <w:r>
        <w:t>Very fine forage can reduce chewing stimulus; excessively long forage can encourage sorting, lower intake, and produce an inconsistent consumed ration. The goal is a blend that supports chewing and rumen function while remaining mixable and consumable. Inspect forage before and after mixing, TMR at several bunk locations, and refusals. Adjust chop length or mixing only with the nutritionist and mixer guidance.</w:t>
      </w:r>
    </w:p>
    <w:p>
      <w:pPr>
        <w:pStyle w:val="Heading2"/>
      </w:pPr>
      <w:r>
        <w:t>A simple separator routine</w:t>
      </w:r>
    </w:p>
    <w:p>
      <w:r>
        <w:t>Take a representative sample from multiple points along the bunk. Shake the separator using its prescribed method on a level surface. Repeat the same number of shakes each time. Record the distribution on each tray and the date, ration, pen, and sampling time. Compare offered TMR with refusals to detect sorting; do not compare different separator methods as if interchangeable.</w:t>
      </w:r>
    </w:p>
    <w:tbl>
      <w:tblPr>
        <w:tblW w:type="auto" w:w="0"/>
        <w:tblLook w:firstColumn="1" w:firstRow="1" w:lastColumn="0" w:lastRow="0" w:noHBand="0" w:noVBand="1" w:val="04A0"/>
      </w:tblPr>
      <w:tblGrid>
        <w:gridCol w:w="6480"/>
      </w:tblGrid>
      <w:tr>
        <w:tc>
          <w:tcPr>
            <w:tcW w:type="dxa" w:w="6480"/>
            <w:shd w:fill="EAF1ED"/>
          </w:tcPr>
          <w:p>
            <w:r>
              <w:rPr>
                <w:b/>
                <w:color w:val="2F6B4F"/>
                <w:sz w:val="19"/>
              </w:rPr>
              <w:t>Do not “fix fiber” by adding long hay blindly. First establish what cows are offered, sort, and consume.</w:t>
            </w:r>
          </w:p>
        </w:tc>
      </w:tr>
    </w:tbl>
    <w:p/>
    <w:p>
      <w:pPr>
        <w:pStyle w:val="Heading1"/>
      </w:pPr>
      <w:r>
        <w:t>4 | Forage quality from field to feed bunk</w:t>
      </w:r>
    </w:p>
    <w:p>
      <w:pPr>
        <w:pStyle w:val="Heading2"/>
      </w:pPr>
      <w:r>
        <w:t>Harvest creates the starting point</w:t>
      </w:r>
    </w:p>
    <w:p>
      <w:r>
        <w:t>Forage value is shaped by crop species, maturity, growing conditions, harvest timing, chop, packing, fermentation, and storage. Maturity commonly changes fiber digestibility and energy availability. Ensiling management also affects preservation and losses. Nutrition decisions begin with representative sampling and a clear understanding of which face, lot, or field the sample represents.</w:t>
      </w:r>
    </w:p>
    <w:p>
      <w:pPr>
        <w:pStyle w:val="Heading2"/>
      </w:pPr>
      <w:r>
        <w:t>Sample the material you feed</w:t>
      </w:r>
    </w:p>
    <w:p>
      <w:r>
        <w:t>For silage, collect multiple cores across the exposed face or use a validated sampling plan; avoid relying on a handful from one spot. For hay, sample bales with a forage probe. Label the sample with feed type, location or lot, date, and intended animal group. Follow laboratory handling instructions, especially for wet or fermented material. A poor sample cannot be rescued by precise analysis.</w:t>
      </w:r>
    </w:p>
    <w:p>
      <w:pPr>
        <w:pStyle w:val="Heading2"/>
      </w:pPr>
      <w:r>
        <w:t>Read a report as a system</w:t>
      </w:r>
    </w:p>
    <w:p>
      <w:r>
        <w:t>Review dry matter first, then crude protein, fiber fractions, starch or sugars where relevant, digestibility, and minerals. Confirm whether results are on an as-fed or dry-matter basis. Ask the lab about methods and unusual values. Near-infrared spectroscopy can provide fast estimates when the sample fits a well-supported calibration; uncommon ingredients or mineral decisions may require reference chemistry or another validated method. [5, 8]</w:t>
      </w:r>
    </w:p>
    <w:p>
      <w:pPr>
        <w:pStyle w:val="Heading2"/>
      </w:pPr>
      <w:r>
        <w:t>Keep a forage inventory</w:t>
      </w:r>
    </w:p>
    <w:p>
      <w:r>
        <w:t>Track lot, opening date, daily usage, and test results. Re-test when a new face, crop lot, or material change occurs. Update ration software and mixer as-fed weights when forage dry matter changes. The laboratory number becomes useful only when the right sample is connected to the feed delivered.</w:t>
      </w:r>
    </w:p>
    <w:tbl>
      <w:tblPr>
        <w:tblW w:type="auto" w:w="0"/>
        <w:tblLook w:firstColumn="1" w:firstRow="1" w:lastColumn="0" w:lastRow="0" w:noHBand="0" w:noVBand="1" w:val="04A0"/>
      </w:tblPr>
      <w:tblGrid>
        <w:gridCol w:w="6480"/>
      </w:tblGrid>
      <w:tr>
        <w:tc>
          <w:tcPr>
            <w:tcW w:type="dxa" w:w="6480"/>
            <w:shd w:fill="EAF1ED"/>
          </w:tcPr>
          <w:p>
            <w:r>
              <w:rPr>
                <w:b/>
                <w:color w:val="2F6B4F"/>
                <w:sz w:val="19"/>
              </w:rPr>
              <w:t>Record feed identity, sample location, date, dry matter, laboratory, method, and ration group.</w:t>
            </w:r>
          </w:p>
        </w:tc>
      </w:tr>
    </w:tbl>
    <w:p/>
    <w:p>
      <w:pPr>
        <w:pStyle w:val="Heading1"/>
      </w:pPr>
      <w:r>
        <w:t>5 | Building and delivering a consistent TMR</w:t>
      </w:r>
    </w:p>
    <w:p>
      <w:pPr>
        <w:pStyle w:val="Heading2"/>
      </w:pPr>
      <w:r>
        <w:t>The formulation has to reach the bunk</w:t>
      </w:r>
    </w:p>
    <w:p>
      <w:r>
        <w:t>A balanced ration on paper can become a different diet through errors in ingredient weights, changing dry matter, loading order, mixing time, delivery, or feed access. Review scale accuracy, ingredient inventory, moisture changes, operator training, and mixer maintenance. Formulation and delivery are one management system. [4]</w:t>
      </w:r>
    </w:p>
    <w:p>
      <w:pPr>
        <w:pStyle w:val="Heading2"/>
      </w:pPr>
      <w:r>
        <w:t>Manage dry matter and weighing</w:t>
      </w:r>
    </w:p>
    <w:p>
      <w:r>
        <w:t>Fresh forage moisture changes with harvest lot, weather, and storage. Periodically measure dry matter using a consistent farm method and confirm with lab results when needed. Update as-fed inclusion rates so the intended dry-matter contribution is maintained. Check scales, zeroing, load-cell performance, and actual delivered weights.</w:t>
      </w:r>
    </w:p>
    <w:p>
      <w:pPr>
        <w:pStyle w:val="Heading2"/>
      </w:pPr>
      <w:r>
        <w:t>Mixing order and time</w:t>
      </w:r>
    </w:p>
    <w:p>
      <w:r>
        <w:t>Follow mixer instructions and the nutritionist’s protocol. Add ingredients in the specified sequence and allow consistent mixing time after the final ingredient. Overmixing can reduce particle length; undermixing can leave clumps and uneven distribution. Record loading time, mixing duration, and interruptions.</w:t>
      </w:r>
    </w:p>
    <w:p>
      <w:pPr>
        <w:pStyle w:val="Heading2"/>
      </w:pPr>
      <w:r>
        <w:t>Check the delivered ration</w:t>
      </w:r>
    </w:p>
    <w:p>
      <w:r>
        <w:t>Inspect fresh TMR at several positions along the bunk. Look for even moisture, distribution, and visible ingredient separation. Use a separator when particle distribution needs objective comparison. Compare refusals with the offered TMR to detect sorting. Track refusal quantity enough to notice drift and sudden changes. [4]</w:t>
      </w:r>
    </w:p>
    <w:p>
      <w:pPr>
        <w:pStyle w:val="Heading2"/>
      </w:pPr>
      <w:r>
        <w:t>Feed access is part of nutrition</w:t>
      </w:r>
    </w:p>
    <w:p>
      <w:r>
        <w:t>Feed delivery timing, push-up routine, bunk space, stocking density, and time away for milking affect access. Observe whether fresh feed is available when cows return and whether subordinate cows can eat. A good ration cannot overcome persistent competition, empty bunks, or long feed outages.</w:t>
      </w:r>
    </w:p>
    <w:tbl>
      <w:tblPr>
        <w:tblW w:type="auto" w:w="0"/>
        <w:tblLook w:firstColumn="1" w:firstRow="1" w:lastColumn="0" w:lastRow="0" w:noHBand="0" w:noVBand="1" w:val="04A0"/>
      </w:tblPr>
      <w:tblGrid>
        <w:gridCol w:w="6480"/>
      </w:tblGrid>
      <w:tr>
        <w:tc>
          <w:tcPr>
            <w:tcW w:type="dxa" w:w="6480"/>
            <w:shd w:fill="EAF1ED"/>
          </w:tcPr>
          <w:p>
            <w:r>
              <w:rPr>
                <w:b/>
                <w:color w:val="2F6B4F"/>
                <w:sz w:val="19"/>
              </w:rPr>
              <w:t>Daily log: forage dry matter, ingredient weights, feed delivered, refusals, mixer/operator, and deviations.</w:t>
            </w:r>
          </w:p>
        </w:tc>
      </w:tr>
    </w:tbl>
    <w:p/>
    <w:p>
      <w:pPr>
        <w:pStyle w:val="Heading1"/>
      </w:pPr>
      <w:r>
        <w:t>6 | Feed intake, sorting, and the cow at the bunk</w:t>
      </w:r>
    </w:p>
    <w:p>
      <w:pPr>
        <w:pStyle w:val="Heading2"/>
      </w:pPr>
      <w:r>
        <w:t>Measure what disappears carefully</w:t>
      </w:r>
    </w:p>
    <w:p>
      <w:r>
        <w:t>Estimated dry-matter intake is based on feed offered minus refusals, converted to dry matter and divided by cow numbers. Errors arise when refusals are not weighed, moisture is assumed, feed is spilled, or head counts change. Treat the result as a pen-level estimate and trend it consistently.</w:t>
      </w:r>
    </w:p>
    <w:p>
      <w:pPr>
        <w:pStyle w:val="Heading2"/>
      </w:pPr>
      <w:r>
        <w:t>Look for sorting</w:t>
      </w:r>
    </w:p>
    <w:p>
      <w:r>
        <w:t>Cows may preferentially consume fine, energy-dense particles and leave longer forage. Compare particle distribution of fresh TMR with refusals using the same separator and method. Observe bunk behavior at different times, including before the next delivery. Sorting can make the consumed diet differ from the formulated diet.</w:t>
      </w:r>
    </w:p>
    <w:p>
      <w:pPr>
        <w:pStyle w:val="Heading2"/>
      </w:pPr>
      <w:r>
        <w:t>Find the management cause</w:t>
      </w:r>
    </w:p>
    <w:p>
      <w:r>
        <w:t>Check whether the mix is too dry or wet, ingredients are poorly incorporated, forage is too long, mixing is uneven, or access is restricted. Review delivery and push-up timing. Make corrections with a nutritionist, keeping other factors stable where practical.</w:t>
      </w:r>
    </w:p>
    <w:p>
      <w:pPr>
        <w:pStyle w:val="Heading2"/>
      </w:pPr>
      <w:r>
        <w:t>Interpret intake alongside production</w:t>
      </w:r>
    </w:p>
    <w:p>
      <w:r>
        <w:t>Milk per cow, milk components, refusals, body condition, and health records give context to intake. Pen changes, weather, disease, stage of lactation, and milking schedule may explain apparent shifts. Investigate abrupt changes promptly; more feed offered does not necessarily mean more feed consumed.</w:t>
      </w:r>
    </w:p>
    <w:tbl>
      <w:tblPr>
        <w:tblW w:type="auto" w:w="0"/>
        <w:tblLook w:firstColumn="1" w:firstRow="1" w:lastColumn="0" w:lastRow="0" w:noHBand="0" w:noVBand="1" w:val="04A0"/>
      </w:tblPr>
      <w:tblGrid>
        <w:gridCol w:w="6480"/>
      </w:tblGrid>
      <w:tr>
        <w:tc>
          <w:tcPr>
            <w:tcW w:type="dxa" w:w="6480"/>
            <w:shd w:fill="EAF1ED"/>
          </w:tcPr>
          <w:p>
            <w:r>
              <w:rPr>
                <w:b/>
                <w:color w:val="2F6B4F"/>
                <w:sz w:val="19"/>
              </w:rPr>
              <w:t>Observe cow access, feed availability, distribution, and refusals before concluding the ration is wrong.</w:t>
            </w:r>
          </w:p>
        </w:tc>
      </w:tr>
    </w:tbl>
    <w:p/>
    <w:p>
      <w:pPr>
        <w:pStyle w:val="Heading1"/>
      </w:pPr>
      <w:r>
        <w:t>7 | Manure as a practical diagnostic clue</w:t>
      </w:r>
    </w:p>
    <w:p>
      <w:pPr>
        <w:pStyle w:val="Heading2"/>
      </w:pPr>
      <w:r>
        <w:t>What manure can tell you</w:t>
      </w:r>
    </w:p>
    <w:p>
      <w:r>
        <w:t>Manure appearance and particle content can reflect diet, digestion, passage, water intake, and health. It is a screening observation, not a standalone diagnosis. Normal variation occurs within and between cows and across the day. Compare similar groups at similar times and look for a pattern. [3]</w:t>
      </w:r>
    </w:p>
    <w:p>
      <w:pPr>
        <w:pStyle w:val="Heading2"/>
      </w:pPr>
      <w:r>
        <w:t>Observe before sampling</w:t>
      </w:r>
    </w:p>
    <w:p>
      <w:r>
        <w:t>Walk the pen and look at several fresh piles. Note consistency, uniformity, visible long particles or grain, and unusual color or odor. Record group, date, time, recent ration changes, and health events. Ask whether the pattern is broad or limited to individuals.</w:t>
      </w:r>
    </w:p>
    <w:p>
      <w:pPr>
        <w:pStyle w:val="Heading2"/>
      </w:pPr>
      <w:r>
        <w:t>Use a manure sieve consistently</w:t>
      </w:r>
    </w:p>
    <w:p>
      <w:r>
        <w:t>A common extension method combines representative fresh manure from several cows, places a subsample on fine mesh, and washes gently until water runs clear. Examine retained particles on a contrasting surface. Follow one protocol for mesh size, sample amount, and washing so results can be compared over time. [3]</w:t>
      </w:r>
    </w:p>
    <w:p>
      <w:pPr>
        <w:pStyle w:val="Heading2"/>
      </w:pPr>
      <w:r>
        <w:t>Interpret particles cautiously</w:t>
      </w:r>
    </w:p>
    <w:p>
      <w:r>
        <w:t>Some grain and forage particles may be present in normal manure. Large amounts or a change from baseline can justify checking grain processing, forage quality, sorting, mixing, passage rate, and animal health. Manure does not reveal precisely where digestion failed or which ingredient caused a problem. Pair it with feed analysis, intake, cow observations, and veterinary assessment.</w:t>
      </w:r>
    </w:p>
    <w:p>
      <w:pPr>
        <w:pStyle w:val="Heading2"/>
      </w:pPr>
      <w:r>
        <w:t>Separate feed management from illness</w:t>
      </w:r>
    </w:p>
    <w:p>
      <w:r>
        <w:t>Watery manure, blood, fever, dehydration, reduced appetite, or a sudden group-wide change requires timely veterinary attention. Do not delay care while conducting a ration experiment.</w:t>
      </w:r>
    </w:p>
    <w:tbl>
      <w:tblPr>
        <w:tblW w:type="auto" w:w="0"/>
        <w:tblLook w:firstColumn="1" w:firstRow="1" w:lastColumn="0" w:lastRow="0" w:noHBand="0" w:noVBand="1" w:val="04A0"/>
      </w:tblPr>
      <w:tblGrid>
        <w:gridCol w:w="6480"/>
      </w:tblGrid>
      <w:tr>
        <w:tc>
          <w:tcPr>
            <w:tcW w:type="dxa" w:w="6480"/>
            <w:shd w:fill="EAF1ED"/>
          </w:tcPr>
          <w:p>
            <w:r>
              <w:rPr>
                <w:b/>
                <w:color w:val="2F6B4F"/>
                <w:sz w:val="19"/>
              </w:rPr>
              <w:t>Manure raises a question; feed, cow, and clinical evidence help answer it.</w:t>
            </w:r>
          </w:p>
        </w:tc>
      </w:tr>
    </w:tbl>
    <w:p/>
    <w:p>
      <w:pPr>
        <w:pStyle w:val="Heading1"/>
      </w:pPr>
      <w:r>
        <w:t>8 | Milk and production response</w:t>
      </w:r>
    </w:p>
    <w:p>
      <w:pPr>
        <w:pStyle w:val="Heading2"/>
      </w:pPr>
      <w:r>
        <w:t>Use multiple outcomes</w:t>
      </w:r>
    </w:p>
    <w:p>
      <w:r>
        <w:t>Milk volume is only one response. Review fat and protein yield and concentration, somatic cell information where available, component pricing, persistency, and the number of cows contributing. Normalize for group size and stage of lactation where feasible. Check that sampling and recording procedures have not changed.</w:t>
      </w:r>
    </w:p>
    <w:p>
      <w:pPr>
        <w:pStyle w:val="Heading2"/>
      </w:pPr>
      <w:r>
        <w:t>Milk fat is informative but not specific</w:t>
      </w:r>
    </w:p>
    <w:p>
      <w:r>
        <w:t>Milk-fat depression can be associated with diet composition and rumen biohydrogenation pathways, among other influences. Low effective fiber, sorting, rapidly fermentable carbohydrate, unsaturated fat sources, and feeding management may interact. Genetics, stage of lactation, heat stress, and sampling variation also matter. A low test is a signal to investigate, not proof of one dietary cause. [1]</w:t>
      </w:r>
    </w:p>
    <w:p>
      <w:pPr>
        <w:pStyle w:val="Heading2"/>
      </w:pPr>
      <w:r>
        <w:t>Milk protein and energy supply</w:t>
      </w:r>
    </w:p>
    <w:p>
      <w:r>
        <w:t>Milk protein reflects amino acid supply, microbial protein production, energy balance, genetics, and stage of lactation. Interpret concentration together with yield and fat, and assess the full ration model. Avoid adding protein or energy based on one isolated test.</w:t>
      </w:r>
    </w:p>
    <w:p>
      <w:pPr>
        <w:pStyle w:val="Heading2"/>
      </w:pPr>
      <w:r>
        <w:t>Set a response window</w:t>
      </w:r>
    </w:p>
    <w:p>
      <w:r>
        <w:t>Before a ration change, record a baseline and define a review interval with the nutritionist. Allow for adaptation and milk recording schedules. Compare similar groups and note concurrent events. If response is mixed, decide whether the hypothesis was wrong, the change was not delivered, or another factor masked the effect.</w:t>
      </w:r>
    </w:p>
    <w:tbl>
      <w:tblPr>
        <w:tblW w:type="auto" w:w="0"/>
        <w:tblLook w:firstColumn="1" w:firstRow="1" w:lastColumn="0" w:lastRow="0" w:noHBand="0" w:noVBand="1" w:val="04A0"/>
      </w:tblPr>
      <w:tblGrid>
        <w:gridCol w:w="6480"/>
      </w:tblGrid>
      <w:tr>
        <w:tc>
          <w:tcPr>
            <w:tcW w:type="dxa" w:w="6480"/>
            <w:shd w:fill="EAF1ED"/>
          </w:tcPr>
          <w:p>
            <w:r>
              <w:rPr>
                <w:b/>
                <w:color w:val="2F6B4F"/>
                <w:sz w:val="19"/>
              </w:rPr>
              <w:t>Verify test date, sample quality, cow group, ration delivery, and the direction of milk yield and components.</w:t>
            </w:r>
          </w:p>
        </w:tc>
      </w:tr>
    </w:tbl>
    <w:p/>
    <w:p>
      <w:pPr>
        <w:pStyle w:val="Heading1"/>
      </w:pPr>
      <w:r>
        <w:t>9 | Rumen function, rumination, and cow-side signals</w:t>
      </w:r>
    </w:p>
    <w:p>
      <w:pPr>
        <w:pStyle w:val="Heading2"/>
      </w:pPr>
      <w:r>
        <w:t>Observe behavior, not just devices</w:t>
      </w:r>
    </w:p>
    <w:p>
      <w:r>
        <w:t>Cud chewing is a visible sign of rumination activity in many resting cows. Record a repeatable sample of cows at consistent times and compare pens or trends. Recent feeding, milking, heat, lameness, and rest opportunity change observed behavior. A snapshot is not equivalent to a 24-hour measurement.</w:t>
      </w:r>
    </w:p>
    <w:p>
      <w:pPr>
        <w:pStyle w:val="Heading2"/>
      </w:pPr>
      <w:r>
        <w:t>Technology adds a trend</w:t>
      </w:r>
    </w:p>
    <w:p>
      <w:r>
        <w:t>Collars, ear tags, boluses, cameras, and automated systems may track rumination or activity. Their definitions, algorithms, coverage, and alert thresholds differ. Establish baselines, data completeness, and false-alert rates. A change can prioritize an examination; it does not diagnose acidosis, illness, or a nutrient deficiency.</w:t>
      </w:r>
    </w:p>
    <w:p>
      <w:pPr>
        <w:pStyle w:val="Heading2"/>
      </w:pPr>
      <w:r>
        <w:t>Look for clusters</w:t>
      </w:r>
    </w:p>
    <w:p>
      <w:r>
        <w:t>A simultaneous change in intake, rumination, milk, and manure affecting one pen suggests a shared exposure or management event. A single cow with reduced rumination may need an individual health check. Check feed delivery, water, heat stress, pen moves, and disease records before changing formulation.</w:t>
      </w:r>
    </w:p>
    <w:p>
      <w:pPr>
        <w:pStyle w:val="Heading2"/>
      </w:pPr>
      <w:r>
        <w:t>Coordinate the team</w:t>
      </w:r>
    </w:p>
    <w:p>
      <w:r>
        <w:t>The herdsman can confirm daily routines; the nutritionist can review ration and ingredient assumptions; the veterinarian can assess illness and clinical findings. Share timestamped records rather than “the cows look off.”</w:t>
      </w:r>
    </w:p>
    <w:tbl>
      <w:tblPr>
        <w:tblW w:type="auto" w:w="0"/>
        <w:tblLook w:firstColumn="1" w:firstRow="1" w:lastColumn="0" w:lastRow="0" w:noHBand="0" w:noVBand="1" w:val="04A0"/>
      </w:tblPr>
      <w:tblGrid>
        <w:gridCol w:w="6480"/>
      </w:tblGrid>
      <w:tr>
        <w:tc>
          <w:tcPr>
            <w:tcW w:type="dxa" w:w="6480"/>
            <w:shd w:fill="EAF1ED"/>
          </w:tcPr>
          <w:p>
            <w:r>
              <w:rPr>
                <w:b/>
                <w:color w:val="2F6B4F"/>
                <w:sz w:val="19"/>
              </w:rPr>
              <w:t>A sensor alert is a prompt to observe and examine, not an automated ration instruction.</w:t>
            </w:r>
          </w:p>
        </w:tc>
      </w:tr>
    </w:tbl>
    <w:p/>
    <w:p>
      <w:pPr>
        <w:pStyle w:val="Heading1"/>
      </w:pPr>
      <w:r>
        <w:t>10 | Transition cows and changing nutrient demands</w:t>
      </w:r>
    </w:p>
    <w:p>
      <w:pPr>
        <w:pStyle w:val="Heading2"/>
      </w:pPr>
      <w:r>
        <w:t>The transition period needs its own plan</w:t>
      </w:r>
    </w:p>
    <w:p>
      <w:r>
        <w:t>The weeks around calving include major changes in intake, metabolism, immune function, and nutrient demand. Group design, comfort, stocking density, feed access, and disease prevention influence whether formulated diets are consumed. Avoid treating transition management as a simple extension of the lactating ration. [6]</w:t>
      </w:r>
    </w:p>
    <w:p>
      <w:pPr>
        <w:pStyle w:val="Heading2"/>
      </w:pPr>
      <w:r>
        <w:t>Protect intake and comfort</w:t>
      </w:r>
    </w:p>
    <w:p>
      <w:r>
        <w:t>Provide consistent feed, clean water, adequate resting space, and low-stress handling. Monitor competition, bunk access, and pen moves. Keep body condition within a suitable range through the production cycle rather than trying to correct excessive condition at the last moment. Use locally accepted body-condition scoring and train scorers.</w:t>
      </w:r>
    </w:p>
    <w:p>
      <w:pPr>
        <w:pStyle w:val="Heading2"/>
      </w:pPr>
      <w:r>
        <w:t>Balance close-up diets with expertise</w:t>
      </w:r>
    </w:p>
    <w:p>
      <w:r>
        <w:t>Mineral strategy, dietary cation-anion difference, forage potassium, energy density, and protein supply require accurate ingredient data and skilled formulation. Laboratory mineral analysis may be important where strategy depends on those values; do not rely on an unvalidated proxy. Work with the herd veterinarian and nutritionist.</w:t>
      </w:r>
    </w:p>
    <w:p>
      <w:pPr>
        <w:pStyle w:val="Heading2"/>
      </w:pPr>
      <w:r>
        <w:t>Monitor cows as individuals</w:t>
      </w:r>
    </w:p>
    <w:p>
      <w:r>
        <w:t>Record calving, appetite, milk, body condition, and health events. Fresh cows that fail to eat, show depression, abnormal temperature, dehydration, or other illness signs need prompt clinical evaluation. Nutrition management supports prevention but cannot replace diagnosis and treatment.</w:t>
      </w:r>
    </w:p>
    <w:tbl>
      <w:tblPr>
        <w:tblW w:type="auto" w:w="0"/>
        <w:tblLook w:firstColumn="1" w:firstRow="1" w:lastColumn="0" w:lastRow="0" w:noHBand="0" w:noVBand="1" w:val="04A0"/>
      </w:tblPr>
      <w:tblGrid>
        <w:gridCol w:w="6480"/>
      </w:tblGrid>
      <w:tr>
        <w:tc>
          <w:tcPr>
            <w:tcW w:type="dxa" w:w="6480"/>
            <w:shd w:fill="EAF1ED"/>
          </w:tcPr>
          <w:p>
            <w:r>
              <w:rPr>
                <w:b/>
                <w:color w:val="2F6B4F"/>
                <w:sz w:val="19"/>
              </w:rPr>
              <w:t>Review feed access, body condition, ration delivery, and fresh-cow health together.</w:t>
            </w:r>
          </w:p>
        </w:tc>
      </w:tr>
    </w:tbl>
    <w:p/>
    <w:p>
      <w:pPr>
        <w:pStyle w:val="Heading1"/>
      </w:pPr>
      <w:r>
        <w:t>11 | Precision nutrition and farm data</w:t>
      </w:r>
    </w:p>
    <w:p>
      <w:pPr>
        <w:pStyle w:val="Heading2"/>
      </w:pPr>
      <w:r>
        <w:t>Precision starts with dependable basics</w:t>
      </w:r>
    </w:p>
    <w:p>
      <w:r>
        <w:t>Digital tools cannot compensate for mislabeled samples, inaccurate scales, missing cow counts, or inconsistent data entry. Assign an owner to each measure and define how it is collected. Use stable units and identify whether a value is as-fed or dry matter.</w:t>
      </w:r>
    </w:p>
    <w:p>
      <w:pPr>
        <w:pStyle w:val="Heading2"/>
      </w:pPr>
      <w:r>
        <w:t>Create a simple dashboard</w:t>
      </w:r>
    </w:p>
    <w:p>
      <w:r>
        <w:t>Useful weekly measures may include forage dry matter, ration and refusal weights, estimated intake, milk yield and components, body-condition trends, health events, rumination alerts, and feed cost per unit of milk. Include date, pen, and data source. Display trends and ranges rather than false precision.</w:t>
      </w:r>
    </w:p>
    <w:p>
      <w:pPr>
        <w:pStyle w:val="Heading2"/>
      </w:pPr>
      <w:r>
        <w:t>Use sensors as decision support</w:t>
      </w:r>
    </w:p>
    <w:p>
      <w:r>
        <w:t>Automated intake estimates, rumination monitors, milk sensors, camera systems, and NIR devices can make observations more frequent. Check calibration, missingness, drift, and agreement with reference methods. NIR predictions depend on appropriate calibration and representative samples; values outside the supported material range should be confirmed with a suitable lab method. [5, 8]</w:t>
      </w:r>
    </w:p>
    <w:p>
      <w:pPr>
        <w:pStyle w:val="Heading2"/>
      </w:pPr>
      <w:r>
        <w:t>Close the loop</w:t>
      </w:r>
    </w:p>
    <w:p>
      <w:r>
        <w:t>When a signal crosses a farm-defined threshold, verify it in the barn, check the measurement system, and assign follow-up. Log the decision and outcome. Review alerts that repeatedly fail to identify a real issue; tune the workflow rather than letting a dashboard drive automatic ration changes.</w:t>
      </w:r>
    </w:p>
    <w:tbl>
      <w:tblPr>
        <w:tblW w:type="auto" w:w="0"/>
        <w:tblLook w:firstColumn="1" w:firstRow="1" w:lastColumn="0" w:lastRow="0" w:noHBand="0" w:noVBand="1" w:val="04A0"/>
      </w:tblPr>
      <w:tblGrid>
        <w:gridCol w:w="6480"/>
      </w:tblGrid>
      <w:tr>
        <w:tc>
          <w:tcPr>
            <w:tcW w:type="dxa" w:w="6480"/>
            <w:shd w:fill="EAF1ED"/>
          </w:tcPr>
          <w:p>
            <w:r>
              <w:rPr>
                <w:b/>
                <w:color w:val="2F6B4F"/>
                <w:sz w:val="19"/>
              </w:rPr>
              <w:t>Every metric needs a definition, an owner, a sampling schedule, and a decision it can support.</w:t>
            </w:r>
          </w:p>
        </w:tc>
      </w:tr>
    </w:tbl>
    <w:p/>
    <w:p>
      <w:pPr>
        <w:pStyle w:val="Heading1"/>
      </w:pPr>
      <w:r>
        <w:t>12 | A disciplined troubleshooting method</w:t>
      </w:r>
    </w:p>
    <w:p>
      <w:pPr>
        <w:pStyle w:val="Heading2"/>
      </w:pPr>
      <w:r>
        <w:t>Step 1: Describe the problem</w:t>
      </w:r>
    </w:p>
    <w:p>
      <w:r>
        <w:t>State what changed, where, when, and how large the shift is. Specify group or animals affected. Separate observed facts from suspected causes. “Pen 2 intake estimate fell 7% over four days” is more useful than “the cows are not doing well.”</w:t>
      </w:r>
    </w:p>
    <w:p>
      <w:pPr>
        <w:pStyle w:val="Heading2"/>
      </w:pPr>
      <w:r>
        <w:t>Step 2: Confirm the signal</w:t>
      </w:r>
    </w:p>
    <w:p>
      <w:r>
        <w:t>Check records, units, sample identity, cow count, and equipment. Compare the same group and period. Ask whether the change exceeds normal variation. Repeat a questionable measurement before action unless welfare requires immediate response.</w:t>
      </w:r>
    </w:p>
    <w:p>
      <w:pPr>
        <w:pStyle w:val="Heading2"/>
      </w:pPr>
      <w:r>
        <w:t>Step 3: Inspect recent changes</w:t>
      </w:r>
    </w:p>
    <w:p>
      <w:r>
        <w:t>Review ingredients, forage face, moisture, ration formulation, scale, mixer, loading, delivery, refusals, bunk access, water, weather, pen moves, milking routine, and disease events. Create a timeline.</w:t>
      </w:r>
    </w:p>
    <w:p>
      <w:pPr>
        <w:pStyle w:val="Heading2"/>
      </w:pPr>
      <w:r>
        <w:t>Step 4: Rank causes and act</w:t>
      </w:r>
    </w:p>
    <w:p>
      <w:r>
        <w:t>The veterinarian and nutritionist help rank explanations and decide whether examination or new feed analysis is needed. Choose a targeted, safe, measurable action. Avoid simultaneous changes that make results impossible to interpret.</w:t>
      </w:r>
    </w:p>
    <w:p>
      <w:pPr>
        <w:pStyle w:val="Heading2"/>
      </w:pPr>
      <w:r>
        <w:t>Step 5: Review the result</w:t>
      </w:r>
    </w:p>
    <w:p>
      <w:r>
        <w:t>Set expected direction and review date. Compare response with the hypothesis. Keep, modify, or reverse the change based on evidence and professional advice. Update the farm record.</w:t>
      </w:r>
    </w:p>
    <w:tbl>
      <w:tblPr>
        <w:tblW w:type="auto" w:w="0"/>
        <w:tblLook w:firstColumn="1" w:firstRow="1" w:lastColumn="0" w:lastRow="0" w:noHBand="0" w:noVBand="1" w:val="04A0"/>
      </w:tblPr>
      <w:tblGrid>
        <w:gridCol w:w="6480"/>
      </w:tblGrid>
      <w:tr>
        <w:tc>
          <w:tcPr>
            <w:tcW w:type="dxa" w:w="6480"/>
            <w:shd w:fill="EAF1ED"/>
          </w:tcPr>
          <w:p>
            <w:r>
              <w:rPr>
                <w:b/>
                <w:color w:val="2F6B4F"/>
                <w:sz w:val="19"/>
              </w:rPr>
              <w:t>A troubleshooting record includes the observation, checks, action, owner, date, and outcome.</w:t>
            </w:r>
          </w:p>
        </w:tc>
      </w:tr>
    </w:tbl>
    <w:p/>
    <w:p>
      <w:pPr>
        <w:pStyle w:val="Heading1"/>
      </w:pPr>
      <w:r>
        <w:t>13 | A practical monitoring calendar</w:t>
      </w:r>
    </w:p>
    <w:p>
      <w:pPr>
        <w:pStyle w:val="Heading2"/>
      </w:pPr>
      <w:r>
        <w:t>Every day</w:t>
      </w:r>
    </w:p>
    <w:p>
      <w:r>
        <w:t>Observe cows eating and resting; confirm feed availability and water; record delivered feed and refusals; note mixing or delivery deviations; review fresh-cow appetite and health; capture unusual manure or behavior patterns.</w:t>
      </w:r>
    </w:p>
    <w:p>
      <w:pPr>
        <w:pStyle w:val="Heading2"/>
      </w:pPr>
      <w:r>
        <w:t>Every week</w:t>
      </w:r>
    </w:p>
    <w:p>
      <w:r>
        <w:t>Check forage dry matter when variability warrants; review ingredient weights, mixer consistency, feed sorting, intake, milk yield and components, and health events. Discuss meaningful shifts with the nutritionist. Review whether sensor data agree with barn observations.</w:t>
      </w:r>
    </w:p>
    <w:p>
      <w:pPr>
        <w:pStyle w:val="Heading2"/>
      </w:pPr>
      <w:r>
        <w:t>At each new feed lot or forage change</w:t>
      </w:r>
    </w:p>
    <w:p>
      <w:r>
        <w:t>Sample appropriately, request a fit-for-purpose analysis, update ration with the nutritionist, and recheck as-fed inclusion rates. Record the lot and date. Confirm staff know the new recipe and inventory corresponds to the sampled material.</w:t>
      </w:r>
    </w:p>
    <w:p>
      <w:pPr>
        <w:pStyle w:val="Heading2"/>
      </w:pPr>
      <w:r>
        <w:t>Monthly or at the team’s interval</w:t>
      </w:r>
    </w:p>
    <w:p>
      <w:r>
        <w:t>Review feed cost and efficiency definitions, production trends, body condition, transition outcomes, disease patterns, and ration response. Check scale and lab procedures. Identify one improvement with an owner and a measurement plan.</w:t>
      </w:r>
    </w:p>
    <w:p>
      <w:pPr>
        <w:pStyle w:val="Heading2"/>
      </w:pPr>
      <w:r>
        <w:t>When the system changes</w:t>
      </w:r>
    </w:p>
    <w:p>
      <w:r>
        <w:t>A new mixer, harvest, pen, staff member, sensor, or feeding schedule can invalidate a baseline. Document the change and re-establish comparable measures.</w:t>
      </w:r>
    </w:p>
    <w:tbl>
      <w:tblPr>
        <w:tblW w:type="auto" w:w="0"/>
        <w:tblLook w:firstColumn="1" w:firstRow="1" w:lastColumn="0" w:lastRow="0" w:noHBand="0" w:noVBand="1" w:val="04A0"/>
      </w:tblPr>
      <w:tblGrid>
        <w:gridCol w:w="6480"/>
      </w:tblGrid>
      <w:tr>
        <w:tc>
          <w:tcPr>
            <w:tcW w:type="dxa" w:w="6480"/>
            <w:shd w:fill="EAF1ED"/>
          </w:tcPr>
          <w:p>
            <w:r>
              <w:rPr>
                <w:b/>
                <w:color w:val="2F6B4F"/>
                <w:sz w:val="19"/>
              </w:rPr>
              <w:t>A consistently completed short log is more useful than a detailed form no one maintains.</w:t>
            </w:r>
          </w:p>
        </w:tc>
      </w:tr>
    </w:tbl>
    <w:p/>
    <w:p>
      <w:pPr>
        <w:pStyle w:val="Heading1"/>
      </w:pPr>
      <w:r>
        <w:t>14 | Farm-ready worksheets</w:t>
      </w:r>
    </w:p>
    <w:p>
      <w:pPr>
        <w:pStyle w:val="Heading2"/>
      </w:pPr>
      <w:r>
        <w:t>A. Feed and forage sample log</w:t>
      </w:r>
    </w:p>
    <w:p>
      <w:r>
        <w:t>Date/time: ____  Feed/lot: ____  Location or face: ____  Animal group: ____  Sampler: ____  Sample method: ____  Lab and method: ____  Dry matter: ____  Key result: ____  Ration update/date: ____</w:t>
      </w:r>
    </w:p>
    <w:p>
      <w:pPr>
        <w:pStyle w:val="Heading2"/>
      </w:pPr>
      <w:r>
        <w:t>B. TMR consistency check</w:t>
      </w:r>
    </w:p>
    <w:p>
      <w:r>
        <w:t>Date: ____  Pen: ____  Operator: ____  Forage DM: ____  Ingredient weights checked: yes/no  Mixing sequence/time: ____  TMR locations sampled: ____  Separator results: ____  Refusal amount and distribution: ____  Deviations: ____</w:t>
      </w:r>
    </w:p>
    <w:p>
      <w:pPr>
        <w:pStyle w:val="Heading2"/>
      </w:pPr>
      <w:r>
        <w:t>C. Response review</w:t>
      </w:r>
    </w:p>
    <w:p>
      <w:r>
        <w:t>Question being tested: ____  Baseline dates: ____  Baseline intake/milk/components/health: ____  Action and date: ____  Expected response: ____  Review date: ____  Observed result: ____  Other events: ____  Decision and owner: ____</w:t>
      </w:r>
    </w:p>
    <w:p>
      <w:pPr>
        <w:pStyle w:val="Heading2"/>
      </w:pPr>
      <w:r>
        <w:t>D. Manure observation</w:t>
      </w:r>
    </w:p>
    <w:p>
      <w:r>
        <w:t>Date/time: ____  Pen: ____  Number of fresh piles: ____  Consistency pattern: ____  Visible particles: ____  Sieve method: ____  Change from baseline: ____  Feed/health events: ____  Follow-up owner: ____</w:t>
      </w:r>
    </w:p>
    <w:p>
      <w:pPr>
        <w:pStyle w:val="Heading2"/>
      </w:pPr>
      <w:r>
        <w:t>E. Weekly huddle</w:t>
      </w:r>
    </w:p>
    <w:p>
      <w:r>
        <w:t>What changed? ____  What evidence supports it? ____  What needs checking? ____  Action: ____  Owner: ____  Due date: ____  What result would confirm improvement? ____</w:t>
      </w:r>
    </w:p>
    <w:tbl>
      <w:tblPr>
        <w:tblW w:type="auto" w:w="0"/>
        <w:tblLook w:firstColumn="1" w:firstRow="1" w:lastColumn="0" w:lastRow="0" w:noHBand="0" w:noVBand="1" w:val="04A0"/>
      </w:tblPr>
      <w:tblGrid>
        <w:gridCol w:w="6480"/>
      </w:tblGrid>
      <w:tr>
        <w:tc>
          <w:tcPr>
            <w:tcW w:type="dxa" w:w="6480"/>
            <w:shd w:fill="EAF1ED"/>
          </w:tcPr>
          <w:p>
            <w:r>
              <w:rPr>
                <w:b/>
                <w:color w:val="2F6B4F"/>
                <w:sz w:val="19"/>
              </w:rPr>
              <w:t>Keep worksheets with ration versions and laboratory reports so the history travels with the decision.</w:t>
            </w:r>
          </w:p>
        </w:tc>
      </w:tr>
    </w:tbl>
    <w:p/>
    <w:p>
      <w:pPr>
        <w:pStyle w:val="Heading1"/>
      </w:pPr>
      <w:r>
        <w:t>15 | Glossary</w:t>
      </w:r>
    </w:p>
    <w:p>
      <w:pPr>
        <w:pStyle w:val="Heading2"/>
      </w:pPr>
      <w:r>
        <w:t>As-fed basis</w:t>
      </w:r>
    </w:p>
    <w:p>
      <w:r>
        <w:t>The weight of feed in its current moisture condition, including water.</w:t>
      </w:r>
    </w:p>
    <w:p>
      <w:pPr>
        <w:pStyle w:val="Heading2"/>
      </w:pPr>
      <w:r>
        <w:t>Dry matter (DM)</w:t>
      </w:r>
    </w:p>
    <w:p>
      <w:r>
        <w:t>Feed remaining after water is removed; a basis for comparing nutrient concentrations and intake.</w:t>
      </w:r>
    </w:p>
    <w:p>
      <w:pPr>
        <w:pStyle w:val="Heading2"/>
      </w:pPr>
      <w:r>
        <w:t>Dry-matter intake (DMI)</w:t>
      </w:r>
    </w:p>
    <w:p>
      <w:r>
        <w:t>Feed dry matter consumed, often estimated at group level from offered feed minus refusals.</w:t>
      </w:r>
    </w:p>
    <w:p>
      <w:pPr>
        <w:pStyle w:val="Heading2"/>
      </w:pPr>
      <w:r>
        <w:t>NDF</w:t>
      </w:r>
    </w:p>
    <w:p>
      <w:r>
        <w:t>Neutral detergent fiber; a measure of cell-wall material that does not by itself describe digestibility or physical effectiveness.</w:t>
      </w:r>
    </w:p>
    <w:p>
      <w:pPr>
        <w:pStyle w:val="Heading2"/>
      </w:pPr>
      <w:r>
        <w:t>peNDF</w:t>
      </w:r>
    </w:p>
    <w:p>
      <w:r>
        <w:t>Physically effective NDF; a concept combining fiber concentration with physical characteristics relevant to chewing and rumen function. Measurement methods matter.</w:t>
      </w:r>
    </w:p>
    <w:p>
      <w:pPr>
        <w:pStyle w:val="Heading2"/>
      </w:pPr>
      <w:r>
        <w:t>Rumen fermentation</w:t>
      </w:r>
    </w:p>
    <w:p>
      <w:r>
        <w:t>Microbial breakdown and transformation of feed in the rumen, producing volatile fatty acids and microbial biomass.</w:t>
      </w:r>
    </w:p>
    <w:p>
      <w:pPr>
        <w:pStyle w:val="Heading2"/>
      </w:pPr>
      <w:r>
        <w:t>TMR</w:t>
      </w:r>
    </w:p>
    <w:p>
      <w:r>
        <w:t>Total mixed ration; ingredients mixed together to provide a more uniform ration in each mouthful when management is effective.</w:t>
      </w:r>
    </w:p>
    <w:p>
      <w:pPr>
        <w:pStyle w:val="Heading2"/>
      </w:pPr>
      <w:r>
        <w:t>NIR/NIRS</w:t>
      </w:r>
    </w:p>
    <w:p>
      <w:r>
        <w:t>Near-infrared spectroscopy; a rapid prediction method based on spectral data and statistical calibration against reference analyses.</w:t>
      </w:r>
    </w:p>
    <w:p>
      <w:pPr>
        <w:pStyle w:val="Heading2"/>
      </w:pPr>
      <w:r>
        <w:t>Sorting</w:t>
      </w:r>
    </w:p>
    <w:p>
      <w:r>
        <w:t>Selective consumption of ration components, which can make the consumed diet differ from the formulated diet.</w:t>
      </w:r>
    </w:p>
    <w:p>
      <w:pPr>
        <w:pStyle w:val="Heading2"/>
      </w:pPr>
      <w:r>
        <w:t>Refusals</w:t>
      </w:r>
    </w:p>
    <w:p>
      <w:r>
        <w:t>Feed remaining after a feeding period; also called orts.</w:t>
      </w:r>
    </w:p>
    <w:p>
      <w:pPr>
        <w:pStyle w:val="Heading2"/>
      </w:pPr>
      <w:r>
        <w:t>Transition period</w:t>
      </w:r>
    </w:p>
    <w:p>
      <w:r>
        <w:t>The weeks around parturition managed as a distinct nutritional and health period; group design and protocols vary.</w:t>
      </w:r>
    </w:p>
    <w:p/>
    <w:p>
      <w:r>
        <w:br w:type="page"/>
      </w:r>
    </w:p>
    <w:p>
      <w:pPr>
        <w:pStyle w:val="Heading1"/>
      </w:pPr>
      <w:r>
        <w:t>References</w:t>
      </w:r>
    </w:p>
    <w:p>
      <w:r>
        <w:t>Core sources for the scientific framework and field methods in this handbook. Online guidance and access details may change; consult current versions when applying a procedure.</w:t>
      </w:r>
    </w:p>
    <w:p>
      <w:pPr>
        <w:ind w:left="403" w:hanging="403"/>
      </w:pPr>
      <w:r>
        <w:rPr>
          <w:b/>
          <w:color w:val="2F6B4F"/>
        </w:rPr>
        <w:t xml:space="preserve">[1] </w:t>
      </w:r>
      <w:r>
        <w:t xml:space="preserve">National Academies of Sciences, Engineering, and Medicine. Nutrient Requirements of Dairy Cattle. 8th revised ed. Washington, DC: National Academies Press; 2021. </w:t>
      </w:r>
      <w:r>
        <w:rPr>
          <w:color w:val="4D9690"/>
          <w:sz w:val="16"/>
        </w:rPr>
        <w:t>https://www.ncbi.nlm.nih.gov/books/NBK600603/</w:t>
      </w:r>
    </w:p>
    <w:p>
      <w:pPr>
        <w:ind w:left="403" w:hanging="403"/>
      </w:pPr>
      <w:r>
        <w:rPr>
          <w:b/>
          <w:color w:val="2F6B4F"/>
        </w:rPr>
        <w:t xml:space="preserve">[2] </w:t>
      </w:r>
      <w:r>
        <w:t xml:space="preserve">Penn State Extension. Methods Used to Measure Forage and Ration Particle Size. Updated January 31, 2023. </w:t>
      </w:r>
      <w:r>
        <w:rPr>
          <w:color w:val="4D9690"/>
          <w:sz w:val="16"/>
        </w:rPr>
        <w:t>https://extension.psu.edu/methods-used-to-measure-forage-and-ration-particle-size</w:t>
      </w:r>
    </w:p>
    <w:p>
      <w:pPr>
        <w:ind w:left="403" w:hanging="403"/>
      </w:pPr>
      <w:r>
        <w:rPr>
          <w:b/>
          <w:color w:val="2F6B4F"/>
        </w:rPr>
        <w:t xml:space="preserve">[3] </w:t>
      </w:r>
      <w:r>
        <w:t xml:space="preserve">Penn State Extension. Using Manure Evaluation to Enhance Dairy Cattle Nutrition. Updated March 19, 2026. </w:t>
      </w:r>
      <w:r>
        <w:rPr>
          <w:color w:val="4D9690"/>
          <w:sz w:val="16"/>
        </w:rPr>
        <w:t>https://extension.psu.edu/using-manure-evaluation-to-enhance-dairy-cattle-nutrition</w:t>
      </w:r>
    </w:p>
    <w:p>
      <w:pPr>
        <w:ind w:left="403" w:hanging="403"/>
      </w:pPr>
      <w:r>
        <w:rPr>
          <w:b/>
          <w:color w:val="2F6B4F"/>
        </w:rPr>
        <w:t xml:space="preserve">[4] </w:t>
      </w:r>
      <w:r>
        <w:t xml:space="preserve">Rosemond R. TMR Management: Ensuring Formulated Rations Make It to the Bunk. Penn State Extension. Updated December 3, 2024. </w:t>
      </w:r>
      <w:r>
        <w:rPr>
          <w:color w:val="4D9690"/>
          <w:sz w:val="16"/>
        </w:rPr>
        <w:t>https://extension.psu.edu/tmr-management-ensuring-formulated-rations-make-it-to-the-bunk</w:t>
      </w:r>
    </w:p>
    <w:p>
      <w:pPr>
        <w:ind w:left="403" w:hanging="403"/>
      </w:pPr>
      <w:r>
        <w:rPr>
          <w:b/>
          <w:color w:val="2F6B4F"/>
        </w:rPr>
        <w:t xml:space="preserve">[5] </w:t>
      </w:r>
      <w:r>
        <w:t xml:space="preserve">Seefeldt L. Forage Testing Functionality. University of Wisconsin–Madison Extension, Dairy. 2024. </w:t>
      </w:r>
      <w:r>
        <w:rPr>
          <w:color w:val="4D9690"/>
          <w:sz w:val="16"/>
        </w:rPr>
        <w:t>https://dairy.extension.wisc.edu/articles/forage-testing-functionality/</w:t>
      </w:r>
    </w:p>
    <w:p>
      <w:pPr>
        <w:ind w:left="403" w:hanging="403"/>
      </w:pPr>
      <w:r>
        <w:rPr>
          <w:b/>
          <w:color w:val="2F6B4F"/>
        </w:rPr>
        <w:t xml:space="preserve">[6] </w:t>
      </w:r>
      <w:r>
        <w:t xml:space="preserve">McCarville J. Healthy Cows: Nutrition Recommendations for Transition Periods. University of Wisconsin–Madison Extension, Dairy. </w:t>
      </w:r>
      <w:r>
        <w:rPr>
          <w:color w:val="4D9690"/>
          <w:sz w:val="16"/>
        </w:rPr>
        <w:t>https://dairy.extension.wisc.edu/articles/healthy-cows-nutrition-recommendations-for-transition-periods/</w:t>
      </w:r>
    </w:p>
    <w:p>
      <w:pPr>
        <w:ind w:left="403" w:hanging="403"/>
      </w:pPr>
      <w:r>
        <w:rPr>
          <w:b/>
          <w:color w:val="2F6B4F"/>
        </w:rPr>
        <w:t xml:space="preserve">[7] </w:t>
      </w:r>
      <w:r>
        <w:t xml:space="preserve">Penn State Extension. Penn State Particle Separator. </w:t>
      </w:r>
      <w:r>
        <w:rPr>
          <w:color w:val="4D9690"/>
          <w:sz w:val="16"/>
        </w:rPr>
        <w:t>https://extension.psu.edu/penn-state-particle-separator</w:t>
      </w:r>
    </w:p>
    <w:p>
      <w:pPr>
        <w:ind w:left="403" w:hanging="403"/>
      </w:pPr>
      <w:r>
        <w:rPr>
          <w:b/>
          <w:color w:val="2F6B4F"/>
        </w:rPr>
        <w:t xml:space="preserve">[8] </w:t>
      </w:r>
      <w:r>
        <w:t xml:space="preserve">University of Georgia Cooperative Extension. Forage Testing Using Near-Infrared Spectroscopy: Frequently Asked Questions. </w:t>
      </w:r>
      <w:r>
        <w:rPr>
          <w:color w:val="4D9690"/>
          <w:sz w:val="16"/>
        </w:rPr>
        <w:t>https://fieldreport.caes.uga.edu/publications/C1372/forage-testing-using-near-infrared-spectroscopy/</w:t>
      </w:r>
    </w:p>
    <w:p>
      <w:pPr>
        <w:ind w:left="403" w:hanging="403"/>
      </w:pPr>
      <w:r>
        <w:rPr>
          <w:b/>
          <w:color w:val="2F6B4F"/>
        </w:rPr>
        <w:t xml:space="preserve">[9] </w:t>
      </w:r>
      <w:r>
        <w:t xml:space="preserve">Department for Environment, Food &amp; Rural Affairs. Condition Scoring of Dairy Cows. Guidance booklet PB6492. </w:t>
      </w:r>
      <w:r>
        <w:rPr>
          <w:color w:val="4D9690"/>
          <w:sz w:val="16"/>
        </w:rPr>
        <w:t>https://www.gov.uk/government/publications/condition-scoring-of-dairy-cows</w:t>
      </w:r>
    </w:p>
    <w:p>
      <w:r>
        <w:br w:type="page"/>
      </w:r>
    </w:p>
    <w:p>
      <w:pPr>
        <w:pStyle w:val="Heading1"/>
      </w:pPr>
      <w:r>
        <w:t>About the author</w:t>
      </w:r>
    </w:p>
    <w:p>
      <w:pPr>
        <w:spacing w:after="173"/>
        <w:jc w:val="left"/>
      </w:pPr>
      <w:r>
        <w:drawing>
          <wp:inline xmlns:a="http://schemas.openxmlformats.org/drawingml/2006/main" xmlns:pic="http://schemas.openxmlformats.org/drawingml/2006/picture">
            <wp:extent cx="1417320" cy="1773936"/>
            <wp:docPr id="2" name="Picture 2"/>
            <wp:cNvGraphicFramePr>
              <a:graphicFrameLocks noChangeAspect="1"/>
            </wp:cNvGraphicFramePr>
            <a:graphic>
              <a:graphicData uri="http://schemas.openxmlformats.org/drawingml/2006/picture">
                <pic:pic>
                  <pic:nvPicPr>
                    <pic:cNvPr id="0" name="author-portrait.jpg"/>
                    <pic:cNvPicPr/>
                  </pic:nvPicPr>
                  <pic:blipFill>
                    <a:blip r:embed="rId11"/>
                    <a:stretch>
                      <a:fillRect/>
                    </a:stretch>
                  </pic:blipFill>
                  <pic:spPr>
                    <a:xfrm>
                      <a:off x="0" y="0"/>
                      <a:ext cx="1417320" cy="1773936"/>
                    </a:xfrm>
                    <a:prstGeom prst="rect"/>
                  </pic:spPr>
                </pic:pic>
              </a:graphicData>
            </a:graphic>
          </wp:inline>
        </w:drawing>
      </w:r>
    </w:p>
    <w:p>
      <w:r>
        <w:t>Prof. Mousa M. A. is Professor of Nutrition and Clinical Nutrition at the Faculty of Veterinary Medicine, Sohag University, Egypt. This book brings together a practical framework for connecting ration decisions with animal and farm responses.</w:t>
      </w:r>
    </w:p>
    <w:p>
      <w:r>
        <w:t>[Author note: Please review and replace this short biography with approved publication details, including preferred academic titles, affiliations, research interests, and contact or website information.]</w:t>
      </w:r>
    </w:p>
    <w:p>
      <w:r>
        <w:br w:type="page"/>
      </w:r>
    </w:p>
    <w:p>
      <w:pPr>
        <w:pStyle w:val="Heading1"/>
      </w:pPr>
      <w:r>
        <w:t>Back cover</w:t>
      </w:r>
    </w:p>
    <w:p>
      <w:r>
        <w:t>A ration is only the beginning. The real test is what cows eat, how the rumen responds, and what the farm can observe in manure, milk, health, and performance.</w:t>
      </w:r>
    </w:p>
    <w:p>
      <w:r>
        <w:t>From Ration to Response is a practical guide for dairy professionals who want to connect feed and forage quality with rumen function, physical fiber, manure evaluation, milk response, and farm data. Clear field methods and reusable worksheets help teams verify what is happening at the bunk, recognize patterns in the cows, and review changes with evidence.</w:t>
      </w:r>
    </w:p>
    <w:p>
      <w:r>
        <w:t>Designed for veterinarians, nutritionists, dairy consultants, farm managers, and advanced dairy farmers, this guide turns everyday observations into a disciplined nutrition feedback loop.</w:t>
      </w:r>
    </w:p>
    <w:p>
      <w:r>
        <w:t>Science | Practical Tools | Real Farm Solutions</w:t>
      </w:r>
    </w:p>
    <w:p>
      <w:r>
        <w:t>Prof. Mousa M. A.</w:t>
        <w:br/>
        <w:t>Professor of Nutrition and Clinical Nutrition</w:t>
        <w:br/>
        <w:t>Faculty of Veterinary Medicine, Sohag University, Egypt</w:t>
      </w:r>
    </w:p>
    <w:sectPr w:rsidR="00FC693F" w:rsidRPr="0006063C" w:rsidSect="00034616">
      <w:headerReference w:type="default" r:id="rId9"/>
      <w:footerReference w:type="default" r:id="rId10"/>
      <w:pgSz w:w="8640" w:h="12960"/>
      <w:pgMar w:top="1037" w:right="1037"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0"/>
        <w:sz w:val="16"/>
      </w:rPr>
      <w:t xml:space="preserve">SCIENCE  |  PRACTICAL TOOLS  |  REAL FARM SOLUTIONS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B4F"/>
        <w:sz w:val="16"/>
      </w:rPr>
      <w:t>FROM RATION TO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7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Aptos Display" w:hAnsi="Aptos Display"/>
      <w:b/>
      <w:bCs/>
      <w:color w:val="15334A"/>
      <w:sz w:val="4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3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Ration to Response</dc:title>
  <dc:subject>Practical dairy nutrition guide</dc:subject>
  <dc:creator>Prof. Mousa M. A.</dc:creator>
  <cp:keywords/>
  <dc:description>generated by python-docx</dc:description>
  <cp:lastModifiedBy/>
  <cp:revision>1</cp:revision>
  <dcterms:created xsi:type="dcterms:W3CDTF">2013-12-23T23:15:00Z</dcterms:created>
  <dcterms:modified xsi:type="dcterms:W3CDTF">2013-12-23T23:15:00Z</dcterms:modified>
  <cp:category/>
</cp:coreProperties>
</file>