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00" w:after="120"/>
      </w:pPr>
      <w:r>
        <w:rPr>
          <w:b/>
          <w:sz w:val="28"/>
        </w:rPr>
        <w:t>Abstract</w:t>
      </w:r>
    </w:p>
    <w:p>
      <w:pPr>
        <w:spacing w:after="120" w:line="360" w:lineRule="auto"/>
        <w:jc w:val="both"/>
      </w:pPr>
      <w:r>
        <w:rPr>
          <w:sz w:val="22"/>
        </w:rPr>
        <w:t>Aortic stenosis (AS) is a common valvular heart disease whose management depends on the accurate assessment of severity. Transthoracic echocardiography (TTE) is the primary imaging modality but has recognised limitations: continuous-wave Doppler is sensitive to the alignment between the ultrasound beam and an eccentric stenotic jet, and the continuity-equation estimate of aortic valve area assumes a circular left ventricular outflow tract. Four-dimensional flow cardiovascular magnetic resonance (4D flow CMR) measures three-directional, time-resolved velocity throughout a volume, allowing measurement planes to be positioned retrospectively, and can quantify advanced haemodynamic measures such as turbulent kinetic energy, viscous energy loss and wall shear stress.</w:t>
      </w:r>
    </w:p>
    <w:p>
      <w:pPr>
        <w:spacing w:after="120" w:line="360" w:lineRule="auto"/>
        <w:jc w:val="both"/>
      </w:pPr>
      <w:r>
        <w:rPr>
          <w:sz w:val="22"/>
        </w:rPr>
        <w:t>This narrative review examines the current evidence for 4D flow CMR in AS, covering its technical basis; the assessment of peak velocity, pressure gradient and valve area against TTE and invasive catheterisation; advanced flow-energy parameters; ventricular and myocardial energetics, including left ventricular blood-flow kinetic energy and non-invasive pressure–volume loop concepts; and emerging associations with functional capacity, ventricular remodelling and valve intervention.</w:t>
      </w:r>
    </w:p>
    <w:p>
      <w:pPr>
        <w:spacing w:after="120" w:line="360" w:lineRule="auto"/>
        <w:jc w:val="both"/>
      </w:pPr>
      <w:r>
        <w:rPr>
          <w:sz w:val="22"/>
        </w:rPr>
        <w:t>Small validation studies show that 4D-flow-derived pressure gradients can agree closely with invasive measurements, and the technique may be particularly useful when Doppler is technically difficult or when severity parameters are discordant. However, the evidence for peak velocity is inconsistent, with some studies reporting higher and others lower values than Doppler, reflecting competing sources of measurement error. Advanced flow-energy measures and ventricular energetic indices remain research tools, and flow energy must not be equated with myocardial mechanical work. Although 4D-flow measurements are associated with symptoms, ventricular remodelling and the decision to intervene, no study has demonstrated that 4D-flow-guided management improves patient-centred outcomes. On current evidence, 4D flow CMR is best regarded as a complementary technique within a multiparametric assessment of AS; larger multicentre studies with standardised acquisition and analysis and prospective, outcome-linked designs are required.</w:t>
      </w:r>
    </w:p>
    <w:p>
      <w:pPr>
        <w:spacing w:before="80"/>
        <w:jc w:val="both"/>
      </w:pPr>
      <w:r>
        <w:rPr>
          <w:i/>
          <w:sz w:val="22"/>
        </w:rPr>
        <w:t>Keywords: aortic stenosis; 4D flow cardiovascular magnetic resonance; haemodynamic assessment; wall shear stress; pressure–volume loop; myocardial energetics.</w:t>
      </w:r>
    </w:p>
    <w:p>
      <w:r>
        <w:br w:type="page"/>
      </w:r>
    </w:p>
    <w:p>
      <w:pPr>
        <w:spacing w:before="200" w:after="120"/>
      </w:pPr>
      <w:r>
        <w:rPr>
          <w:b/>
          <w:sz w:val="28"/>
        </w:rPr>
        <w:t>Abbreviations</w:t>
      </w:r>
    </w:p>
    <w:p>
      <w:pPr>
        <w:tabs>
          <w:tab w:pos="2088" w:val="left"/>
        </w:tabs>
        <w:spacing w:after="40"/>
        <w:ind w:left="2088" w:hanging="2088"/>
      </w:pPr>
      <w:r>
        <w:rPr>
          <w:b/>
          <w:sz w:val="22"/>
        </w:rPr>
        <w:t>4D flow CMR</w:t>
      </w:r>
      <w:r>
        <w:rPr>
          <w:sz w:val="22"/>
        </w:rPr>
        <w:tab/>
        <w:t>Four-dimensional flow cardiovascular magnetic resonance</w:t>
      </w:r>
    </w:p>
    <w:p>
      <w:pPr>
        <w:tabs>
          <w:tab w:pos="2088" w:val="left"/>
        </w:tabs>
        <w:spacing w:after="40"/>
        <w:ind w:left="2088" w:hanging="2088"/>
      </w:pPr>
      <w:r>
        <w:rPr>
          <w:b/>
          <w:sz w:val="22"/>
        </w:rPr>
        <w:t>6MWT</w:t>
      </w:r>
      <w:r>
        <w:rPr>
          <w:sz w:val="22"/>
        </w:rPr>
        <w:tab/>
        <w:t>Six-minute walk test</w:t>
      </w:r>
    </w:p>
    <w:p>
      <w:pPr>
        <w:tabs>
          <w:tab w:pos="2088" w:val="left"/>
        </w:tabs>
        <w:spacing w:after="40"/>
        <w:ind w:left="2088" w:hanging="2088"/>
      </w:pPr>
      <w:r>
        <w:rPr>
          <w:b/>
          <w:sz w:val="22"/>
        </w:rPr>
        <w:t>AS</w:t>
      </w:r>
      <w:r>
        <w:rPr>
          <w:sz w:val="22"/>
        </w:rPr>
        <w:tab/>
        <w:t>Aortic stenosis</w:t>
      </w:r>
    </w:p>
    <w:p>
      <w:pPr>
        <w:tabs>
          <w:tab w:pos="2088" w:val="left"/>
        </w:tabs>
        <w:spacing w:after="40"/>
        <w:ind w:left="2088" w:hanging="2088"/>
      </w:pPr>
      <w:r>
        <w:rPr>
          <w:b/>
          <w:sz w:val="22"/>
        </w:rPr>
        <w:t>AVA</w:t>
      </w:r>
      <w:r>
        <w:rPr>
          <w:sz w:val="22"/>
        </w:rPr>
        <w:tab/>
        <w:t>Aortic valve area</w:t>
      </w:r>
    </w:p>
    <w:p>
      <w:pPr>
        <w:tabs>
          <w:tab w:pos="2088" w:val="left"/>
        </w:tabs>
        <w:spacing w:after="40"/>
        <w:ind w:left="2088" w:hanging="2088"/>
      </w:pPr>
      <w:r>
        <w:rPr>
          <w:b/>
          <w:sz w:val="22"/>
        </w:rPr>
        <w:t>BAV</w:t>
      </w:r>
      <w:r>
        <w:rPr>
          <w:sz w:val="22"/>
        </w:rPr>
        <w:tab/>
        <w:t>Bicuspid aortic valve</w:t>
      </w:r>
    </w:p>
    <w:p>
      <w:pPr>
        <w:tabs>
          <w:tab w:pos="2088" w:val="left"/>
        </w:tabs>
        <w:spacing w:after="40"/>
        <w:ind w:left="2088" w:hanging="2088"/>
      </w:pPr>
      <w:r>
        <w:rPr>
          <w:b/>
          <w:sz w:val="22"/>
        </w:rPr>
        <w:t>CMR</w:t>
      </w:r>
      <w:r>
        <w:rPr>
          <w:sz w:val="22"/>
        </w:rPr>
        <w:tab/>
        <w:t>Cardiovascular magnetic resonance</w:t>
      </w:r>
    </w:p>
    <w:p>
      <w:pPr>
        <w:tabs>
          <w:tab w:pos="2088" w:val="left"/>
        </w:tabs>
        <w:spacing w:after="40"/>
        <w:ind w:left="2088" w:hanging="2088"/>
      </w:pPr>
      <w:r>
        <w:rPr>
          <w:b/>
          <w:sz w:val="22"/>
        </w:rPr>
        <w:t>CWD</w:t>
      </w:r>
      <w:r>
        <w:rPr>
          <w:sz w:val="22"/>
        </w:rPr>
        <w:tab/>
        <w:t>Continuous-wave Doppler</w:t>
      </w:r>
    </w:p>
    <w:p>
      <w:pPr>
        <w:tabs>
          <w:tab w:pos="2088" w:val="left"/>
        </w:tabs>
        <w:spacing w:after="40"/>
        <w:ind w:left="2088" w:hanging="2088"/>
      </w:pPr>
      <w:r>
        <w:rPr>
          <w:b/>
          <w:sz w:val="22"/>
        </w:rPr>
        <w:t>EACTS</w:t>
      </w:r>
      <w:r>
        <w:rPr>
          <w:sz w:val="22"/>
        </w:rPr>
        <w:tab/>
        <w:t>European Association for Cardio-Thoracic Surgery</w:t>
      </w:r>
    </w:p>
    <w:p>
      <w:pPr>
        <w:tabs>
          <w:tab w:pos="2088" w:val="left"/>
        </w:tabs>
        <w:spacing w:after="40"/>
        <w:ind w:left="2088" w:hanging="2088"/>
      </w:pPr>
      <w:r>
        <w:rPr>
          <w:b/>
          <w:sz w:val="22"/>
        </w:rPr>
        <w:t>ECG</w:t>
      </w:r>
      <w:r>
        <w:rPr>
          <w:sz w:val="22"/>
        </w:rPr>
        <w:tab/>
        <w:t>Electrocardiogram</w:t>
      </w:r>
    </w:p>
    <w:p>
      <w:pPr>
        <w:tabs>
          <w:tab w:pos="2088" w:val="left"/>
        </w:tabs>
        <w:spacing w:after="40"/>
        <w:ind w:left="2088" w:hanging="2088"/>
      </w:pPr>
      <w:r>
        <w:rPr>
          <w:b/>
          <w:sz w:val="22"/>
        </w:rPr>
        <w:t>EOA</w:t>
      </w:r>
      <w:r>
        <w:rPr>
          <w:sz w:val="22"/>
        </w:rPr>
        <w:tab/>
        <w:t>Effective orifice area</w:t>
      </w:r>
    </w:p>
    <w:p>
      <w:pPr>
        <w:tabs>
          <w:tab w:pos="2088" w:val="left"/>
        </w:tabs>
        <w:spacing w:after="40"/>
        <w:ind w:left="2088" w:hanging="2088"/>
      </w:pPr>
      <w:r>
        <w:rPr>
          <w:b/>
          <w:sz w:val="22"/>
        </w:rPr>
        <w:t>ESC</w:t>
      </w:r>
      <w:r>
        <w:rPr>
          <w:sz w:val="22"/>
        </w:rPr>
        <w:tab/>
        <w:t>European Society of Cardiology</w:t>
      </w:r>
    </w:p>
    <w:p>
      <w:pPr>
        <w:tabs>
          <w:tab w:pos="2088" w:val="left"/>
        </w:tabs>
        <w:spacing w:after="40"/>
        <w:ind w:left="2088" w:hanging="2088"/>
      </w:pPr>
      <w:r>
        <w:rPr>
          <w:b/>
          <w:sz w:val="22"/>
        </w:rPr>
        <w:t>KEiEDV</w:t>
      </w:r>
      <w:r>
        <w:rPr>
          <w:sz w:val="22"/>
        </w:rPr>
        <w:tab/>
        <w:t>Kinetic energy indexed to end-diastolic volume</w:t>
      </w:r>
    </w:p>
    <w:p>
      <w:pPr>
        <w:tabs>
          <w:tab w:pos="2088" w:val="left"/>
        </w:tabs>
        <w:spacing w:after="40"/>
        <w:ind w:left="2088" w:hanging="2088"/>
      </w:pPr>
      <w:r>
        <w:rPr>
          <w:b/>
          <w:sz w:val="22"/>
        </w:rPr>
        <w:t>LV</w:t>
      </w:r>
      <w:r>
        <w:rPr>
          <w:sz w:val="22"/>
        </w:rPr>
        <w:tab/>
        <w:t>Left ventricle / left ventricular</w:t>
      </w:r>
    </w:p>
    <w:p>
      <w:pPr>
        <w:tabs>
          <w:tab w:pos="2088" w:val="left"/>
        </w:tabs>
        <w:spacing w:after="40"/>
        <w:ind w:left="2088" w:hanging="2088"/>
      </w:pPr>
      <w:r>
        <w:rPr>
          <w:b/>
          <w:sz w:val="22"/>
        </w:rPr>
        <w:t>LVOT</w:t>
      </w:r>
      <w:r>
        <w:rPr>
          <w:sz w:val="22"/>
        </w:rPr>
        <w:tab/>
        <w:t>Left ventricular outflow tract</w:t>
      </w:r>
    </w:p>
    <w:p>
      <w:pPr>
        <w:tabs>
          <w:tab w:pos="2088" w:val="left"/>
        </w:tabs>
        <w:spacing w:after="40"/>
        <w:ind w:left="2088" w:hanging="2088"/>
      </w:pPr>
      <w:r>
        <w:rPr>
          <w:b/>
          <w:sz w:val="22"/>
        </w:rPr>
        <w:t>NYHA</w:t>
      </w:r>
      <w:r>
        <w:rPr>
          <w:sz w:val="22"/>
        </w:rPr>
        <w:tab/>
        <w:t>New York Heart Association</w:t>
      </w:r>
    </w:p>
    <w:p>
      <w:pPr>
        <w:tabs>
          <w:tab w:pos="2088" w:val="left"/>
        </w:tabs>
        <w:spacing w:after="40"/>
        <w:ind w:left="2088" w:hanging="2088"/>
      </w:pPr>
      <w:r>
        <w:rPr>
          <w:b/>
          <w:sz w:val="22"/>
        </w:rPr>
        <w:t>PE</w:t>
      </w:r>
      <w:r>
        <w:rPr>
          <w:sz w:val="22"/>
        </w:rPr>
        <w:tab/>
        <w:t>Potential energy</w:t>
      </w:r>
    </w:p>
    <w:p>
      <w:pPr>
        <w:tabs>
          <w:tab w:pos="2088" w:val="left"/>
        </w:tabs>
        <w:spacing w:after="40"/>
        <w:ind w:left="2088" w:hanging="2088"/>
      </w:pPr>
      <w:r>
        <w:rPr>
          <w:b/>
          <w:sz w:val="22"/>
        </w:rPr>
        <w:t>PG</w:t>
      </w:r>
      <w:r>
        <w:rPr>
          <w:sz w:val="22"/>
        </w:rPr>
        <w:tab/>
        <w:t>Pressure gradient</w:t>
      </w:r>
    </w:p>
    <w:p>
      <w:pPr>
        <w:tabs>
          <w:tab w:pos="2088" w:val="left"/>
        </w:tabs>
        <w:spacing w:after="40"/>
        <w:ind w:left="2088" w:hanging="2088"/>
      </w:pPr>
      <w:r>
        <w:rPr>
          <w:b/>
          <w:sz w:val="22"/>
        </w:rPr>
        <w:t>PV</w:t>
      </w:r>
      <w:r>
        <w:rPr>
          <w:sz w:val="22"/>
        </w:rPr>
        <w:tab/>
        <w:t>Pressure–volume</w:t>
      </w:r>
    </w:p>
    <w:p>
      <w:pPr>
        <w:tabs>
          <w:tab w:pos="2088" w:val="left"/>
        </w:tabs>
        <w:spacing w:after="40"/>
        <w:ind w:left="2088" w:hanging="2088"/>
      </w:pPr>
      <w:r>
        <w:rPr>
          <w:b/>
          <w:sz w:val="22"/>
        </w:rPr>
        <w:t>PVA</w:t>
      </w:r>
      <w:r>
        <w:rPr>
          <w:sz w:val="22"/>
        </w:rPr>
        <w:tab/>
        <w:t>Pressure–volume area</w:t>
      </w:r>
    </w:p>
    <w:p>
      <w:pPr>
        <w:tabs>
          <w:tab w:pos="2088" w:val="left"/>
        </w:tabs>
        <w:spacing w:after="40"/>
        <w:ind w:left="2088" w:hanging="2088"/>
      </w:pPr>
      <w:r>
        <w:rPr>
          <w:b/>
          <w:sz w:val="22"/>
        </w:rPr>
        <w:t>SAVR</w:t>
      </w:r>
      <w:r>
        <w:rPr>
          <w:sz w:val="22"/>
        </w:rPr>
        <w:tab/>
        <w:t>Surgical aortic valve replacement</w:t>
      </w:r>
    </w:p>
    <w:p>
      <w:pPr>
        <w:tabs>
          <w:tab w:pos="2088" w:val="left"/>
        </w:tabs>
        <w:spacing w:after="40"/>
        <w:ind w:left="2088" w:hanging="2088"/>
      </w:pPr>
      <w:r>
        <w:rPr>
          <w:b/>
          <w:sz w:val="22"/>
        </w:rPr>
        <w:t>SW</w:t>
      </w:r>
      <w:r>
        <w:rPr>
          <w:sz w:val="22"/>
        </w:rPr>
        <w:tab/>
        <w:t>Stroke work</w:t>
      </w:r>
    </w:p>
    <w:p>
      <w:pPr>
        <w:tabs>
          <w:tab w:pos="2088" w:val="left"/>
        </w:tabs>
        <w:spacing w:after="40"/>
        <w:ind w:left="2088" w:hanging="2088"/>
      </w:pPr>
      <w:r>
        <w:rPr>
          <w:b/>
          <w:sz w:val="22"/>
        </w:rPr>
        <w:t>TAVI</w:t>
      </w:r>
      <w:r>
        <w:rPr>
          <w:sz w:val="22"/>
        </w:rPr>
        <w:tab/>
        <w:t>Transcatheter aortic valve implantation</w:t>
      </w:r>
    </w:p>
    <w:p>
      <w:pPr>
        <w:tabs>
          <w:tab w:pos="2088" w:val="left"/>
        </w:tabs>
        <w:spacing w:after="40"/>
        <w:ind w:left="2088" w:hanging="2088"/>
      </w:pPr>
      <w:r>
        <w:rPr>
          <w:b/>
          <w:sz w:val="22"/>
        </w:rPr>
        <w:t>TKE</w:t>
      </w:r>
      <w:r>
        <w:rPr>
          <w:sz w:val="22"/>
        </w:rPr>
        <w:tab/>
        <w:t>Turbulent kinetic energy</w:t>
      </w:r>
    </w:p>
    <w:p>
      <w:pPr>
        <w:tabs>
          <w:tab w:pos="2088" w:val="left"/>
        </w:tabs>
        <w:spacing w:after="40"/>
        <w:ind w:left="2088" w:hanging="2088"/>
      </w:pPr>
      <w:r>
        <w:rPr>
          <w:b/>
          <w:sz w:val="22"/>
        </w:rPr>
        <w:t>TTE</w:t>
      </w:r>
      <w:r>
        <w:rPr>
          <w:sz w:val="22"/>
        </w:rPr>
        <w:tab/>
        <w:t>Transthoracic echocardiography</w:t>
      </w:r>
    </w:p>
    <w:p>
      <w:pPr>
        <w:tabs>
          <w:tab w:pos="2088" w:val="left"/>
        </w:tabs>
        <w:spacing w:after="40"/>
        <w:ind w:left="2088" w:hanging="2088"/>
      </w:pPr>
      <w:r>
        <w:rPr>
          <w:b/>
          <w:sz w:val="22"/>
        </w:rPr>
        <w:t>VEL</w:t>
      </w:r>
      <w:r>
        <w:rPr>
          <w:sz w:val="22"/>
        </w:rPr>
        <w:tab/>
        <w:t>Viscous energy loss</w:t>
      </w:r>
    </w:p>
    <w:p>
      <w:pPr>
        <w:tabs>
          <w:tab w:pos="2088" w:val="left"/>
        </w:tabs>
        <w:spacing w:after="40"/>
        <w:ind w:left="2088" w:hanging="2088"/>
      </w:pPr>
      <w:r>
        <w:rPr>
          <w:b/>
          <w:sz w:val="22"/>
        </w:rPr>
        <w:t>VENC</w:t>
      </w:r>
      <w:r>
        <w:rPr>
          <w:sz w:val="22"/>
        </w:rPr>
        <w:tab/>
        <w:t>Velocity encoding</w:t>
      </w:r>
    </w:p>
    <w:p>
      <w:pPr>
        <w:tabs>
          <w:tab w:pos="2088" w:val="left"/>
        </w:tabs>
        <w:spacing w:after="40"/>
        <w:ind w:left="2088" w:hanging="2088"/>
      </w:pPr>
      <w:r>
        <w:rPr>
          <w:b/>
          <w:sz w:val="22"/>
        </w:rPr>
        <w:t>Vpeak</w:t>
      </w:r>
      <w:r>
        <w:rPr>
          <w:sz w:val="22"/>
        </w:rPr>
        <w:tab/>
        <w:t>Peak transvalvular velocity</w:t>
      </w:r>
    </w:p>
    <w:p>
      <w:pPr>
        <w:tabs>
          <w:tab w:pos="2088" w:val="left"/>
        </w:tabs>
        <w:spacing w:after="40"/>
        <w:ind w:left="2088" w:hanging="2088"/>
      </w:pPr>
      <w:r>
        <w:rPr>
          <w:b/>
          <w:sz w:val="22"/>
        </w:rPr>
        <w:t>WSS</w:t>
      </w:r>
      <w:r>
        <w:rPr>
          <w:sz w:val="22"/>
        </w:rPr>
        <w:tab/>
        <w:t>Wall shear stress</w:t>
      </w:r>
    </w:p>
    <w:p>
      <w:r>
        <w:br w:type="page"/>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i w:val="0"/>
          <w:sz w:val="18"/>
        </w:rPr>
        <w:t>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w:t>
      </w:r>
      <w:r>
        <w:rPr>
          <w:i w:val="0"/>
          <w:sz w:val="18"/>
          <w:vertAlign w:val="superscript"/>
        </w:rPr>
        <w:t>20</w:t>
      </w:r>
      <w:r>
        <w:rPr>
          <w:i w:val="0"/>
          <w:sz w:val="18"/>
        </w:rPr>
        <w:t xml:space="preserve"> under the Creative Commons Attribution 4.0 International licence.</w:t>
      </w:r>
    </w:p>
    <w:p>
      <w:pPr>
        <w:spacing w:after="160"/>
        <w:jc w:val="both"/>
      </w:pPr>
      <w:r>
        <w:rPr>
          <w:i/>
          <w:sz w:val="16"/>
        </w:rPr>
        <w:t>Ea, arterial elastance; EDV, end-diastolic volume; Emax, maximal elastance; ESPVR, end-systolic pressure–volume relationship; ESV, end-systolic volume; LV, left ventricle; PE, potential energy; PVA, pressure–volume area;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