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585619"/>
            <wp:docPr id="8" name="Picture 8"/>
            <wp:cNvGraphicFramePr>
              <a:graphicFrameLocks noChangeAspect="1"/>
            </wp:cNvGraphicFramePr>
            <a:graphic>
              <a:graphicData uri="http://schemas.openxmlformats.org/drawingml/2006/picture">
                <pic:pic>
                  <pic:nvPicPr>
                    <pic:cNvPr id="0" name="fig1_as_tte.png"/>
                    <pic:cNvPicPr/>
                  </pic:nvPicPr>
                  <pic:blipFill>
                    <a:blip r:embed="rId16"/>
                    <a:stretch>
                      <a:fillRect/>
                    </a:stretch>
                  </pic:blipFill>
                  <pic:spPr>
                    <a:xfrm>
                      <a:off x="0" y="0"/>
                      <a:ext cx="5943600" cy="258561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1532"/>
            <wp:docPr id="1" name="Picture 1"/>
            <wp:cNvGraphicFramePr>
              <a:graphicFrameLocks noChangeAspect="1"/>
            </wp:cNvGraphicFramePr>
            <a:graphic>
              <a:graphicData uri="http://schemas.openxmlformats.org/drawingml/2006/picture">
                <pic:pic>
                  <pic:nvPicPr>
                    <pic:cNvPr id="0" name="fig2_workflow.png"/>
                    <pic:cNvPicPr/>
                  </pic:nvPicPr>
                  <pic:blipFill>
                    <a:blip r:embed="rId9"/>
                    <a:stretch>
                      <a:fillRect/>
                    </a:stretch>
                  </pic:blipFill>
                  <pic:spPr>
                    <a:xfrm>
                      <a:off x="0" y="0"/>
                      <a:ext cx="5943600" cy="1411532"/>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0443"/>
            <wp:docPr id="9" name="Picture 9"/>
            <wp:cNvGraphicFramePr>
              <a:graphicFrameLocks noChangeAspect="1"/>
            </wp:cNvGraphicFramePr>
            <a:graphic>
              <a:graphicData uri="http://schemas.openxmlformats.org/drawingml/2006/picture">
                <pic:pic>
                  <pic:nvPicPr>
                    <pic:cNvPr id="0" name="fig3_retrospective_plane.png"/>
                    <pic:cNvPicPr/>
                  </pic:nvPicPr>
                  <pic:blipFill>
                    <a:blip r:embed="rId17"/>
                    <a:stretch>
                      <a:fillRect/>
                    </a:stretch>
                  </pic:blipFill>
                  <pic:spPr>
                    <a:xfrm>
                      <a:off x="0" y="0"/>
                      <a:ext cx="5943600" cy="2530443"/>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5486400" cy="2237485"/>
            <wp:docPr id="10" name="Picture 10"/>
            <wp:cNvGraphicFramePr>
              <a:graphicFrameLocks noChangeAspect="1"/>
            </wp:cNvGraphicFramePr>
            <a:graphic>
              <a:graphicData uri="http://schemas.openxmlformats.org/drawingml/2006/picture">
                <pic:pic>
                  <pic:nvPicPr>
                    <pic:cNvPr id="0" name="figX_vpeak_conflict.png"/>
                    <pic:cNvPicPr/>
                  </pic:nvPicPr>
                  <pic:blipFill>
                    <a:blip r:embed="rId18"/>
                    <a:stretch>
                      <a:fillRect/>
                    </a:stretch>
                  </pic:blipFill>
                  <pic:spPr>
                    <a:xfrm>
                      <a:off x="0" y="0"/>
                      <a:ext cx="5486400" cy="2237485"/>
                    </a:xfrm>
                    <a:prstGeom prst="rect"/>
                  </pic:spPr>
                </pic:pic>
              </a:graphicData>
            </a:graphic>
          </wp:inline>
        </w:drawing>
      </w:r>
    </w:p>
    <w:p>
      <w:pPr>
        <w:spacing w:after="20"/>
        <w:jc w:val="both"/>
      </w:pPr>
      <w:r>
        <w:rPr>
          <w:b/>
          <w:sz w:val="18"/>
        </w:rPr>
        <w:t xml:space="preserve">Figure 4. </w:t>
      </w:r>
      <w:r>
        <w:rPr>
          <w:i w:val="0"/>
          <w:sz w:val="18"/>
        </w:rPr>
        <w:t>Directional inconsistency across studies comparing 4D flow and Doppler peak velocity: 4D flow read higher than Doppler in some cohorts and lower in others. Data from Adriaans et al.,</w:t>
      </w:r>
      <w:r>
        <w:rPr>
          <w:i w:val="0"/>
          <w:sz w:val="18"/>
          <w:vertAlign w:val="superscript"/>
        </w:rPr>
        <w:t>3</w:t>
      </w:r>
      <w:r>
        <w:rPr>
          <w:i w:val="0"/>
          <w:sz w:val="18"/>
        </w:rPr>
        <w:t xml:space="preserve"> Grafton-Clarke et al.</w:t>
      </w:r>
      <w:r>
        <w:rPr>
          <w:i w:val="0"/>
          <w:sz w:val="18"/>
          <w:vertAlign w:val="superscript"/>
        </w:rPr>
        <w:t>8</w:t>
      </w:r>
      <w:r>
        <w:rPr>
          <w:i w:val="0"/>
          <w:sz w:val="18"/>
        </w:rPr>
        <w:t xml:space="preserve"> and Hälvä et al.</w:t>
      </w:r>
      <w:r>
        <w:rPr>
          <w:i w:val="0"/>
          <w:sz w:val="18"/>
          <w:vertAlign w:val="superscript"/>
        </w:rPr>
        <w:t>9</w:t>
      </w:r>
    </w:p>
    <w:p>
      <w:pPr>
        <w:spacing w:after="160"/>
        <w:jc w:val="both"/>
      </w:pPr>
      <w:r>
        <w:rPr>
          <w:i/>
          <w:sz w:val="16"/>
        </w:rPr>
        <w:t>Vpeak, peak transvalvular velocity. Values are as reported in each study (percentage difference or mean bias); the figure indicates the direction of difference, not a pooled estimate.</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297680" cy="3306647"/>
            <wp:docPr id="2" name="Picture 2"/>
            <wp:cNvGraphicFramePr>
              <a:graphicFrameLocks noChangeAspect="1"/>
            </wp:cNvGraphicFramePr>
            <a:graphic>
              <a:graphicData uri="http://schemas.openxmlformats.org/drawingml/2006/picture">
                <pic:pic>
                  <pic:nvPicPr>
                    <pic:cNvPr id="0" name="fig4_archer_pg.png"/>
                    <pic:cNvPicPr/>
                  </pic:nvPicPr>
                  <pic:blipFill>
                    <a:blip r:embed="rId10"/>
                    <a:stretch>
                      <a:fillRect/>
                    </a:stretch>
                  </pic:blipFill>
                  <pic:spPr>
                    <a:xfrm>
                      <a:off x="0" y="0"/>
                      <a:ext cx="4297680" cy="3306647"/>
                    </a:xfrm>
                    <a:prstGeom prst="rect"/>
                  </pic:spPr>
                </pic:pic>
              </a:graphicData>
            </a:graphic>
          </wp:inline>
        </w:drawing>
      </w:r>
    </w:p>
    <w:p>
      <w:pPr>
        <w:spacing w:after="20"/>
        <w:jc w:val="both"/>
      </w:pPr>
      <w:r>
        <w:rPr>
          <w:b/>
          <w:sz w:val="18"/>
        </w:rPr>
        <w:t xml:space="preserve">Figure 5. </w:t>
      </w:r>
      <w:r>
        <w:rPr>
          <w:b w:val="0"/>
          <w:i w:val="0"/>
          <w:sz w:val="18"/>
        </w:rPr>
        <w:t>Peak transvalvular pressure gradient by modality in the Archer et al. cohort (mean ± SD). Data derived from Archer et al.</w:t>
      </w:r>
      <w:r>
        <w:rPr>
          <w:b w:val="0"/>
          <w:i w:val="0"/>
          <w:sz w:val="18"/>
          <w:vertAlign w:val="superscript"/>
        </w:rPr>
        <w:t>11</w:t>
      </w:r>
    </w:p>
    <w:p>
      <w:pPr>
        <w:spacing w:after="160"/>
        <w:jc w:val="both"/>
      </w:pPr>
      <w:r>
        <w:rPr>
          <w:b w:val="0"/>
          <w:i/>
          <w:sz w:val="16"/>
        </w:rPr>
        <w:t>SD, standard deviation; TTE, transthoracic echocardiography. Values reflect the subgroup undergoing invasive assessment within a small single-centre cohort; the figure illustrates between-modality differences and should not be interpreted as evidence of superiority or of equivalent precision.</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2755"/>
            <wp:docPr id="3" name="Picture 3"/>
            <wp:cNvGraphicFramePr>
              <a:graphicFrameLocks noChangeAspect="1"/>
            </wp:cNvGraphicFramePr>
            <a:graphic>
              <a:graphicData uri="http://schemas.openxmlformats.org/drawingml/2006/picture">
                <pic:pic>
                  <pic:nvPicPr>
                    <pic:cNvPr id="0" name="fig5_two_mechanisms.png"/>
                    <pic:cNvPicPr/>
                  </pic:nvPicPr>
                  <pic:blipFill>
                    <a:blip r:embed="rId11"/>
                    <a:stretch>
                      <a:fillRect/>
                    </a:stretch>
                  </pic:blipFill>
                  <pic:spPr>
                    <a:xfrm>
                      <a:off x="0" y="0"/>
                      <a:ext cx="5943600" cy="286275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before="160" w:after="40"/>
        <w:jc w:val="center"/>
      </w:pPr>
      <w:r>
        <w:drawing>
          <wp:inline xmlns:a="http://schemas.openxmlformats.org/drawingml/2006/main" xmlns:pic="http://schemas.openxmlformats.org/drawingml/2006/picture">
            <wp:extent cx="4480560" cy="3230025"/>
            <wp:docPr id="4" name="Picture 4"/>
            <wp:cNvGraphicFramePr>
              <a:graphicFrameLocks noChangeAspect="1"/>
            </wp:cNvGraphicFramePr>
            <a:graphic>
              <a:graphicData uri="http://schemas.openxmlformats.org/drawingml/2006/picture">
                <pic:pic>
                  <pic:nvPicPr>
                    <pic:cNvPr id="0" name="fig6_aliabadi_vel.png"/>
                    <pic:cNvPicPr/>
                  </pic:nvPicPr>
                  <pic:blipFill>
                    <a:blip r:embed="rId12"/>
                    <a:stretch>
                      <a:fillRect/>
                    </a:stretch>
                  </pic:blipFill>
                  <pic:spPr>
                    <a:xfrm>
                      <a:off x="0" y="0"/>
                      <a:ext cx="4480560" cy="3230025"/>
                    </a:xfrm>
                    <a:prstGeom prst="rect"/>
                  </pic:spPr>
                </pic:pic>
              </a:graphicData>
            </a:graphic>
          </wp:inline>
        </w:drawing>
      </w:r>
    </w:p>
    <w:p>
      <w:pPr>
        <w:spacing w:after="20"/>
        <w:jc w:val="both"/>
      </w:pPr>
      <w:r>
        <w:rPr>
          <w:b/>
          <w:sz w:val="18"/>
        </w:rPr>
        <w:t xml:space="preserve">Figure 7. </w:t>
      </w:r>
      <w:r>
        <w:rPr>
          <w:b w:val="0"/>
          <w:i w:val="0"/>
          <w:sz w:val="18"/>
        </w:rPr>
        <w:t>Peak-systolic viscous energy loss across control and bicuspid-aortic-valve groups (median; whiskers denote the interquartile range). Data derived from Aliabadi et al.</w:t>
      </w:r>
      <w:r>
        <w:rPr>
          <w:b w:val="0"/>
          <w:i w:val="0"/>
          <w:sz w:val="18"/>
          <w:vertAlign w:val="superscript"/>
        </w:rPr>
        <w:t>14</w:t>
      </w:r>
    </w:p>
    <w:p>
      <w:pPr>
        <w:spacing w:after="160"/>
        <w:jc w:val="both"/>
      </w:pPr>
      <w:r>
        <w:rPr>
          <w:b w:val="0"/>
          <w:i/>
          <w:sz w:val="16"/>
        </w:rPr>
        <w:t>BAV, bicuspid aortic valve; TAV, tricuspid aortic valve; VEL, viscous energy loss. Values are median [IQR]. The uncomplicated BAV group did not differ significantly from controls for peak-systolic VEL. The cohort was predominantly BAV and should not be interpreted as representative of degenerative tricuspid aortic stenosis.</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before="160" w:after="40"/>
        <w:jc w:val="center"/>
      </w:pPr>
      <w:r>
        <w:drawing>
          <wp:inline xmlns:a="http://schemas.openxmlformats.org/drawingml/2006/main" xmlns:pic="http://schemas.openxmlformats.org/drawingml/2006/picture">
            <wp:extent cx="4389120" cy="2982054"/>
            <wp:docPr id="11" name="Picture 11"/>
            <wp:cNvGraphicFramePr>
              <a:graphicFrameLocks noChangeAspect="1"/>
            </wp:cNvGraphicFramePr>
            <a:graphic>
              <a:graphicData uri="http://schemas.openxmlformats.org/drawingml/2006/picture">
                <pic:pic>
                  <pic:nvPicPr>
                    <pic:cNvPr id="0" name="figY_elhawaz_ke.png"/>
                    <pic:cNvPicPr/>
                  </pic:nvPicPr>
                  <pic:blipFill>
                    <a:blip r:embed="rId19"/>
                    <a:stretch>
                      <a:fillRect/>
                    </a:stretch>
                  </pic:blipFill>
                  <pic:spPr>
                    <a:xfrm>
                      <a:off x="0" y="0"/>
                      <a:ext cx="4389120" cy="2982054"/>
                    </a:xfrm>
                    <a:prstGeom prst="rect"/>
                  </pic:spPr>
                </pic:pic>
              </a:graphicData>
            </a:graphic>
          </wp:inline>
        </w:drawing>
      </w:r>
    </w:p>
    <w:p>
      <w:pPr>
        <w:spacing w:after="20"/>
        <w:jc w:val="both"/>
      </w:pPr>
      <w:r>
        <w:rPr>
          <w:b/>
          <w:sz w:val="18"/>
        </w:rPr>
        <w:t xml:space="preserve">Figure 8. </w:t>
      </w:r>
      <w:r>
        <w:rPr>
          <w:i w:val="0"/>
          <w:sz w:val="18"/>
        </w:rPr>
        <w:t>Left ventricular blood-flow kinetic-energy components before and after valve intervention (median values). Only the direct and delayed components changed significantly. Data derived from Elhawaz et al.</w:t>
      </w:r>
      <w:r>
        <w:rPr>
          <w:i w:val="0"/>
          <w:sz w:val="18"/>
          <w:vertAlign w:val="superscript"/>
        </w:rPr>
        <w:t>17</w:t>
      </w:r>
    </w:p>
    <w:p>
      <w:pPr>
        <w:spacing w:after="160"/>
        <w:jc w:val="both"/>
      </w:pPr>
      <w:r>
        <w:rPr>
          <w:i/>
          <w:sz w:val="16"/>
        </w:rPr>
        <w:t>LV, left ventricle; ns, not significant; μJ, microjoules. Values are medians; no error bars are shown because the data were reported as median [IQR]. *P &lt; 0.05.</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206240" cy="3531539"/>
            <wp:docPr id="5" name="Picture 5"/>
            <wp:cNvGraphicFramePr>
              <a:graphicFrameLocks noChangeAspect="1"/>
            </wp:cNvGraphicFramePr>
            <a:graphic>
              <a:graphicData uri="http://schemas.openxmlformats.org/drawingml/2006/picture">
                <pic:pic>
                  <pic:nvPicPr>
                    <pic:cNvPr id="0" name="fig7_pvloop.png"/>
                    <pic:cNvPicPr/>
                  </pic:nvPicPr>
                  <pic:blipFill>
                    <a:blip r:embed="rId13"/>
                    <a:stretch>
                      <a:fillRect/>
                    </a:stretch>
                  </pic:blipFill>
                  <pic:spPr>
                    <a:xfrm>
                      <a:off x="0" y="0"/>
                      <a:ext cx="4206240" cy="3531539"/>
                    </a:xfrm>
                    <a:prstGeom prst="rect"/>
                  </pic:spPr>
                </pic:pic>
              </a:graphicData>
            </a:graphic>
          </wp:inline>
        </w:drawing>
      </w:r>
    </w:p>
    <w:p>
      <w:pPr>
        <w:spacing w:after="20"/>
        <w:jc w:val="both"/>
      </w:pPr>
      <w:r>
        <w:rPr>
          <w:b/>
          <w:sz w:val="18"/>
        </w:rPr>
        <w:t xml:space="preserve">Figure 9. </w:t>
      </w:r>
      <w:r>
        <w:rPr>
          <w:b w:val="0"/>
          <w:i w:val="0"/>
          <w:sz w:val="18"/>
        </w:rPr>
        <w:t>Schematic left ventricular pressure–volume loop. The enclosed area represents stroke work; the pressure–volume area (PVA) additionally incorporates potential energy. Original schematic.</w:t>
      </w:r>
    </w:p>
    <w:p>
      <w:pPr>
        <w:spacing w:after="160"/>
        <w:jc w:val="both"/>
      </w:pPr>
      <w:r>
        <w:rPr>
          <w:b w:val="0"/>
          <w:i/>
          <w:sz w:val="16"/>
        </w:rPr>
        <w:t>EDPVR, end-diastolic pressure–volume relationship; ESPVR, end-systolic pressure–volume relationship; LV, left ventricle; PVA, pressure–volume area. Diagram is illustrative and not drawn to scale.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61426"/>
            <wp:docPr id="6" name="Picture 6"/>
            <wp:cNvGraphicFramePr>
              <a:graphicFrameLocks noChangeAspect="1"/>
            </wp:cNvGraphicFramePr>
            <a:graphic>
              <a:graphicData uri="http://schemas.openxmlformats.org/drawingml/2006/picture">
                <pic:pic>
                  <pic:nvPicPr>
                    <pic:cNvPr id="0" name="fig8_flow_vs_work.png"/>
                    <pic:cNvPicPr/>
                  </pic:nvPicPr>
                  <pic:blipFill>
                    <a:blip r:embed="rId14"/>
                    <a:stretch>
                      <a:fillRect/>
                    </a:stretch>
                  </pic:blipFill>
                  <pic:spPr>
                    <a:xfrm>
                      <a:off x="0" y="0"/>
                      <a:ext cx="5943600" cy="2561426"/>
                    </a:xfrm>
                    <a:prstGeom prst="rect"/>
                  </pic:spPr>
                </pic:pic>
              </a:graphicData>
            </a:graphic>
          </wp:inline>
        </w:drawing>
      </w:r>
    </w:p>
    <w:p>
      <w:pPr>
        <w:spacing w:after="20"/>
        <w:jc w:val="both"/>
      </w:pPr>
      <w:r>
        <w:rPr>
          <w:b/>
          <w:sz w:val="18"/>
        </w:rPr>
        <w:t xml:space="preserve">Figure 10.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297680" cy="3004882"/>
            <wp:docPr id="12" name="Picture 12"/>
            <wp:cNvGraphicFramePr>
              <a:graphicFrameLocks noChangeAspect="1"/>
            </wp:cNvGraphicFramePr>
            <a:graphic>
              <a:graphicData uri="http://schemas.openxmlformats.org/drawingml/2006/picture">
                <pic:pic>
                  <pic:nvPicPr>
                    <pic:cNvPr id="0" name="figZ_gc_vpeak.png"/>
                    <pic:cNvPicPr/>
                  </pic:nvPicPr>
                  <pic:blipFill>
                    <a:blip r:embed="rId20"/>
                    <a:stretch>
                      <a:fillRect/>
                    </a:stretch>
                  </pic:blipFill>
                  <pic:spPr>
                    <a:xfrm>
                      <a:off x="0" y="0"/>
                      <a:ext cx="4297680" cy="3004882"/>
                    </a:xfrm>
                    <a:prstGeom prst="rect"/>
                  </pic:spPr>
                </pic:pic>
              </a:graphicData>
            </a:graphic>
          </wp:inline>
        </w:drawing>
      </w:r>
    </w:p>
    <w:p>
      <w:pPr>
        <w:spacing w:after="20"/>
        <w:jc w:val="both"/>
      </w:pPr>
      <w:r>
        <w:rPr>
          <w:b/>
          <w:sz w:val="18"/>
        </w:rPr>
        <w:t xml:space="preserve">Figure 11. </w:t>
      </w:r>
      <w:r>
        <w:rPr>
          <w:i w:val="0"/>
          <w:sz w:val="18"/>
        </w:rPr>
        <w:t>Peak velocity by subsequent-intervention status, measured by continuous-wave Doppler and 4D flow CMR. Data derived from Grafton-Clarke et al.</w:t>
      </w:r>
      <w:r>
        <w:rPr>
          <w:i w:val="0"/>
          <w:sz w:val="18"/>
          <w:vertAlign w:val="superscript"/>
        </w:rPr>
        <w:t>8</w:t>
      </w:r>
    </w:p>
    <w:p>
      <w:pPr>
        <w:spacing w:after="160"/>
        <w:jc w:val="both"/>
      </w:pPr>
      <w:r>
        <w:rPr>
          <w:i/>
          <w:sz w:val="16"/>
        </w:rPr>
        <w:t>CWD, continuous-wave Doppler. The outcome was the decision to undertake valve intervention rather than a hard patient-centred endpoint; the 3.5 m/s value is an exploratory threshold derived from a small cohort, not an established clinical criterion.</w:t>
      </w:r>
    </w:p>
    <w:p>
      <w:pPr>
        <w:spacing w:line="360" w:lineRule="auto" w:after="120"/>
        <w:jc w:val="both"/>
      </w:pPr>
      <w:r>
        <w:t>In Cox regression analysis,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64376"/>
            <wp:docPr id="7" name="Picture 7"/>
            <wp:cNvGraphicFramePr>
              <a:graphicFrameLocks noChangeAspect="1"/>
            </wp:cNvGraphicFramePr>
            <a:graphic>
              <a:graphicData uri="http://schemas.openxmlformats.org/drawingml/2006/picture">
                <pic:pic>
                  <pic:nvPicPr>
                    <pic:cNvPr id="0" name="fig9_evidence_hierarchy.png"/>
                    <pic:cNvPicPr/>
                  </pic:nvPicPr>
                  <pic:blipFill>
                    <a:blip r:embed="rId15"/>
                    <a:stretch>
                      <a:fillRect/>
                    </a:stretch>
                  </pic:blipFill>
                  <pic:spPr>
                    <a:xfrm>
                      <a:off x="0" y="0"/>
                      <a:ext cx="5669280" cy="3164376"/>
                    </a:xfrm>
                    <a:prstGeom prst="rect"/>
                  </pic:spPr>
                </pic:pic>
              </a:graphicData>
            </a:graphic>
          </wp:inline>
        </w:drawing>
      </w:r>
    </w:p>
    <w:p>
      <w:pPr>
        <w:spacing w:after="20"/>
        <w:jc w:val="both"/>
      </w:pPr>
      <w:r>
        <w:rPr>
          <w:b/>
          <w:sz w:val="18"/>
        </w:rPr>
        <w:t xml:space="preserve">Figure 12.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