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00" w:after="120"/>
      </w:pPr>
      <w:r>
        <w:rPr>
          <w:b/>
          <w:sz w:val="28"/>
        </w:rPr>
        <w:t>Abbreviations</w:t>
      </w:r>
    </w:p>
    <w:p>
      <w:pPr>
        <w:tabs>
          <w:tab w:pos="2088" w:val="left"/>
        </w:tabs>
        <w:spacing w:after="40"/>
        <w:ind w:left="2088" w:hanging="2088"/>
      </w:pPr>
      <w:r>
        <w:rPr>
          <w:b/>
          <w:sz w:val="22"/>
        </w:rPr>
        <w:t>4D flow CMR</w:t>
      </w:r>
      <w:r>
        <w:rPr>
          <w:sz w:val="22"/>
        </w:rPr>
        <w:tab/>
        <w:t>Four-dimensional flow cardiovascular magnetic resonance</w:t>
      </w:r>
    </w:p>
    <w:p>
      <w:pPr>
        <w:tabs>
          <w:tab w:pos="2088" w:val="left"/>
        </w:tabs>
        <w:spacing w:after="40"/>
        <w:ind w:left="2088" w:hanging="2088"/>
      </w:pPr>
      <w:r>
        <w:rPr>
          <w:b/>
          <w:sz w:val="22"/>
        </w:rPr>
        <w:t>6MWT</w:t>
      </w:r>
      <w:r>
        <w:rPr>
          <w:sz w:val="22"/>
        </w:rPr>
        <w:tab/>
        <w:t>Six-minute walk test</w:t>
      </w:r>
    </w:p>
    <w:p>
      <w:pPr>
        <w:tabs>
          <w:tab w:pos="2088" w:val="left"/>
        </w:tabs>
        <w:spacing w:after="40"/>
        <w:ind w:left="2088" w:hanging="2088"/>
      </w:pPr>
      <w:r>
        <w:rPr>
          <w:b/>
          <w:sz w:val="22"/>
        </w:rPr>
        <w:t>AS</w:t>
      </w:r>
      <w:r>
        <w:rPr>
          <w:sz w:val="22"/>
        </w:rPr>
        <w:tab/>
        <w:t>Aortic stenosis</w:t>
      </w:r>
    </w:p>
    <w:p>
      <w:pPr>
        <w:tabs>
          <w:tab w:pos="2088" w:val="left"/>
        </w:tabs>
        <w:spacing w:after="40"/>
        <w:ind w:left="2088" w:hanging="2088"/>
      </w:pPr>
      <w:r>
        <w:rPr>
          <w:b/>
          <w:sz w:val="22"/>
        </w:rPr>
        <w:t>AVA</w:t>
      </w:r>
      <w:r>
        <w:rPr>
          <w:sz w:val="22"/>
        </w:rPr>
        <w:tab/>
        <w:t>Aortic valve area</w:t>
      </w:r>
    </w:p>
    <w:p>
      <w:pPr>
        <w:tabs>
          <w:tab w:pos="2088" w:val="left"/>
        </w:tabs>
        <w:spacing w:after="40"/>
        <w:ind w:left="2088" w:hanging="2088"/>
      </w:pPr>
      <w:r>
        <w:rPr>
          <w:b/>
          <w:sz w:val="22"/>
        </w:rPr>
        <w:t>BAV</w:t>
      </w:r>
      <w:r>
        <w:rPr>
          <w:sz w:val="22"/>
        </w:rPr>
        <w:tab/>
        <w:t>Bicuspid aortic valve</w:t>
      </w:r>
    </w:p>
    <w:p>
      <w:pPr>
        <w:tabs>
          <w:tab w:pos="2088" w:val="left"/>
        </w:tabs>
        <w:spacing w:after="40"/>
        <w:ind w:left="2088" w:hanging="2088"/>
      </w:pPr>
      <w:r>
        <w:rPr>
          <w:b/>
          <w:sz w:val="22"/>
        </w:rPr>
        <w:t>CMR</w:t>
      </w:r>
      <w:r>
        <w:rPr>
          <w:sz w:val="22"/>
        </w:rPr>
        <w:tab/>
        <w:t>Cardiovascular magnetic resonance</w:t>
      </w:r>
    </w:p>
    <w:p>
      <w:pPr>
        <w:tabs>
          <w:tab w:pos="2088" w:val="left"/>
        </w:tabs>
        <w:spacing w:after="40"/>
        <w:ind w:left="2088" w:hanging="2088"/>
      </w:pPr>
      <w:r>
        <w:rPr>
          <w:b/>
          <w:sz w:val="22"/>
        </w:rPr>
        <w:t>CWD</w:t>
      </w:r>
      <w:r>
        <w:rPr>
          <w:sz w:val="22"/>
        </w:rPr>
        <w:tab/>
        <w:t>Continuous-wave Doppler</w:t>
      </w:r>
    </w:p>
    <w:p>
      <w:pPr>
        <w:tabs>
          <w:tab w:pos="2088" w:val="left"/>
        </w:tabs>
        <w:spacing w:after="40"/>
        <w:ind w:left="2088" w:hanging="2088"/>
      </w:pPr>
      <w:r>
        <w:rPr>
          <w:b/>
          <w:sz w:val="22"/>
        </w:rPr>
        <w:t>EACTS</w:t>
      </w:r>
      <w:r>
        <w:rPr>
          <w:sz w:val="22"/>
        </w:rPr>
        <w:tab/>
        <w:t>European Association for Cardio-Thoracic Surgery</w:t>
      </w:r>
    </w:p>
    <w:p>
      <w:pPr>
        <w:tabs>
          <w:tab w:pos="2088" w:val="left"/>
        </w:tabs>
        <w:spacing w:after="40"/>
        <w:ind w:left="2088" w:hanging="2088"/>
      </w:pPr>
      <w:r>
        <w:rPr>
          <w:b/>
          <w:sz w:val="22"/>
        </w:rPr>
        <w:t>ECG</w:t>
      </w:r>
      <w:r>
        <w:rPr>
          <w:sz w:val="22"/>
        </w:rPr>
        <w:tab/>
        <w:t>Electrocardiogram</w:t>
      </w:r>
    </w:p>
    <w:p>
      <w:pPr>
        <w:tabs>
          <w:tab w:pos="2088" w:val="left"/>
        </w:tabs>
        <w:spacing w:after="40"/>
        <w:ind w:left="2088" w:hanging="2088"/>
      </w:pPr>
      <w:r>
        <w:rPr>
          <w:b/>
          <w:sz w:val="22"/>
        </w:rPr>
        <w:t>EOA</w:t>
      </w:r>
      <w:r>
        <w:rPr>
          <w:sz w:val="22"/>
        </w:rPr>
        <w:tab/>
        <w:t>Effective orifice area</w:t>
      </w:r>
    </w:p>
    <w:p>
      <w:pPr>
        <w:tabs>
          <w:tab w:pos="2088" w:val="left"/>
        </w:tabs>
        <w:spacing w:after="40"/>
        <w:ind w:left="2088" w:hanging="2088"/>
      </w:pPr>
      <w:r>
        <w:rPr>
          <w:b/>
          <w:sz w:val="22"/>
        </w:rPr>
        <w:t>ESC</w:t>
      </w:r>
      <w:r>
        <w:rPr>
          <w:sz w:val="22"/>
        </w:rPr>
        <w:tab/>
        <w:t>European Society of Cardiology</w:t>
      </w:r>
    </w:p>
    <w:p>
      <w:pPr>
        <w:tabs>
          <w:tab w:pos="2088" w:val="left"/>
        </w:tabs>
        <w:spacing w:after="40"/>
        <w:ind w:left="2088" w:hanging="2088"/>
      </w:pPr>
      <w:r>
        <w:rPr>
          <w:b/>
          <w:sz w:val="22"/>
        </w:rPr>
        <w:t>KEiEDV</w:t>
      </w:r>
      <w:r>
        <w:rPr>
          <w:sz w:val="22"/>
        </w:rPr>
        <w:tab/>
        <w:t>Kinetic energy indexed to end-diastolic volume</w:t>
      </w:r>
    </w:p>
    <w:p>
      <w:pPr>
        <w:tabs>
          <w:tab w:pos="2088" w:val="left"/>
        </w:tabs>
        <w:spacing w:after="40"/>
        <w:ind w:left="2088" w:hanging="2088"/>
      </w:pPr>
      <w:r>
        <w:rPr>
          <w:b/>
          <w:sz w:val="22"/>
        </w:rPr>
        <w:t>LV</w:t>
      </w:r>
      <w:r>
        <w:rPr>
          <w:sz w:val="22"/>
        </w:rPr>
        <w:tab/>
        <w:t>Left ventricle / left ventricular</w:t>
      </w:r>
    </w:p>
    <w:p>
      <w:pPr>
        <w:tabs>
          <w:tab w:pos="2088" w:val="left"/>
        </w:tabs>
        <w:spacing w:after="40"/>
        <w:ind w:left="2088" w:hanging="2088"/>
      </w:pPr>
      <w:r>
        <w:rPr>
          <w:b/>
          <w:sz w:val="22"/>
        </w:rPr>
        <w:t>LVOT</w:t>
      </w:r>
      <w:r>
        <w:rPr>
          <w:sz w:val="22"/>
        </w:rPr>
        <w:tab/>
        <w:t>Left ventricular outflow tract</w:t>
      </w:r>
    </w:p>
    <w:p>
      <w:pPr>
        <w:tabs>
          <w:tab w:pos="2088" w:val="left"/>
        </w:tabs>
        <w:spacing w:after="40"/>
        <w:ind w:left="2088" w:hanging="2088"/>
      </w:pPr>
      <w:r>
        <w:rPr>
          <w:b/>
          <w:sz w:val="22"/>
        </w:rPr>
        <w:t>NYHA</w:t>
      </w:r>
      <w:r>
        <w:rPr>
          <w:sz w:val="22"/>
        </w:rPr>
        <w:tab/>
        <w:t>New York Heart Association</w:t>
      </w:r>
    </w:p>
    <w:p>
      <w:pPr>
        <w:tabs>
          <w:tab w:pos="2088" w:val="left"/>
        </w:tabs>
        <w:spacing w:after="40"/>
        <w:ind w:left="2088" w:hanging="2088"/>
      </w:pPr>
      <w:r>
        <w:rPr>
          <w:b/>
          <w:sz w:val="22"/>
        </w:rPr>
        <w:t>PE</w:t>
      </w:r>
      <w:r>
        <w:rPr>
          <w:sz w:val="22"/>
        </w:rPr>
        <w:tab/>
        <w:t>Potential energy</w:t>
      </w:r>
    </w:p>
    <w:p>
      <w:pPr>
        <w:tabs>
          <w:tab w:pos="2088" w:val="left"/>
        </w:tabs>
        <w:spacing w:after="40"/>
        <w:ind w:left="2088" w:hanging="2088"/>
      </w:pPr>
      <w:r>
        <w:rPr>
          <w:b/>
          <w:sz w:val="22"/>
        </w:rPr>
        <w:t>PG</w:t>
      </w:r>
      <w:r>
        <w:rPr>
          <w:sz w:val="22"/>
        </w:rPr>
        <w:tab/>
        <w:t>Pressure gradient</w:t>
      </w:r>
    </w:p>
    <w:p>
      <w:pPr>
        <w:tabs>
          <w:tab w:pos="2088" w:val="left"/>
        </w:tabs>
        <w:spacing w:after="40"/>
        <w:ind w:left="2088" w:hanging="2088"/>
      </w:pPr>
      <w:r>
        <w:rPr>
          <w:b/>
          <w:sz w:val="22"/>
        </w:rPr>
        <w:t>PV</w:t>
      </w:r>
      <w:r>
        <w:rPr>
          <w:sz w:val="22"/>
        </w:rPr>
        <w:tab/>
        <w:t>Pressure–volume</w:t>
      </w:r>
    </w:p>
    <w:p>
      <w:pPr>
        <w:tabs>
          <w:tab w:pos="2088" w:val="left"/>
        </w:tabs>
        <w:spacing w:after="40"/>
        <w:ind w:left="2088" w:hanging="2088"/>
      </w:pPr>
      <w:r>
        <w:rPr>
          <w:b/>
          <w:sz w:val="22"/>
        </w:rPr>
        <w:t>PVA</w:t>
      </w:r>
      <w:r>
        <w:rPr>
          <w:sz w:val="22"/>
        </w:rPr>
        <w:tab/>
        <w:t>Pressure–volume area</w:t>
      </w:r>
    </w:p>
    <w:p>
      <w:pPr>
        <w:tabs>
          <w:tab w:pos="2088" w:val="left"/>
        </w:tabs>
        <w:spacing w:after="40"/>
        <w:ind w:left="2088" w:hanging="2088"/>
      </w:pPr>
      <w:r>
        <w:rPr>
          <w:b/>
          <w:sz w:val="22"/>
        </w:rPr>
        <w:t>SAVR</w:t>
      </w:r>
      <w:r>
        <w:rPr>
          <w:sz w:val="22"/>
        </w:rPr>
        <w:tab/>
        <w:t>Surgical aortic valve replacement</w:t>
      </w:r>
    </w:p>
    <w:p>
      <w:pPr>
        <w:tabs>
          <w:tab w:pos="2088" w:val="left"/>
        </w:tabs>
        <w:spacing w:after="40"/>
        <w:ind w:left="2088" w:hanging="2088"/>
      </w:pPr>
      <w:r>
        <w:rPr>
          <w:b/>
          <w:sz w:val="22"/>
        </w:rPr>
        <w:t>SW</w:t>
      </w:r>
      <w:r>
        <w:rPr>
          <w:sz w:val="22"/>
        </w:rPr>
        <w:tab/>
        <w:t>Stroke work</w:t>
      </w:r>
    </w:p>
    <w:p>
      <w:pPr>
        <w:tabs>
          <w:tab w:pos="2088" w:val="left"/>
        </w:tabs>
        <w:spacing w:after="40"/>
        <w:ind w:left="2088" w:hanging="2088"/>
      </w:pPr>
      <w:r>
        <w:rPr>
          <w:b/>
          <w:sz w:val="22"/>
        </w:rPr>
        <w:t>TAVI</w:t>
      </w:r>
      <w:r>
        <w:rPr>
          <w:sz w:val="22"/>
        </w:rPr>
        <w:tab/>
        <w:t>Transcatheter aortic valve implantation</w:t>
      </w:r>
    </w:p>
    <w:p>
      <w:pPr>
        <w:tabs>
          <w:tab w:pos="2088" w:val="left"/>
        </w:tabs>
        <w:spacing w:after="40"/>
        <w:ind w:left="2088" w:hanging="2088"/>
      </w:pPr>
      <w:r>
        <w:rPr>
          <w:b/>
          <w:sz w:val="22"/>
        </w:rPr>
        <w:t>TKE</w:t>
      </w:r>
      <w:r>
        <w:rPr>
          <w:sz w:val="22"/>
        </w:rPr>
        <w:tab/>
        <w:t>Turbulent kinetic energy</w:t>
      </w:r>
    </w:p>
    <w:p>
      <w:pPr>
        <w:tabs>
          <w:tab w:pos="2088" w:val="left"/>
        </w:tabs>
        <w:spacing w:after="40"/>
        <w:ind w:left="2088" w:hanging="2088"/>
      </w:pPr>
      <w:r>
        <w:rPr>
          <w:b/>
          <w:sz w:val="22"/>
        </w:rPr>
        <w:t>TTE</w:t>
      </w:r>
      <w:r>
        <w:rPr>
          <w:sz w:val="22"/>
        </w:rPr>
        <w:tab/>
        <w:t>Transthoracic echocardiography</w:t>
      </w:r>
    </w:p>
    <w:p>
      <w:pPr>
        <w:tabs>
          <w:tab w:pos="2088" w:val="left"/>
        </w:tabs>
        <w:spacing w:after="40"/>
        <w:ind w:left="2088" w:hanging="2088"/>
      </w:pPr>
      <w:r>
        <w:rPr>
          <w:b/>
          <w:sz w:val="22"/>
        </w:rPr>
        <w:t>VEL</w:t>
      </w:r>
      <w:r>
        <w:rPr>
          <w:sz w:val="22"/>
        </w:rPr>
        <w:tab/>
        <w:t>Viscous energy loss</w:t>
      </w:r>
    </w:p>
    <w:p>
      <w:pPr>
        <w:tabs>
          <w:tab w:pos="2088" w:val="left"/>
        </w:tabs>
        <w:spacing w:after="40"/>
        <w:ind w:left="2088" w:hanging="2088"/>
      </w:pPr>
      <w:r>
        <w:rPr>
          <w:b/>
          <w:sz w:val="22"/>
        </w:rPr>
        <w:t>VENC</w:t>
      </w:r>
      <w:r>
        <w:rPr>
          <w:sz w:val="22"/>
        </w:rPr>
        <w:tab/>
        <w:t>Velocity encoding</w:t>
      </w:r>
    </w:p>
    <w:p>
      <w:pPr>
        <w:tabs>
          <w:tab w:pos="2088" w:val="left"/>
        </w:tabs>
        <w:spacing w:after="40"/>
        <w:ind w:left="2088" w:hanging="2088"/>
      </w:pPr>
      <w:r>
        <w:rPr>
          <w:b/>
          <w:sz w:val="22"/>
        </w:rPr>
        <w:t>Vpeak</w:t>
      </w:r>
      <w:r>
        <w:rPr>
          <w:sz w:val="22"/>
        </w:rPr>
        <w:tab/>
        <w:t>Peak transvalvular velocity</w:t>
      </w:r>
    </w:p>
    <w:p>
      <w:pPr>
        <w:tabs>
          <w:tab w:pos="2088" w:val="left"/>
        </w:tabs>
        <w:spacing w:after="40"/>
        <w:ind w:left="2088" w:hanging="2088"/>
      </w:pPr>
      <w:r>
        <w:rPr>
          <w:b/>
          <w:sz w:val="22"/>
        </w:rPr>
        <w:t>WSS</w:t>
      </w:r>
      <w:r>
        <w:rPr>
          <w:sz w:val="22"/>
        </w:rPr>
        <w:tab/>
        <w:t>Wall shear stress</w:t>
      </w:r>
    </w:p>
    <w:p>
      <w:r>
        <w:br w:type="page"/>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i w:val="0"/>
          <w:sz w:val="18"/>
        </w:rPr>
        <w:t>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w:t>
      </w:r>
      <w:r>
        <w:rPr>
          <w:i w:val="0"/>
          <w:sz w:val="18"/>
          <w:vertAlign w:val="superscript"/>
        </w:rPr>
        <w:t>20</w:t>
      </w:r>
      <w:r>
        <w:rPr>
          <w:i w:val="0"/>
          <w:sz w:val="18"/>
        </w:rPr>
        <w:t xml:space="preserve"> under the Creative Commons Attribution 4.0 International licence.</w:t>
      </w:r>
    </w:p>
    <w:p>
      <w:pPr>
        <w:spacing w:after="160"/>
        <w:jc w:val="both"/>
      </w:pPr>
      <w:r>
        <w:rPr>
          <w:i/>
          <w:sz w:val="16"/>
        </w:rPr>
        <w:t>Ea, arterial elastance; EDV, end-diastolic volume; Emax, maximal elastance; ESPVR, end-systolic pressure–volume relationship; ESV, end-systolic volume; LV, left ventricle; PE, potential energy; PVA, pressure–volume area;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